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C030B7">
      <w:pPr>
        <w:autoSpaceDE w:val="0"/>
        <w:autoSpaceDN w:val="0"/>
        <w:adjustRightInd w:val="0"/>
        <w:snapToGrid w:val="0"/>
        <w:spacing w:line="360" w:lineRule="auto"/>
        <w:rPr>
          <w:rFonts w:hint="eastAsia" w:ascii="宋体" w:hAnsi="宋体" w:eastAsia="宋体" w:cs="宋体"/>
          <w:b/>
          <w:bCs/>
          <w:color w:val="auto"/>
          <w:sz w:val="30"/>
          <w:szCs w:val="30"/>
          <w:highlight w:val="none"/>
          <w:lang w:val="zh-CN"/>
        </w:rPr>
      </w:pPr>
    </w:p>
    <w:p w14:paraId="1C7BCA0D">
      <w:pPr>
        <w:autoSpaceDE w:val="0"/>
        <w:autoSpaceDN w:val="0"/>
        <w:adjustRightInd w:val="0"/>
        <w:snapToGrid w:val="0"/>
        <w:spacing w:line="360" w:lineRule="auto"/>
        <w:rPr>
          <w:rFonts w:hint="eastAsia" w:ascii="宋体" w:hAnsi="宋体" w:eastAsia="宋体" w:cs="宋体"/>
          <w:b/>
          <w:bCs/>
          <w:color w:val="auto"/>
          <w:sz w:val="30"/>
          <w:szCs w:val="30"/>
          <w:highlight w:val="none"/>
          <w:lang w:val="zh-CN"/>
        </w:rPr>
      </w:pPr>
      <w:r>
        <w:rPr>
          <w:rFonts w:hint="eastAsia" w:ascii="宋体" w:hAnsi="宋体" w:eastAsia="宋体" w:cs="宋体"/>
          <w:b/>
          <w:bCs/>
          <w:color w:val="auto"/>
          <w:sz w:val="30"/>
          <w:szCs w:val="30"/>
          <w:highlight w:val="none"/>
          <w:lang w:val="zh-CN"/>
        </w:rPr>
        <w:t>项目编号：ZFCG-旬阳市-2026-0708</w:t>
      </w:r>
    </w:p>
    <w:p w14:paraId="3693750D">
      <w:pPr>
        <w:tabs>
          <w:tab w:val="left" w:pos="5670"/>
        </w:tabs>
        <w:autoSpaceDE w:val="0"/>
        <w:autoSpaceDN w:val="0"/>
        <w:adjustRightInd w:val="0"/>
        <w:snapToGrid w:val="0"/>
        <w:spacing w:line="360" w:lineRule="auto"/>
        <w:jc w:val="both"/>
        <w:rPr>
          <w:rFonts w:hint="eastAsia" w:ascii="宋体" w:hAnsi="宋体" w:eastAsia="宋体" w:cs="宋体"/>
          <w:b/>
          <w:bCs/>
          <w:color w:val="auto"/>
          <w:sz w:val="44"/>
          <w:szCs w:val="44"/>
          <w:highlight w:val="none"/>
          <w:lang w:val="en-US" w:eastAsia="zh-CN"/>
        </w:rPr>
      </w:pPr>
    </w:p>
    <w:p w14:paraId="6BE2E295">
      <w:pPr>
        <w:tabs>
          <w:tab w:val="left" w:pos="5670"/>
        </w:tabs>
        <w:autoSpaceDE w:val="0"/>
        <w:autoSpaceDN w:val="0"/>
        <w:adjustRightInd w:val="0"/>
        <w:snapToGrid w:val="0"/>
        <w:spacing w:line="360" w:lineRule="auto"/>
        <w:jc w:val="center"/>
        <w:rPr>
          <w:rFonts w:hint="eastAsia" w:ascii="宋体" w:hAnsi="宋体" w:eastAsia="宋体" w:cs="宋体"/>
          <w:b/>
          <w:bCs/>
          <w:color w:val="auto"/>
          <w:sz w:val="60"/>
          <w:szCs w:val="60"/>
          <w:highlight w:val="none"/>
          <w:lang w:val="en-US" w:eastAsia="zh-CN"/>
        </w:rPr>
      </w:pPr>
      <w:r>
        <w:rPr>
          <w:rFonts w:hint="eastAsia" w:ascii="宋体" w:hAnsi="宋体" w:eastAsia="宋体" w:cs="宋体"/>
          <w:b/>
          <w:bCs/>
          <w:color w:val="auto"/>
          <w:sz w:val="60"/>
          <w:szCs w:val="60"/>
          <w:highlight w:val="none"/>
          <w:lang w:val="en-US" w:eastAsia="zh-CN"/>
        </w:rPr>
        <w:t>旬阳市人民医院</w:t>
      </w:r>
    </w:p>
    <w:p w14:paraId="10F58C52">
      <w:pPr>
        <w:tabs>
          <w:tab w:val="left" w:pos="5670"/>
        </w:tabs>
        <w:autoSpaceDE w:val="0"/>
        <w:autoSpaceDN w:val="0"/>
        <w:adjustRightInd w:val="0"/>
        <w:snapToGrid w:val="0"/>
        <w:spacing w:line="360" w:lineRule="auto"/>
        <w:jc w:val="center"/>
        <w:rPr>
          <w:rFonts w:hint="eastAsia" w:ascii="宋体" w:hAnsi="宋体" w:eastAsia="宋体" w:cs="宋体"/>
          <w:b/>
          <w:bCs/>
          <w:color w:val="auto"/>
          <w:sz w:val="52"/>
          <w:szCs w:val="52"/>
          <w:highlight w:val="none"/>
          <w:lang w:val="zh-CN"/>
        </w:rPr>
      </w:pPr>
      <w:r>
        <w:rPr>
          <w:rFonts w:hint="eastAsia" w:ascii="宋体" w:hAnsi="宋体" w:eastAsia="宋体" w:cs="宋体"/>
          <w:b/>
          <w:bCs/>
          <w:color w:val="auto"/>
          <w:sz w:val="60"/>
          <w:szCs w:val="60"/>
          <w:highlight w:val="none"/>
          <w:lang w:val="en-US" w:eastAsia="zh-CN"/>
        </w:rPr>
        <w:t>耳声发射听觉脑干诱发电位一套</w:t>
      </w:r>
    </w:p>
    <w:p w14:paraId="4E518D50">
      <w:pPr>
        <w:tabs>
          <w:tab w:val="left" w:pos="5670"/>
        </w:tabs>
        <w:autoSpaceDE w:val="0"/>
        <w:autoSpaceDN w:val="0"/>
        <w:adjustRightInd w:val="0"/>
        <w:snapToGrid w:val="0"/>
        <w:spacing w:line="360" w:lineRule="auto"/>
        <w:jc w:val="center"/>
        <w:rPr>
          <w:rFonts w:hint="eastAsia" w:ascii="宋体" w:hAnsi="宋体" w:eastAsia="宋体" w:cs="宋体"/>
          <w:b/>
          <w:bCs/>
          <w:color w:val="auto"/>
          <w:sz w:val="52"/>
          <w:szCs w:val="52"/>
          <w:highlight w:val="none"/>
          <w:lang w:val="zh-CN"/>
        </w:rPr>
      </w:pPr>
    </w:p>
    <w:p w14:paraId="6496F347">
      <w:pPr>
        <w:tabs>
          <w:tab w:val="left" w:pos="5670"/>
        </w:tabs>
        <w:autoSpaceDE w:val="0"/>
        <w:autoSpaceDN w:val="0"/>
        <w:adjustRightInd w:val="0"/>
        <w:snapToGrid w:val="0"/>
        <w:spacing w:line="360" w:lineRule="auto"/>
        <w:jc w:val="center"/>
        <w:rPr>
          <w:rFonts w:hint="eastAsia" w:ascii="宋体" w:hAnsi="宋体" w:eastAsia="宋体" w:cs="宋体"/>
          <w:b/>
          <w:bCs/>
          <w:color w:val="auto"/>
          <w:sz w:val="52"/>
          <w:szCs w:val="52"/>
          <w:highlight w:val="none"/>
          <w:lang w:val="zh-CN"/>
        </w:rPr>
      </w:pPr>
    </w:p>
    <w:p w14:paraId="0F5A1AB0">
      <w:pPr>
        <w:tabs>
          <w:tab w:val="left" w:pos="5670"/>
        </w:tabs>
        <w:autoSpaceDE w:val="0"/>
        <w:autoSpaceDN w:val="0"/>
        <w:adjustRightInd w:val="0"/>
        <w:snapToGrid w:val="0"/>
        <w:spacing w:line="360" w:lineRule="auto"/>
        <w:jc w:val="center"/>
        <w:rPr>
          <w:rFonts w:hint="eastAsia" w:ascii="宋体" w:hAnsi="宋体" w:eastAsia="宋体" w:cs="宋体"/>
          <w:b/>
          <w:bCs/>
          <w:color w:val="auto"/>
          <w:sz w:val="96"/>
          <w:szCs w:val="96"/>
          <w:highlight w:val="none"/>
          <w:lang w:val="zh-CN"/>
        </w:rPr>
      </w:pPr>
      <w:r>
        <w:rPr>
          <w:rFonts w:hint="eastAsia" w:ascii="宋体" w:hAnsi="宋体" w:eastAsia="宋体" w:cs="宋体"/>
          <w:b/>
          <w:bCs/>
          <w:color w:val="auto"/>
          <w:sz w:val="96"/>
          <w:szCs w:val="96"/>
          <w:highlight w:val="none"/>
          <w:lang w:val="zh-CN"/>
        </w:rPr>
        <w:t>招 标 文 件</w:t>
      </w:r>
    </w:p>
    <w:p w14:paraId="6DC37FFD">
      <w:pPr>
        <w:spacing w:line="240" w:lineRule="atLeast"/>
        <w:ind w:left="1079" w:leftChars="257" w:hanging="540"/>
        <w:jc w:val="center"/>
        <w:rPr>
          <w:rFonts w:hint="eastAsia" w:ascii="宋体" w:hAnsi="宋体" w:eastAsia="宋体" w:cs="宋体"/>
          <w:b/>
          <w:color w:val="auto"/>
          <w:sz w:val="32"/>
          <w:szCs w:val="32"/>
          <w:highlight w:val="none"/>
        </w:rPr>
      </w:pPr>
    </w:p>
    <w:p w14:paraId="0CA81AA8">
      <w:pPr>
        <w:spacing w:line="240" w:lineRule="atLeast"/>
        <w:ind w:left="1079" w:leftChars="257" w:hanging="540"/>
        <w:rPr>
          <w:rFonts w:hint="eastAsia" w:ascii="宋体" w:hAnsi="宋体" w:eastAsia="宋体" w:cs="宋体"/>
          <w:b/>
          <w:color w:val="auto"/>
          <w:sz w:val="28"/>
          <w:highlight w:val="none"/>
        </w:rPr>
      </w:pPr>
    </w:p>
    <w:p w14:paraId="1E12EA50">
      <w:pPr>
        <w:spacing w:line="240" w:lineRule="atLeast"/>
        <w:ind w:left="1079" w:leftChars="257" w:hanging="540"/>
        <w:jc w:val="center"/>
        <w:rPr>
          <w:rFonts w:hint="eastAsia" w:ascii="宋体" w:hAnsi="宋体" w:eastAsia="宋体" w:cs="宋体"/>
          <w:b/>
          <w:color w:val="auto"/>
          <w:sz w:val="48"/>
          <w:szCs w:val="48"/>
          <w:highlight w:val="none"/>
        </w:rPr>
      </w:pPr>
    </w:p>
    <w:p w14:paraId="7E94C113">
      <w:pPr>
        <w:spacing w:line="240" w:lineRule="atLeast"/>
        <w:ind w:left="1079" w:leftChars="257" w:hanging="540"/>
        <w:jc w:val="center"/>
        <w:rPr>
          <w:rFonts w:hint="eastAsia" w:ascii="宋体" w:hAnsi="宋体" w:eastAsia="宋体" w:cs="宋体"/>
          <w:b/>
          <w:color w:val="auto"/>
          <w:sz w:val="52"/>
          <w:highlight w:val="none"/>
        </w:rPr>
      </w:pPr>
    </w:p>
    <w:p w14:paraId="138AD6C7">
      <w:pPr>
        <w:shd w:val="clear" w:color="auto" w:fill="auto"/>
        <w:spacing w:line="720" w:lineRule="auto"/>
        <w:ind w:firstLine="1080" w:firstLineChars="300"/>
        <w:jc w:val="both"/>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采   购   人：</w:t>
      </w:r>
      <w:r>
        <w:rPr>
          <w:rFonts w:hint="eastAsia" w:ascii="宋体" w:hAnsi="宋体" w:eastAsia="宋体" w:cs="宋体"/>
          <w:b/>
          <w:bCs/>
          <w:color w:val="auto"/>
          <w:sz w:val="36"/>
          <w:szCs w:val="36"/>
          <w:highlight w:val="none"/>
          <w:lang w:eastAsia="zh-CN"/>
        </w:rPr>
        <w:t>旬阳市人民医院</w:t>
      </w:r>
    </w:p>
    <w:p w14:paraId="54CD60FB">
      <w:pPr>
        <w:shd w:val="clear" w:color="auto" w:fill="auto"/>
        <w:spacing w:line="720" w:lineRule="auto"/>
        <w:ind w:firstLine="1080" w:firstLineChars="300"/>
        <w:jc w:val="both"/>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采购代理机构：</w:t>
      </w:r>
      <w:r>
        <w:rPr>
          <w:rFonts w:hint="eastAsia" w:ascii="宋体" w:hAnsi="宋体" w:eastAsia="宋体" w:cs="宋体"/>
          <w:b/>
          <w:bCs/>
          <w:color w:val="auto"/>
          <w:sz w:val="36"/>
          <w:szCs w:val="36"/>
          <w:highlight w:val="none"/>
          <w:lang w:eastAsia="zh-CN"/>
        </w:rPr>
        <w:t>红昕国际项目管理有限公司</w:t>
      </w:r>
    </w:p>
    <w:p w14:paraId="0778E7AD">
      <w:pPr>
        <w:shd w:val="clear" w:color="auto" w:fill="auto"/>
        <w:spacing w:line="720" w:lineRule="auto"/>
        <w:ind w:firstLine="1080" w:firstLineChars="300"/>
        <w:jc w:val="both"/>
        <w:rPr>
          <w:rFonts w:hint="default"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日        期：202</w:t>
      </w:r>
      <w:r>
        <w:rPr>
          <w:rFonts w:hint="eastAsia" w:ascii="宋体" w:hAnsi="宋体" w:eastAsia="宋体" w:cs="宋体"/>
          <w:b/>
          <w:bCs/>
          <w:color w:val="auto"/>
          <w:sz w:val="36"/>
          <w:szCs w:val="36"/>
          <w:highlight w:val="none"/>
          <w:lang w:val="en-US" w:eastAsia="zh-CN"/>
        </w:rPr>
        <w:t>6</w:t>
      </w:r>
      <w:r>
        <w:rPr>
          <w:rFonts w:hint="eastAsia" w:ascii="宋体" w:hAnsi="宋体" w:eastAsia="宋体" w:cs="宋体"/>
          <w:b/>
          <w:bCs/>
          <w:color w:val="auto"/>
          <w:sz w:val="36"/>
          <w:szCs w:val="36"/>
          <w:highlight w:val="none"/>
        </w:rPr>
        <w:t>年</w:t>
      </w:r>
      <w:r>
        <w:rPr>
          <w:rFonts w:hint="eastAsia" w:ascii="宋体" w:hAnsi="宋体" w:eastAsia="宋体" w:cs="宋体"/>
          <w:b/>
          <w:bCs/>
          <w:color w:val="auto"/>
          <w:sz w:val="36"/>
          <w:szCs w:val="36"/>
          <w:highlight w:val="none"/>
          <w:lang w:val="en-US" w:eastAsia="zh-CN"/>
        </w:rPr>
        <w:t>7</w:t>
      </w:r>
      <w:r>
        <w:rPr>
          <w:rFonts w:hint="eastAsia" w:ascii="宋体" w:hAnsi="宋体" w:eastAsia="宋体" w:cs="宋体"/>
          <w:b/>
          <w:bCs/>
          <w:color w:val="auto"/>
          <w:sz w:val="36"/>
          <w:szCs w:val="36"/>
          <w:highlight w:val="none"/>
        </w:rPr>
        <w:t>月</w:t>
      </w:r>
      <w:r>
        <w:rPr>
          <w:rFonts w:hint="default" w:ascii="宋体" w:hAnsi="宋体" w:cs="宋体"/>
          <w:b/>
          <w:bCs/>
          <w:color w:val="auto"/>
          <w:sz w:val="36"/>
          <w:szCs w:val="36"/>
          <w:highlight w:val="none"/>
        </w:rPr>
        <w:t>13日</w:t>
      </w:r>
    </w:p>
    <w:p w14:paraId="28A55EFA">
      <w:pPr>
        <w:tabs>
          <w:tab w:val="left" w:pos="5460"/>
        </w:tabs>
        <w:autoSpaceDE w:val="0"/>
        <w:autoSpaceDN w:val="0"/>
        <w:adjustRightInd w:val="0"/>
        <w:snapToGrid w:val="0"/>
        <w:spacing w:line="360" w:lineRule="auto"/>
        <w:jc w:val="center"/>
        <w:rPr>
          <w:rFonts w:hint="eastAsia" w:ascii="宋体" w:hAnsi="宋体" w:eastAsia="宋体" w:cs="宋体"/>
          <w:b/>
          <w:bCs/>
          <w:color w:val="auto"/>
          <w:sz w:val="32"/>
          <w:szCs w:val="32"/>
          <w:highlight w:val="none"/>
          <w:lang w:val="zh-CN"/>
        </w:rPr>
        <w:sectPr>
          <w:footerReference r:id="rId3" w:type="default"/>
          <w:pgSz w:w="11906" w:h="16838"/>
          <w:pgMar w:top="1418" w:right="1418" w:bottom="1418" w:left="1418" w:header="851" w:footer="992" w:gutter="0"/>
          <w:pgBorders>
            <w:top w:val="none" w:sz="0" w:space="0"/>
            <w:left w:val="none" w:sz="0" w:space="0"/>
            <w:bottom w:val="none" w:sz="0" w:space="0"/>
            <w:right w:val="none" w:sz="0" w:space="0"/>
          </w:pgBorders>
          <w:cols w:space="720" w:num="1"/>
          <w:docGrid w:type="linesAndChars" w:linePitch="312" w:charSpace="0"/>
        </w:sectPr>
      </w:pPr>
    </w:p>
    <w:p w14:paraId="5C68BD64">
      <w:pPr>
        <w:tabs>
          <w:tab w:val="left" w:pos="5460"/>
        </w:tabs>
        <w:autoSpaceDE w:val="0"/>
        <w:autoSpaceDN w:val="0"/>
        <w:adjustRightInd w:val="0"/>
        <w:snapToGrid w:val="0"/>
        <w:spacing w:line="360" w:lineRule="auto"/>
        <w:jc w:val="center"/>
        <w:rPr>
          <w:rFonts w:hint="eastAsia" w:ascii="宋体" w:hAnsi="宋体" w:eastAsia="宋体" w:cs="宋体"/>
          <w:b/>
          <w:color w:val="auto"/>
          <w:sz w:val="32"/>
          <w:highlight w:val="none"/>
        </w:rPr>
      </w:pPr>
      <w:r>
        <w:rPr>
          <w:rFonts w:hint="eastAsia" w:ascii="宋体" w:hAnsi="宋体" w:eastAsia="宋体" w:cs="宋体"/>
          <w:b/>
          <w:color w:val="auto"/>
          <w:sz w:val="40"/>
          <w:szCs w:val="32"/>
          <w:highlight w:val="none"/>
        </w:rPr>
        <w:t>目  录</w:t>
      </w:r>
    </w:p>
    <w:p w14:paraId="7D7843F2">
      <w:pPr>
        <w:pStyle w:val="11"/>
        <w:keepNext w:val="0"/>
        <w:keepLines w:val="0"/>
        <w:pageBreakBefore w:val="0"/>
        <w:widowControl w:val="0"/>
        <w:tabs>
          <w:tab w:val="right" w:leader="dot" w:pos="9060"/>
        </w:tabs>
        <w:kinsoku/>
        <w:wordWrap/>
        <w:overflowPunct/>
        <w:topLinePunct w:val="0"/>
        <w:autoSpaceDE/>
        <w:autoSpaceDN/>
        <w:bidi w:val="0"/>
        <w:adjustRightInd/>
        <w:snapToGrid/>
        <w:spacing w:line="360" w:lineRule="auto"/>
        <w:ind w:firstLine="3120" w:firstLineChars="1300"/>
        <w:jc w:val="both"/>
        <w:textAlignment w:val="auto"/>
        <w:rPr>
          <w:rFonts w:hint="eastAsia" w:ascii="宋体" w:hAnsi="宋体" w:eastAsia="宋体" w:cs="宋体"/>
          <w:color w:val="auto"/>
          <w:sz w:val="32"/>
          <w:szCs w:val="36"/>
          <w:highlight w:val="none"/>
          <w:lang w:val="en-US" w:eastAsia="zh-CN"/>
        </w:rPr>
      </w:pPr>
      <w:r>
        <w:rPr>
          <w:rFonts w:hint="eastAsia" w:ascii="宋体" w:hAnsi="宋体" w:eastAsia="宋体" w:cs="宋体"/>
          <w:color w:val="auto"/>
          <w:kern w:val="0"/>
          <w:sz w:val="24"/>
          <w:highlight w:val="none"/>
        </w:rPr>
        <w:fldChar w:fldCharType="begin"/>
      </w:r>
      <w:r>
        <w:rPr>
          <w:rFonts w:hint="eastAsia" w:ascii="宋体" w:hAnsi="宋体" w:eastAsia="宋体" w:cs="宋体"/>
          <w:color w:val="auto"/>
          <w:kern w:val="0"/>
          <w:sz w:val="24"/>
          <w:highlight w:val="none"/>
        </w:rPr>
        <w:instrText xml:space="preserve"> TOC \o "1-3" \h \z \u </w:instrText>
      </w:r>
      <w:r>
        <w:rPr>
          <w:rFonts w:hint="eastAsia" w:ascii="宋体" w:hAnsi="宋体" w:eastAsia="宋体" w:cs="宋体"/>
          <w:color w:val="auto"/>
          <w:kern w:val="0"/>
          <w:sz w:val="24"/>
          <w:highlight w:val="none"/>
        </w:rPr>
        <w:fldChar w:fldCharType="separate"/>
      </w:r>
      <w:r>
        <w:rPr>
          <w:rFonts w:hint="eastAsia" w:ascii="宋体" w:hAnsi="宋体" w:eastAsia="宋体" w:cs="宋体"/>
          <w:color w:val="auto"/>
          <w:sz w:val="32"/>
          <w:szCs w:val="40"/>
          <w:highlight w:val="none"/>
        </w:rPr>
        <w:fldChar w:fldCharType="begin"/>
      </w:r>
      <w:r>
        <w:rPr>
          <w:rStyle w:val="19"/>
          <w:rFonts w:hint="eastAsia" w:ascii="宋体" w:hAnsi="宋体" w:eastAsia="宋体" w:cs="宋体"/>
          <w:color w:val="auto"/>
          <w:sz w:val="32"/>
          <w:szCs w:val="40"/>
          <w:highlight w:val="none"/>
        </w:rPr>
        <w:instrText xml:space="preserve"> </w:instrText>
      </w:r>
      <w:r>
        <w:rPr>
          <w:rFonts w:hint="eastAsia" w:ascii="宋体" w:hAnsi="宋体" w:eastAsia="宋体" w:cs="宋体"/>
          <w:color w:val="auto"/>
          <w:sz w:val="32"/>
          <w:szCs w:val="40"/>
          <w:highlight w:val="none"/>
        </w:rPr>
        <w:instrText xml:space="preserve">HYPERLINK \l "_Toc62194292"</w:instrText>
      </w:r>
      <w:r>
        <w:rPr>
          <w:rStyle w:val="19"/>
          <w:rFonts w:hint="eastAsia" w:ascii="宋体" w:hAnsi="宋体" w:eastAsia="宋体" w:cs="宋体"/>
          <w:color w:val="auto"/>
          <w:sz w:val="32"/>
          <w:szCs w:val="40"/>
          <w:highlight w:val="none"/>
        </w:rPr>
        <w:instrText xml:space="preserve"> </w:instrText>
      </w:r>
      <w:r>
        <w:rPr>
          <w:rFonts w:hint="eastAsia" w:ascii="宋体" w:hAnsi="宋体" w:eastAsia="宋体" w:cs="宋体"/>
          <w:color w:val="auto"/>
          <w:sz w:val="32"/>
          <w:szCs w:val="40"/>
          <w:highlight w:val="none"/>
        </w:rPr>
        <w:fldChar w:fldCharType="separate"/>
      </w:r>
      <w:r>
        <w:rPr>
          <w:rStyle w:val="19"/>
          <w:rFonts w:hint="eastAsia" w:ascii="宋体" w:hAnsi="宋体" w:eastAsia="宋体" w:cs="宋体"/>
          <w:color w:val="auto"/>
          <w:sz w:val="32"/>
          <w:szCs w:val="40"/>
          <w:highlight w:val="none"/>
        </w:rPr>
        <w:t>第一章  招标公告</w:t>
      </w:r>
      <w:r>
        <w:rPr>
          <w:rFonts w:hint="eastAsia" w:ascii="宋体" w:hAnsi="宋体" w:eastAsia="宋体" w:cs="宋体"/>
          <w:color w:val="auto"/>
          <w:sz w:val="32"/>
          <w:szCs w:val="40"/>
          <w:highlight w:val="none"/>
        </w:rPr>
        <w:fldChar w:fldCharType="end"/>
      </w:r>
    </w:p>
    <w:p w14:paraId="056C9119">
      <w:pPr>
        <w:pStyle w:val="11"/>
        <w:keepNext w:val="0"/>
        <w:keepLines w:val="0"/>
        <w:pageBreakBefore w:val="0"/>
        <w:widowControl w:val="0"/>
        <w:tabs>
          <w:tab w:val="right" w:leader="dot" w:pos="9060"/>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40"/>
          <w:highlight w:val="none"/>
        </w:rPr>
      </w:pPr>
      <w:r>
        <w:rPr>
          <w:rFonts w:hint="eastAsia" w:ascii="宋体" w:hAnsi="宋体" w:eastAsia="宋体" w:cs="宋体"/>
          <w:color w:val="auto"/>
          <w:sz w:val="32"/>
          <w:szCs w:val="40"/>
          <w:highlight w:val="none"/>
        </w:rPr>
        <w:fldChar w:fldCharType="begin"/>
      </w:r>
      <w:r>
        <w:rPr>
          <w:rStyle w:val="19"/>
          <w:rFonts w:hint="eastAsia" w:ascii="宋体" w:hAnsi="宋体" w:eastAsia="宋体" w:cs="宋体"/>
          <w:color w:val="auto"/>
          <w:sz w:val="32"/>
          <w:szCs w:val="40"/>
          <w:highlight w:val="none"/>
        </w:rPr>
        <w:instrText xml:space="preserve"> </w:instrText>
      </w:r>
      <w:r>
        <w:rPr>
          <w:rFonts w:hint="eastAsia" w:ascii="宋体" w:hAnsi="宋体" w:eastAsia="宋体" w:cs="宋体"/>
          <w:color w:val="auto"/>
          <w:sz w:val="32"/>
          <w:szCs w:val="40"/>
          <w:highlight w:val="none"/>
        </w:rPr>
        <w:instrText xml:space="preserve">HYPERLINK \l "_Toc62194293"</w:instrText>
      </w:r>
      <w:r>
        <w:rPr>
          <w:rStyle w:val="19"/>
          <w:rFonts w:hint="eastAsia" w:ascii="宋体" w:hAnsi="宋体" w:eastAsia="宋体" w:cs="宋体"/>
          <w:color w:val="auto"/>
          <w:sz w:val="32"/>
          <w:szCs w:val="40"/>
          <w:highlight w:val="none"/>
        </w:rPr>
        <w:instrText xml:space="preserve"> </w:instrText>
      </w:r>
      <w:r>
        <w:rPr>
          <w:rFonts w:hint="eastAsia" w:ascii="宋体" w:hAnsi="宋体" w:eastAsia="宋体" w:cs="宋体"/>
          <w:color w:val="auto"/>
          <w:sz w:val="32"/>
          <w:szCs w:val="40"/>
          <w:highlight w:val="none"/>
        </w:rPr>
        <w:fldChar w:fldCharType="separate"/>
      </w:r>
      <w:r>
        <w:rPr>
          <w:rStyle w:val="19"/>
          <w:rFonts w:hint="eastAsia" w:ascii="宋体" w:hAnsi="宋体" w:eastAsia="宋体" w:cs="宋体"/>
          <w:color w:val="auto"/>
          <w:sz w:val="32"/>
          <w:szCs w:val="40"/>
          <w:highlight w:val="none"/>
        </w:rPr>
        <w:t>第二章  投标人须知</w:t>
      </w:r>
      <w:r>
        <w:rPr>
          <w:rFonts w:hint="eastAsia" w:ascii="宋体" w:hAnsi="宋体" w:eastAsia="宋体" w:cs="宋体"/>
          <w:color w:val="auto"/>
          <w:sz w:val="32"/>
          <w:szCs w:val="40"/>
          <w:highlight w:val="none"/>
        </w:rPr>
        <w:fldChar w:fldCharType="end"/>
      </w:r>
    </w:p>
    <w:p w14:paraId="70260507">
      <w:pPr>
        <w:pStyle w:val="11"/>
        <w:keepNext w:val="0"/>
        <w:keepLines w:val="0"/>
        <w:pageBreakBefore w:val="0"/>
        <w:widowControl w:val="0"/>
        <w:tabs>
          <w:tab w:val="right" w:leader="dot" w:pos="9060"/>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6"/>
          <w:highlight w:val="none"/>
        </w:rPr>
      </w:pPr>
      <w:r>
        <w:rPr>
          <w:rFonts w:hint="eastAsia" w:ascii="宋体" w:hAnsi="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rPr>
        <w:fldChar w:fldCharType="begin"/>
      </w:r>
      <w:r>
        <w:rPr>
          <w:rStyle w:val="19"/>
          <w:rFonts w:hint="eastAsia" w:ascii="宋体" w:hAnsi="宋体" w:eastAsia="宋体" w:cs="宋体"/>
          <w:color w:val="auto"/>
          <w:sz w:val="32"/>
          <w:szCs w:val="40"/>
          <w:highlight w:val="none"/>
        </w:rPr>
        <w:instrText xml:space="preserve"> </w:instrText>
      </w:r>
      <w:r>
        <w:rPr>
          <w:rFonts w:hint="eastAsia" w:ascii="宋体" w:hAnsi="宋体" w:eastAsia="宋体" w:cs="宋体"/>
          <w:color w:val="auto"/>
          <w:sz w:val="32"/>
          <w:szCs w:val="40"/>
          <w:highlight w:val="none"/>
        </w:rPr>
        <w:instrText xml:space="preserve">HYPERLINK \l "_Toc62194341"</w:instrText>
      </w:r>
      <w:r>
        <w:rPr>
          <w:rStyle w:val="19"/>
          <w:rFonts w:hint="eastAsia" w:ascii="宋体" w:hAnsi="宋体" w:eastAsia="宋体" w:cs="宋体"/>
          <w:color w:val="auto"/>
          <w:sz w:val="32"/>
          <w:szCs w:val="40"/>
          <w:highlight w:val="none"/>
        </w:rPr>
        <w:instrText xml:space="preserve"> </w:instrText>
      </w:r>
      <w:r>
        <w:rPr>
          <w:rFonts w:hint="eastAsia" w:ascii="宋体" w:hAnsi="宋体" w:eastAsia="宋体" w:cs="宋体"/>
          <w:color w:val="auto"/>
          <w:sz w:val="32"/>
          <w:szCs w:val="40"/>
          <w:highlight w:val="none"/>
        </w:rPr>
        <w:fldChar w:fldCharType="separate"/>
      </w:r>
      <w:r>
        <w:rPr>
          <w:rStyle w:val="19"/>
          <w:rFonts w:hint="eastAsia" w:ascii="宋体" w:hAnsi="宋体" w:eastAsia="宋体" w:cs="宋体"/>
          <w:color w:val="auto"/>
          <w:sz w:val="32"/>
          <w:szCs w:val="40"/>
          <w:highlight w:val="none"/>
        </w:rPr>
        <w:t>第三章  评标方法和标准</w:t>
      </w:r>
      <w:r>
        <w:rPr>
          <w:rFonts w:hint="eastAsia" w:ascii="宋体" w:hAnsi="宋体" w:eastAsia="宋体" w:cs="宋体"/>
          <w:color w:val="auto"/>
          <w:sz w:val="32"/>
          <w:szCs w:val="40"/>
          <w:highlight w:val="none"/>
        </w:rPr>
        <w:fldChar w:fldCharType="end"/>
      </w:r>
    </w:p>
    <w:p w14:paraId="75EAF10A">
      <w:pPr>
        <w:pStyle w:val="11"/>
        <w:keepNext w:val="0"/>
        <w:keepLines w:val="0"/>
        <w:pageBreakBefore w:val="0"/>
        <w:widowControl w:val="0"/>
        <w:tabs>
          <w:tab w:val="right" w:leader="dot" w:pos="9060"/>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6"/>
          <w:highlight w:val="none"/>
        </w:rPr>
      </w:pPr>
      <w:r>
        <w:rPr>
          <w:rFonts w:hint="eastAsia" w:ascii="宋体" w:hAnsi="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rPr>
        <w:fldChar w:fldCharType="begin"/>
      </w:r>
      <w:r>
        <w:rPr>
          <w:rStyle w:val="19"/>
          <w:rFonts w:hint="eastAsia" w:ascii="宋体" w:hAnsi="宋体" w:eastAsia="宋体" w:cs="宋体"/>
          <w:color w:val="auto"/>
          <w:sz w:val="32"/>
          <w:szCs w:val="40"/>
          <w:highlight w:val="none"/>
        </w:rPr>
        <w:instrText xml:space="preserve"> </w:instrText>
      </w:r>
      <w:r>
        <w:rPr>
          <w:rFonts w:hint="eastAsia" w:ascii="宋体" w:hAnsi="宋体" w:eastAsia="宋体" w:cs="宋体"/>
          <w:color w:val="auto"/>
          <w:sz w:val="32"/>
          <w:szCs w:val="40"/>
          <w:highlight w:val="none"/>
        </w:rPr>
        <w:instrText xml:space="preserve">HYPERLINK \l "_Toc62194342"</w:instrText>
      </w:r>
      <w:r>
        <w:rPr>
          <w:rStyle w:val="19"/>
          <w:rFonts w:hint="eastAsia" w:ascii="宋体" w:hAnsi="宋体" w:eastAsia="宋体" w:cs="宋体"/>
          <w:color w:val="auto"/>
          <w:sz w:val="32"/>
          <w:szCs w:val="40"/>
          <w:highlight w:val="none"/>
        </w:rPr>
        <w:instrText xml:space="preserve"> </w:instrText>
      </w:r>
      <w:r>
        <w:rPr>
          <w:rFonts w:hint="eastAsia" w:ascii="宋体" w:hAnsi="宋体" w:eastAsia="宋体" w:cs="宋体"/>
          <w:color w:val="auto"/>
          <w:sz w:val="32"/>
          <w:szCs w:val="40"/>
          <w:highlight w:val="none"/>
        </w:rPr>
        <w:fldChar w:fldCharType="separate"/>
      </w:r>
      <w:r>
        <w:rPr>
          <w:rStyle w:val="19"/>
          <w:rFonts w:hint="eastAsia" w:ascii="宋体" w:hAnsi="宋体" w:eastAsia="宋体" w:cs="宋体"/>
          <w:color w:val="auto"/>
          <w:sz w:val="32"/>
          <w:szCs w:val="40"/>
          <w:highlight w:val="none"/>
        </w:rPr>
        <w:t>第四章  拟签订的合同文本</w:t>
      </w:r>
      <w:r>
        <w:rPr>
          <w:rFonts w:hint="eastAsia" w:ascii="宋体" w:hAnsi="宋体" w:eastAsia="宋体" w:cs="宋体"/>
          <w:color w:val="auto"/>
          <w:sz w:val="32"/>
          <w:szCs w:val="40"/>
          <w:highlight w:val="none"/>
        </w:rPr>
        <w:fldChar w:fldCharType="end"/>
      </w:r>
    </w:p>
    <w:p w14:paraId="02F4F625">
      <w:pPr>
        <w:pStyle w:val="11"/>
        <w:keepNext w:val="0"/>
        <w:keepLines w:val="0"/>
        <w:pageBreakBefore w:val="0"/>
        <w:widowControl w:val="0"/>
        <w:tabs>
          <w:tab w:val="right" w:leader="dot" w:pos="9060"/>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6"/>
          <w:highlight w:val="none"/>
          <w:lang w:val="en-US" w:eastAsia="zh-CN"/>
        </w:rPr>
      </w:pPr>
      <w:r>
        <w:rPr>
          <w:rFonts w:hint="eastAsia" w:ascii="宋体" w:hAnsi="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rPr>
        <w:fldChar w:fldCharType="begin"/>
      </w:r>
      <w:r>
        <w:rPr>
          <w:rStyle w:val="19"/>
          <w:rFonts w:hint="eastAsia" w:ascii="宋体" w:hAnsi="宋体" w:eastAsia="宋体" w:cs="宋体"/>
          <w:color w:val="auto"/>
          <w:sz w:val="32"/>
          <w:szCs w:val="40"/>
          <w:highlight w:val="none"/>
        </w:rPr>
        <w:instrText xml:space="preserve"> </w:instrText>
      </w:r>
      <w:r>
        <w:rPr>
          <w:rFonts w:hint="eastAsia" w:ascii="宋体" w:hAnsi="宋体" w:eastAsia="宋体" w:cs="宋体"/>
          <w:color w:val="auto"/>
          <w:sz w:val="32"/>
          <w:szCs w:val="40"/>
          <w:highlight w:val="none"/>
        </w:rPr>
        <w:instrText xml:space="preserve">HYPERLINK \l "_Toc62194343"</w:instrText>
      </w:r>
      <w:r>
        <w:rPr>
          <w:rStyle w:val="19"/>
          <w:rFonts w:hint="eastAsia" w:ascii="宋体" w:hAnsi="宋体" w:eastAsia="宋体" w:cs="宋体"/>
          <w:color w:val="auto"/>
          <w:sz w:val="32"/>
          <w:szCs w:val="40"/>
          <w:highlight w:val="none"/>
        </w:rPr>
        <w:instrText xml:space="preserve"> </w:instrText>
      </w:r>
      <w:r>
        <w:rPr>
          <w:rFonts w:hint="eastAsia" w:ascii="宋体" w:hAnsi="宋体" w:eastAsia="宋体" w:cs="宋体"/>
          <w:color w:val="auto"/>
          <w:sz w:val="32"/>
          <w:szCs w:val="40"/>
          <w:highlight w:val="none"/>
        </w:rPr>
        <w:fldChar w:fldCharType="separate"/>
      </w:r>
      <w:r>
        <w:rPr>
          <w:rStyle w:val="19"/>
          <w:rFonts w:hint="eastAsia" w:ascii="宋体" w:hAnsi="宋体" w:eastAsia="宋体" w:cs="宋体"/>
          <w:color w:val="auto"/>
          <w:sz w:val="32"/>
          <w:szCs w:val="40"/>
          <w:highlight w:val="none"/>
        </w:rPr>
        <w:t>第五章  采购需求及要求</w:t>
      </w:r>
      <w:r>
        <w:rPr>
          <w:rFonts w:hint="eastAsia" w:ascii="宋体" w:hAnsi="宋体" w:eastAsia="宋体" w:cs="宋体"/>
          <w:color w:val="auto"/>
          <w:sz w:val="32"/>
          <w:szCs w:val="40"/>
          <w:highlight w:val="none"/>
        </w:rPr>
        <w:fldChar w:fldCharType="end"/>
      </w:r>
    </w:p>
    <w:p w14:paraId="18FC43CD">
      <w:pPr>
        <w:pStyle w:val="11"/>
        <w:keepNext w:val="0"/>
        <w:keepLines w:val="0"/>
        <w:pageBreakBefore w:val="0"/>
        <w:widowControl w:val="0"/>
        <w:tabs>
          <w:tab w:val="right" w:leader="dot" w:pos="9060"/>
        </w:tabs>
        <w:kinsoku/>
        <w:wordWrap/>
        <w:overflowPunct/>
        <w:topLinePunct w:val="0"/>
        <w:autoSpaceDE/>
        <w:autoSpaceDN/>
        <w:bidi w:val="0"/>
        <w:adjustRightInd/>
        <w:snapToGrid/>
        <w:spacing w:line="360" w:lineRule="auto"/>
        <w:jc w:val="center"/>
        <w:textAlignment w:val="auto"/>
        <w:rPr>
          <w:rStyle w:val="19"/>
          <w:rFonts w:hint="eastAsia" w:ascii="宋体" w:hAnsi="宋体" w:eastAsia="宋体" w:cs="宋体"/>
          <w:color w:val="auto"/>
          <w:sz w:val="32"/>
          <w:szCs w:val="40"/>
          <w:highlight w:val="none"/>
        </w:rPr>
      </w:pPr>
      <w:r>
        <w:rPr>
          <w:rFonts w:hint="eastAsia" w:ascii="宋体" w:hAnsi="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rPr>
        <w:fldChar w:fldCharType="begin"/>
      </w:r>
      <w:r>
        <w:rPr>
          <w:rStyle w:val="19"/>
          <w:rFonts w:hint="eastAsia" w:ascii="宋体" w:hAnsi="宋体" w:eastAsia="宋体" w:cs="宋体"/>
          <w:color w:val="auto"/>
          <w:sz w:val="32"/>
          <w:szCs w:val="40"/>
          <w:highlight w:val="none"/>
        </w:rPr>
        <w:instrText xml:space="preserve"> </w:instrText>
      </w:r>
      <w:r>
        <w:rPr>
          <w:rFonts w:hint="eastAsia" w:ascii="宋体" w:hAnsi="宋体" w:eastAsia="宋体" w:cs="宋体"/>
          <w:color w:val="auto"/>
          <w:sz w:val="32"/>
          <w:szCs w:val="40"/>
          <w:highlight w:val="none"/>
        </w:rPr>
        <w:instrText xml:space="preserve">HYPERLINK \l "_Toc62194344"</w:instrText>
      </w:r>
      <w:r>
        <w:rPr>
          <w:rStyle w:val="19"/>
          <w:rFonts w:hint="eastAsia" w:ascii="宋体" w:hAnsi="宋体" w:eastAsia="宋体" w:cs="宋体"/>
          <w:color w:val="auto"/>
          <w:sz w:val="32"/>
          <w:szCs w:val="40"/>
          <w:highlight w:val="none"/>
        </w:rPr>
        <w:instrText xml:space="preserve"> </w:instrText>
      </w:r>
      <w:r>
        <w:rPr>
          <w:rFonts w:hint="eastAsia" w:ascii="宋体" w:hAnsi="宋体" w:eastAsia="宋体" w:cs="宋体"/>
          <w:color w:val="auto"/>
          <w:sz w:val="32"/>
          <w:szCs w:val="40"/>
          <w:highlight w:val="none"/>
        </w:rPr>
        <w:fldChar w:fldCharType="separate"/>
      </w:r>
      <w:r>
        <w:rPr>
          <w:rStyle w:val="19"/>
          <w:rFonts w:hint="eastAsia" w:ascii="宋体" w:hAnsi="宋体" w:eastAsia="宋体" w:cs="宋体"/>
          <w:color w:val="auto"/>
          <w:sz w:val="32"/>
          <w:szCs w:val="40"/>
          <w:highlight w:val="none"/>
        </w:rPr>
        <w:t>第六章  投标文件格式</w:t>
      </w:r>
      <w:r>
        <w:rPr>
          <w:rFonts w:hint="eastAsia" w:ascii="宋体" w:hAnsi="宋体" w:eastAsia="宋体" w:cs="宋体"/>
          <w:color w:val="auto"/>
          <w:sz w:val="32"/>
          <w:szCs w:val="40"/>
          <w:highlight w:val="none"/>
        </w:rPr>
        <w:fldChar w:fldCharType="end"/>
      </w:r>
    </w:p>
    <w:p w14:paraId="26F46CA2">
      <w:pPr>
        <w:rPr>
          <w:rFonts w:hint="eastAsia"/>
        </w:rPr>
      </w:pPr>
    </w:p>
    <w:p w14:paraId="3FE2B730">
      <w:pPr>
        <w:pStyle w:val="12"/>
        <w:tabs>
          <w:tab w:val="right" w:leader="dot" w:pos="9060"/>
        </w:tabs>
        <w:spacing w:line="500" w:lineRule="exact"/>
        <w:rPr>
          <w:rFonts w:hint="eastAsia" w:ascii="宋体" w:hAnsi="宋体" w:eastAsia="宋体" w:cs="宋体"/>
          <w:color w:val="auto"/>
          <w:sz w:val="24"/>
          <w:szCs w:val="28"/>
          <w:highlight w:val="none"/>
        </w:rPr>
      </w:pPr>
    </w:p>
    <w:p w14:paraId="02888E10">
      <w:pPr>
        <w:pStyle w:val="14"/>
        <w:spacing w:line="500" w:lineRule="exact"/>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szCs w:val="24"/>
          <w:highlight w:val="none"/>
        </w:rPr>
        <w:fldChar w:fldCharType="end"/>
      </w:r>
      <w:bookmarkStart w:id="0" w:name="_Toc17230"/>
      <w:bookmarkStart w:id="1" w:name="_Toc216582804"/>
      <w:bookmarkStart w:id="2" w:name="_Toc22782"/>
      <w:r>
        <w:rPr>
          <w:rFonts w:hint="eastAsia" w:ascii="宋体" w:hAnsi="宋体" w:eastAsia="宋体" w:cs="宋体"/>
          <w:color w:val="auto"/>
          <w:kern w:val="0"/>
          <w:sz w:val="24"/>
          <w:highlight w:val="none"/>
        </w:rPr>
        <w:t xml:space="preserve">       </w:t>
      </w:r>
    </w:p>
    <w:p w14:paraId="72B08265">
      <w:pPr>
        <w:pStyle w:val="14"/>
        <w:rPr>
          <w:rFonts w:hint="eastAsia" w:ascii="宋体" w:hAnsi="宋体" w:eastAsia="宋体" w:cs="宋体"/>
          <w:color w:val="auto"/>
          <w:highlight w:val="none"/>
        </w:rPr>
      </w:pPr>
    </w:p>
    <w:p w14:paraId="1A11B8DE">
      <w:pPr>
        <w:tabs>
          <w:tab w:val="center" w:pos="4535"/>
        </w:tabs>
        <w:bidi w:val="0"/>
        <w:jc w:val="left"/>
        <w:rPr>
          <w:rFonts w:hint="eastAsia" w:eastAsia="宋体"/>
          <w:lang w:eastAsia="zh-CN"/>
        </w:rPr>
        <w:sectPr>
          <w:footerReference r:id="rId4" w:type="default"/>
          <w:pgSz w:w="11906" w:h="16838"/>
          <w:pgMar w:top="1418" w:right="1418" w:bottom="1418" w:left="1418" w:header="851" w:footer="992" w:gutter="0"/>
          <w:pgBorders>
            <w:top w:val="none" w:sz="0" w:space="0"/>
            <w:left w:val="none" w:sz="0" w:space="0"/>
            <w:bottom w:val="none" w:sz="0" w:space="0"/>
            <w:right w:val="none" w:sz="0" w:space="0"/>
          </w:pgBorders>
          <w:pgNumType w:start="1"/>
          <w:cols w:space="720" w:num="1"/>
          <w:docGrid w:type="linesAndChars" w:linePitch="312" w:charSpace="0"/>
        </w:sectPr>
      </w:pPr>
      <w:r>
        <w:rPr>
          <w:rFonts w:hint="eastAsia"/>
          <w:lang w:eastAsia="zh-CN"/>
        </w:rPr>
        <w:tab/>
      </w:r>
    </w:p>
    <w:p w14:paraId="5A5642E5">
      <w:pPr>
        <w:pStyle w:val="14"/>
        <w:rPr>
          <w:rFonts w:hint="eastAsia" w:ascii="宋体" w:hAnsi="宋体" w:eastAsia="宋体" w:cs="宋体"/>
          <w:color w:val="auto"/>
          <w:highlight w:val="none"/>
        </w:rPr>
      </w:pPr>
      <w:r>
        <w:rPr>
          <w:rFonts w:hint="eastAsia" w:ascii="宋体" w:hAnsi="宋体" w:eastAsia="宋体" w:cs="宋体"/>
          <w:color w:val="auto"/>
          <w:highlight w:val="none"/>
        </w:rPr>
        <w:t>第一章  招标公告</w:t>
      </w:r>
    </w:p>
    <w:p w14:paraId="69F2C7A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jc w:val="left"/>
        <w:textAlignment w:val="baseline"/>
        <w:rPr>
          <w:rFonts w:hint="eastAsia" w:ascii="宋体" w:hAnsi="宋体" w:eastAsia="宋体" w:cs="宋体"/>
          <w:b w:val="0"/>
          <w:bCs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项目概况</w:t>
      </w:r>
    </w:p>
    <w:p w14:paraId="7F6877B8">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耳声发射听觉脑干诱发电位一套招标项目的潜在投标人应在全国公共资源交易平台（陕西省·安康市）获取招标文件，并于 2026年08月03日 09时00分 （北京时间）前递交投标文件。</w:t>
      </w:r>
    </w:p>
    <w:p w14:paraId="7529741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一、项目基本情况</w:t>
      </w:r>
    </w:p>
    <w:p w14:paraId="624B437C">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项目编号：ZFCG-旬阳市-2026-0708</w:t>
      </w:r>
    </w:p>
    <w:p w14:paraId="7902C77D">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项目名称：耳声发射听觉脑干诱发电位一套</w:t>
      </w:r>
    </w:p>
    <w:p w14:paraId="43EED3B2">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采购方式：公开招标</w:t>
      </w:r>
    </w:p>
    <w:p w14:paraId="3A5A62AA">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预算金额：530,000.00元</w:t>
      </w:r>
    </w:p>
    <w:p w14:paraId="19B9A412">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采购需求：</w:t>
      </w:r>
    </w:p>
    <w:p w14:paraId="73A2367B">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合同包1(旬阳市人民医院耳声发射听觉脑干诱发电位一套):</w:t>
      </w:r>
    </w:p>
    <w:p w14:paraId="16AA79E0">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合同包预算金额：530,000.00元</w:t>
      </w:r>
    </w:p>
    <w:p w14:paraId="77DE4611">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合同包最高限价：530,000.00元</w:t>
      </w:r>
    </w:p>
    <w:tbl>
      <w:tblPr>
        <w:tblStyle w:val="15"/>
        <w:tblW w:w="85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25"/>
        <w:gridCol w:w="1517"/>
        <w:gridCol w:w="1541"/>
        <w:gridCol w:w="1482"/>
        <w:gridCol w:w="1632"/>
        <w:gridCol w:w="1440"/>
      </w:tblGrid>
      <w:tr w14:paraId="40B95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13" w:hRule="atLeast"/>
          <w:tblHeader/>
        </w:trPr>
        <w:tc>
          <w:tcPr>
            <w:tcW w:w="9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83575A">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5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DE061B">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159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81E964">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15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9C1471">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B6CCF5">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3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F75955">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47A4C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38" w:hRule="atLeast"/>
        </w:trPr>
        <w:tc>
          <w:tcPr>
            <w:tcW w:w="9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6D01C1">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15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370E5C">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其他医疗设备</w:t>
            </w:r>
          </w:p>
        </w:tc>
        <w:tc>
          <w:tcPr>
            <w:tcW w:w="159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48577C">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耳声发射听觉脑干诱发电位</w:t>
            </w:r>
          </w:p>
        </w:tc>
        <w:tc>
          <w:tcPr>
            <w:tcW w:w="15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CD8171">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1(套)</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7B0BB9">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A21A9D">
            <w:pPr>
              <w:keepNext w:val="0"/>
              <w:keepLines w:val="0"/>
              <w:widowControl/>
              <w:suppressLineNumbers w:val="0"/>
              <w:wordWrap/>
              <w:spacing w:before="0" w:beforeAutospacing="0" w:after="0" w:afterAutospacing="0" w:line="360" w:lineRule="auto"/>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530,000.00</w:t>
            </w:r>
          </w:p>
        </w:tc>
      </w:tr>
    </w:tbl>
    <w:p w14:paraId="6E7BC8BB">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10FE7F79">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合同履行期限：14日历天</w:t>
      </w:r>
    </w:p>
    <w:p w14:paraId="4F7EA60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二、申请人的资格要求：</w:t>
      </w:r>
    </w:p>
    <w:p w14:paraId="2BFEFD45">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1.满足《中华人民共和国政府采购法》第二十二条规定;</w:t>
      </w:r>
    </w:p>
    <w:p w14:paraId="6EAB6379">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2.落实政府采购政策需满足的资格要求：</w:t>
      </w:r>
    </w:p>
    <w:p w14:paraId="4D613DE6">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合同包1(旬阳市人民医院耳声发射听觉脑干诱发电位一套)落实政府采购政策需满足的资格要求如下:</w:t>
      </w:r>
    </w:p>
    <w:p w14:paraId="3A339100">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本项目专门面向中小企业</w:t>
      </w:r>
    </w:p>
    <w:p w14:paraId="5DD31A98">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3.本项目的特定资格要求：</w:t>
      </w:r>
    </w:p>
    <w:p w14:paraId="0455BA56">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合同包1(旬阳市人民医院耳声发射听觉脑干诱发电位一套)特定资格要求如下:</w:t>
      </w:r>
    </w:p>
    <w:p w14:paraId="6A71ECE1">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（2）法定代表人委托授权书（法定代表人参加不需提供，但需要提供法定代表人身份证）及被授权人身份证；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3）投标人在递交投标文件截止时间前被“信用中国”网站（www.creditchina.gov.cn）和中国政府采购网（www.ccgp.gov.cn）上被列入失信被执行人、重大税收违法案件当事人名单、政府采购严重违法失信行为记录名单的，不得参加投标；</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（4）提供2024年或2025年财务审计报告或投标截止时间前六个月内基本开户银行出具的资信证明（成立时间至提交响应文件截止时间不足一年的可提供成立后任意时段的资产负债表）；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（5）提供投标截止日前一年内已缴纳的至少1个月的纳税证明或完税证明（任意税种），依法免税的单位应提供相关证明材料；</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（6）提供投标截止日前一年内已缴存的至少1个月的社会保障资金缴存单据或社保机构开具的社会保险参保缴费情况证明，依法不需要缴纳社会保障资金的单位应提供相关证明材料；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（7）提供参加政府采购活动前三年内，在经营活动中没有重大违法记录书面声明；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（8）提供医疗器械经营许可证、生产企业许可证、产品注册证、营业执照；</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（9）投标人所供第三类医疗器械和部分第二类医疗器械（国家药监局、国家卫生健康委、国家医保局第三批实施医疗器械唯一标识的产品目录2023年第22号）须提供唯一标识信息；</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（10）本项目不接受联合体投标；</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（11）本项目专门面向中小企业，投标企业须提供中小企业声明函。</w:t>
      </w:r>
    </w:p>
    <w:p w14:paraId="402EBAD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三、获取招标文件</w:t>
      </w:r>
    </w:p>
    <w:p w14:paraId="17DB26A1">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时间：2026年07月14日至2026年07月20日，每天上午08:00:00至12:00:00，下午12:00:00至18:00:00（北京时间）</w:t>
      </w:r>
    </w:p>
    <w:p w14:paraId="667FB081">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途径：全国公共资源交易平台（陕西省·安康市）</w:t>
      </w:r>
    </w:p>
    <w:p w14:paraId="42532784">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方式：在线获取</w:t>
      </w:r>
    </w:p>
    <w:p w14:paraId="7A8D636D">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售价： 0元</w:t>
      </w:r>
    </w:p>
    <w:p w14:paraId="3FEE0EF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四、提交投标文件截止时间、开标时间和地点</w:t>
      </w:r>
    </w:p>
    <w:p w14:paraId="4D336CE8">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时间： 2026年08月03日 09时00分00秒 （北京时间）</w:t>
      </w:r>
    </w:p>
    <w:p w14:paraId="6BD8195D">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提交投标文件地点：全国公共资源交易平台（陕西省·安康市）</w:t>
      </w:r>
    </w:p>
    <w:p w14:paraId="2F3968BC">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开标地点：安康市公共资源交易中心不见面开标大厅</w:t>
      </w:r>
    </w:p>
    <w:p w14:paraId="054257F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五、公告期限</w:t>
      </w:r>
    </w:p>
    <w:p w14:paraId="32C6AD7F">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自本公告发布之日起5个工作日。</w:t>
      </w:r>
    </w:p>
    <w:p w14:paraId="60ED590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六、其他补充事宜</w:t>
      </w:r>
    </w:p>
    <w:p w14:paraId="71896D94">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1.投标供应商使用捆绑陕西省公共资源交易平台的CA锁登录电子交易平台，通过政府采购系统企业端进入，点击“我要投标”并完善相关投标信息；</w:t>
      </w:r>
    </w:p>
    <w:p w14:paraId="459DC5B3">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2.投标供应商须在文件获取截止时间前登录电子交易平台下载招标文件，否则责任自负；</w:t>
      </w:r>
    </w:p>
    <w:p w14:paraId="19F89EE5">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3.本项目采用电子化投标及远程不见面开标方式，相关操作流程详见全国公共资源交易平台（陕西省）网站(服务指南-下载专区)中的《陕西省公共资源交易中心政府采购项目投标指南》，电子招标文件技术支持：4009280095/4009980000；</w:t>
      </w:r>
    </w:p>
    <w:p w14:paraId="5AF91A7F">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4.未及时下载文件的将会影响后续开评标活动；</w:t>
      </w:r>
    </w:p>
    <w:p w14:paraId="141206A2">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5.落实政府采购政策：</w:t>
      </w:r>
    </w:p>
    <w:p w14:paraId="4B0B9E4C">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5.1《关于进一步加大政府采购支持中小企业力度的通知》（财库〔2022〕19号）、《政府采购促进中小企业发展管理办法》（财库〔2020〕46号）、《财政部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6EEFC2CB">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5.2《国务院办公厅关于建立政府强制采购节能产品制度的通知》（国办发〔2007〕51号）、《财政部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30EDBB6F">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5.3《关于运用政府采购政策支持乡村产业振兴的通知》（财库〔2021〕19 号）、《关于印发&lt;关于深入开展政府采购脱贫地区农副产品工作推进乡村产业振兴的实施意见&gt;的通知》（财库〔2021〕20 号）。</w:t>
      </w:r>
    </w:p>
    <w:p w14:paraId="71C2683A">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5.4《国家互联网信息办公室 工业和信息化部 公安部 财政部 国家认证认可监督管理委员会关于调整网络安全专用产品安全管理有关事项的公告》（2023年第1号）。</w:t>
      </w:r>
    </w:p>
    <w:p w14:paraId="7F988EE1">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5.5《陕西省财政厅关于加快推进我省中小企业政府采购信用融资工作的通知》（陕财办采〔2020〕15 号）、《陕西省财政厅关于印发&lt;陕西省中小企业政府采购信用融资办法&gt;的通知》（陕财办采〔2018〕23 号）。</w:t>
      </w:r>
    </w:p>
    <w:p w14:paraId="27669141">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5.6《关于扩大政府采购支持绿色建材促进建筑品质提升政策实施范围的通知》（财库〔2022〕35号）、《财政部办公厅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06C06D54">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5.7《国务院办公厅关于在政府采购中实施本国产品标准及相关政策的通知》（国办发〔2025〕34号）。</w:t>
      </w:r>
    </w:p>
    <w:p w14:paraId="67C3091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18"/>
          <w:rFonts w:hint="eastAsia" w:ascii="宋体" w:hAnsi="宋体" w:eastAsia="宋体" w:cs="宋体"/>
          <w:b/>
          <w:bCs/>
          <w:i w:val="0"/>
          <w:iCs w:val="0"/>
          <w:caps w:val="0"/>
          <w:color w:val="333333"/>
          <w:spacing w:val="0"/>
          <w:sz w:val="24"/>
          <w:szCs w:val="24"/>
          <w:shd w:val="clear" w:fill="FFFFFF"/>
          <w:vertAlign w:val="baseline"/>
        </w:rPr>
        <w:t>七、对本次招标提出询问，请按以下方式联系。</w:t>
      </w:r>
    </w:p>
    <w:p w14:paraId="7893B8B5">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1.采购人信息</w:t>
      </w:r>
    </w:p>
    <w:p w14:paraId="54DC2014">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名称：旬阳市人民医院</w:t>
      </w:r>
    </w:p>
    <w:p w14:paraId="780FFD15">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地址：城关镇健康路27号</w:t>
      </w:r>
    </w:p>
    <w:p w14:paraId="658B9A26">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联系方式：18292529197</w:t>
      </w:r>
    </w:p>
    <w:p w14:paraId="78F5F22F">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2.采购代理机构信息</w:t>
      </w:r>
    </w:p>
    <w:p w14:paraId="018BCE02">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名称：红昕国际项目管理有限公司</w:t>
      </w:r>
    </w:p>
    <w:p w14:paraId="23132063">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地址：陕西省西安市国家民用航天产业基地航天城中心广场2幢1单元12002-12006室</w:t>
      </w:r>
    </w:p>
    <w:p w14:paraId="77E3CAC2">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联系方式：17809152673</w:t>
      </w:r>
    </w:p>
    <w:p w14:paraId="412BD6F2">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3.项目联系方式</w:t>
      </w:r>
    </w:p>
    <w:p w14:paraId="7E214416">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项目联系人：刘工</w:t>
      </w:r>
    </w:p>
    <w:p w14:paraId="64360C23">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电话：17809152673</w:t>
      </w:r>
    </w:p>
    <w:p w14:paraId="05A4646F">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红昕国际项目管理有限公司</w:t>
      </w:r>
    </w:p>
    <w:p w14:paraId="795A40DE">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2026年07月13日</w:t>
      </w:r>
    </w:p>
    <w:p w14:paraId="75DB6603"/>
    <w:p w14:paraId="695133B4">
      <w:pPr>
        <w:pStyle w:val="14"/>
        <w:rPr>
          <w:rFonts w:hint="eastAsia" w:ascii="宋体" w:hAnsi="宋体" w:eastAsia="宋体" w:cs="宋体"/>
          <w:color w:val="auto"/>
          <w:highlight w:val="none"/>
        </w:rPr>
      </w:pPr>
      <w:r>
        <w:rPr>
          <w:rFonts w:hint="eastAsia" w:ascii="宋体" w:hAnsi="宋体" w:eastAsia="宋体" w:cs="宋体"/>
          <w:color w:val="auto"/>
          <w:highlight w:val="none"/>
        </w:rPr>
        <w:t xml:space="preserve">第二章  </w:t>
      </w:r>
      <w:bookmarkStart w:id="3" w:name="_Toc532473448"/>
      <w:bookmarkStart w:id="4" w:name="_Toc515647756"/>
      <w:r>
        <w:rPr>
          <w:rFonts w:hint="eastAsia" w:ascii="宋体" w:hAnsi="宋体" w:eastAsia="宋体" w:cs="宋体"/>
          <w:color w:val="auto"/>
          <w:highlight w:val="none"/>
        </w:rPr>
        <w:t>投标人须知</w:t>
      </w:r>
      <w:bookmarkEnd w:id="0"/>
      <w:bookmarkEnd w:id="1"/>
      <w:bookmarkEnd w:id="2"/>
      <w:bookmarkEnd w:id="3"/>
      <w:bookmarkEnd w:id="4"/>
    </w:p>
    <w:p w14:paraId="5E1124CD">
      <w:pPr>
        <w:pStyle w:val="2"/>
        <w:rPr>
          <w:rFonts w:hint="eastAsia" w:ascii="宋体" w:hAnsi="宋体" w:eastAsia="宋体" w:cs="宋体"/>
          <w:color w:val="auto"/>
          <w:sz w:val="28"/>
          <w:szCs w:val="28"/>
          <w:highlight w:val="none"/>
        </w:rPr>
      </w:pPr>
      <w:bookmarkStart w:id="5" w:name="_Toc62194294"/>
      <w:r>
        <w:rPr>
          <w:rFonts w:hint="eastAsia" w:ascii="宋体" w:hAnsi="宋体" w:eastAsia="宋体" w:cs="宋体"/>
          <w:color w:val="auto"/>
          <w:sz w:val="28"/>
          <w:szCs w:val="28"/>
          <w:highlight w:val="none"/>
        </w:rPr>
        <w:t>（一）投标人须知前附表</w:t>
      </w:r>
      <w:bookmarkEnd w:id="5"/>
    </w:p>
    <w:p w14:paraId="609787C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本表是对投标人须知的具体补充和修改，如有矛盾，应以本</w:t>
      </w:r>
      <w:r>
        <w:rPr>
          <w:rFonts w:hint="eastAsia" w:ascii="宋体" w:hAnsi="宋体" w:eastAsia="宋体" w:cs="宋体"/>
          <w:color w:val="auto"/>
          <w:sz w:val="24"/>
          <w:highlight w:val="none"/>
          <w:lang w:val="en-US" w:eastAsia="zh-CN"/>
        </w:rPr>
        <w:t>表</w:t>
      </w:r>
      <w:r>
        <w:rPr>
          <w:rFonts w:hint="eastAsia" w:ascii="宋体" w:hAnsi="宋体" w:eastAsia="宋体" w:cs="宋体"/>
          <w:color w:val="auto"/>
          <w:sz w:val="24"/>
          <w:highlight w:val="none"/>
        </w:rPr>
        <w:t>为准。</w:t>
      </w:r>
    </w:p>
    <w:tbl>
      <w:tblPr>
        <w:tblStyle w:val="15"/>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68"/>
        <w:gridCol w:w="180"/>
        <w:gridCol w:w="7452"/>
      </w:tblGrid>
      <w:tr w14:paraId="440F74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468" w:type="dxa"/>
            <w:noWrap w:val="0"/>
            <w:vAlign w:val="center"/>
          </w:tcPr>
          <w:p w14:paraId="7903C82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条款号</w:t>
            </w:r>
          </w:p>
        </w:tc>
        <w:tc>
          <w:tcPr>
            <w:tcW w:w="7632" w:type="dxa"/>
            <w:gridSpan w:val="2"/>
            <w:noWrap w:val="0"/>
            <w:vAlign w:val="center"/>
          </w:tcPr>
          <w:p w14:paraId="3C2A748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内    容</w:t>
            </w:r>
          </w:p>
        </w:tc>
      </w:tr>
      <w:tr w14:paraId="1C6F4B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05" w:hRule="atLeast"/>
        </w:trPr>
        <w:tc>
          <w:tcPr>
            <w:tcW w:w="1468" w:type="dxa"/>
            <w:noWrap w:val="0"/>
            <w:vAlign w:val="center"/>
          </w:tcPr>
          <w:p w14:paraId="19FDC6A0">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7632" w:type="dxa"/>
            <w:gridSpan w:val="2"/>
            <w:noWrap w:val="0"/>
            <w:vAlign w:val="center"/>
          </w:tcPr>
          <w:p w14:paraId="193DB4B4">
            <w:pPr>
              <w:shd w:val="clear" w:color="auto" w:fill="auto"/>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采购人：</w:t>
            </w:r>
            <w:r>
              <w:rPr>
                <w:rFonts w:hint="eastAsia" w:ascii="宋体" w:hAnsi="宋体" w:eastAsia="宋体" w:cs="宋体"/>
                <w:color w:val="auto"/>
                <w:sz w:val="24"/>
                <w:highlight w:val="none"/>
                <w:lang w:eastAsia="zh-CN"/>
              </w:rPr>
              <w:t>旬阳市人民医院</w:t>
            </w:r>
          </w:p>
          <w:p w14:paraId="38898DC8">
            <w:pPr>
              <w:shd w:val="clear" w:color="auto" w:fill="auto"/>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szCs w:val="24"/>
                <w:highlight w:val="none"/>
              </w:rPr>
              <w:t>旬阳市城关镇健康路27号</w:t>
            </w:r>
          </w:p>
        </w:tc>
      </w:tr>
      <w:tr w14:paraId="2FAF91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99" w:hRule="atLeast"/>
        </w:trPr>
        <w:tc>
          <w:tcPr>
            <w:tcW w:w="1468" w:type="dxa"/>
            <w:noWrap w:val="0"/>
            <w:vAlign w:val="center"/>
          </w:tcPr>
          <w:p w14:paraId="73936AB3">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7632" w:type="dxa"/>
            <w:gridSpan w:val="2"/>
            <w:noWrap w:val="0"/>
            <w:vAlign w:val="center"/>
          </w:tcPr>
          <w:p w14:paraId="064A3425">
            <w:pPr>
              <w:shd w:val="clear" w:color="auto" w:fill="auto"/>
              <w:adjustRightInd w:val="0"/>
              <w:snapToGrid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采购代理机构：</w:t>
            </w:r>
            <w:r>
              <w:rPr>
                <w:rFonts w:hint="eastAsia" w:ascii="宋体" w:hAnsi="宋体" w:eastAsia="宋体" w:cs="宋体"/>
                <w:color w:val="auto"/>
                <w:sz w:val="24"/>
                <w:highlight w:val="none"/>
                <w:u w:val="none"/>
                <w:lang w:eastAsia="zh-CN"/>
              </w:rPr>
              <w:t>红昕国际项目管理有限公司</w:t>
            </w:r>
          </w:p>
          <w:p w14:paraId="5404B0C2">
            <w:pPr>
              <w:shd w:val="clear" w:color="auto" w:fill="auto"/>
              <w:adjustRightInd w:val="0"/>
              <w:snapToGrid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none"/>
                <w:lang w:eastAsia="zh-CN"/>
              </w:rPr>
              <w:t>陕西省西安市国家民用航天产业基地航天城中心广场2幢1单元12002-12006室</w:t>
            </w:r>
          </w:p>
        </w:tc>
      </w:tr>
      <w:tr w14:paraId="36428A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trPr>
        <w:tc>
          <w:tcPr>
            <w:tcW w:w="1468" w:type="dxa"/>
            <w:noWrap w:val="0"/>
            <w:vAlign w:val="center"/>
          </w:tcPr>
          <w:p w14:paraId="33E53C95">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p>
        </w:tc>
        <w:tc>
          <w:tcPr>
            <w:tcW w:w="7632" w:type="dxa"/>
            <w:gridSpan w:val="2"/>
            <w:noWrap w:val="0"/>
            <w:vAlign w:val="center"/>
          </w:tcPr>
          <w:p w14:paraId="70200A0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是否允许联合体投标：</w:t>
            </w:r>
            <w:r>
              <w:rPr>
                <w:rFonts w:hint="eastAsia" w:ascii="宋体" w:hAnsi="宋体" w:eastAsia="宋体" w:cs="宋体"/>
                <w:color w:val="auto"/>
                <w:sz w:val="24"/>
                <w:highlight w:val="none"/>
                <w:u w:val="single"/>
              </w:rPr>
              <w:t xml:space="preserve">  否  </w:t>
            </w:r>
            <w:r>
              <w:rPr>
                <w:rFonts w:hint="eastAsia" w:ascii="宋体" w:hAnsi="宋体" w:eastAsia="宋体" w:cs="宋体"/>
                <w:color w:val="auto"/>
                <w:sz w:val="24"/>
                <w:highlight w:val="none"/>
              </w:rPr>
              <w:t>（是、否）</w:t>
            </w:r>
          </w:p>
        </w:tc>
      </w:tr>
      <w:tr w14:paraId="6425C2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468" w:type="dxa"/>
            <w:noWrap w:val="0"/>
            <w:vAlign w:val="center"/>
          </w:tcPr>
          <w:p w14:paraId="2EC88A04">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1.4.7</w:t>
            </w:r>
          </w:p>
        </w:tc>
        <w:tc>
          <w:tcPr>
            <w:tcW w:w="7632" w:type="dxa"/>
            <w:gridSpan w:val="2"/>
            <w:noWrap w:val="0"/>
            <w:vAlign w:val="center"/>
          </w:tcPr>
          <w:p w14:paraId="6CEB6A36">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联合体的其他资格要求：</w:t>
            </w:r>
            <w:r>
              <w:rPr>
                <w:rFonts w:hint="eastAsia" w:ascii="宋体" w:hAnsi="宋体" w:eastAsia="宋体" w:cs="宋体"/>
                <w:color w:val="auto"/>
                <w:sz w:val="24"/>
                <w:highlight w:val="none"/>
                <w:lang w:val="en-US" w:eastAsia="zh-CN"/>
              </w:rPr>
              <w:t>/</w:t>
            </w:r>
          </w:p>
        </w:tc>
      </w:tr>
      <w:tr w14:paraId="73BDB2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468" w:type="dxa"/>
            <w:noWrap w:val="0"/>
            <w:vAlign w:val="center"/>
          </w:tcPr>
          <w:p w14:paraId="4E8369E5">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1.7</w:t>
            </w:r>
          </w:p>
        </w:tc>
        <w:tc>
          <w:tcPr>
            <w:tcW w:w="7632" w:type="dxa"/>
            <w:gridSpan w:val="2"/>
            <w:noWrap w:val="0"/>
            <w:vAlign w:val="center"/>
          </w:tcPr>
          <w:p w14:paraId="4D2064EC">
            <w:pPr>
              <w:spacing w:line="360" w:lineRule="auto"/>
              <w:rPr>
                <w:rFonts w:hint="eastAsia" w:ascii="宋体" w:hAnsi="宋体" w:eastAsia="宋体" w:cs="宋体"/>
                <w:color w:val="auto"/>
                <w:sz w:val="24"/>
                <w:highlight w:val="none"/>
                <w:u w:val="single"/>
                <w:lang w:val="en-US"/>
              </w:rPr>
            </w:pPr>
            <w:r>
              <w:rPr>
                <w:rFonts w:hint="eastAsia" w:ascii="宋体" w:hAnsi="宋体" w:eastAsia="宋体" w:cs="宋体"/>
                <w:color w:val="auto"/>
                <w:sz w:val="24"/>
                <w:highlight w:val="none"/>
              </w:rPr>
              <w:t>项目所属行业：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工业 </w:t>
            </w:r>
          </w:p>
        </w:tc>
      </w:tr>
      <w:tr w14:paraId="2D8F0C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468" w:type="dxa"/>
            <w:noWrap w:val="0"/>
            <w:vAlign w:val="center"/>
          </w:tcPr>
          <w:p w14:paraId="726BA767">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2.2</w:t>
            </w:r>
          </w:p>
        </w:tc>
        <w:tc>
          <w:tcPr>
            <w:tcW w:w="7632" w:type="dxa"/>
            <w:gridSpan w:val="2"/>
            <w:noWrap w:val="0"/>
            <w:vAlign w:val="center"/>
          </w:tcPr>
          <w:p w14:paraId="2D0DFD4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项目预算金额：5</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万</w:t>
            </w:r>
            <w:r>
              <w:rPr>
                <w:rFonts w:hint="eastAsia" w:ascii="宋体" w:hAnsi="宋体" w:eastAsia="宋体" w:cs="宋体"/>
                <w:color w:val="auto"/>
                <w:sz w:val="24"/>
                <w:highlight w:val="none"/>
              </w:rPr>
              <w:t>元；最高限价：</w:t>
            </w:r>
            <w:r>
              <w:rPr>
                <w:rFonts w:hint="eastAsia" w:ascii="宋体" w:hAnsi="宋体" w:eastAsia="宋体" w:cs="宋体"/>
                <w:color w:val="auto"/>
                <w:sz w:val="24"/>
                <w:highlight w:val="none"/>
                <w:u w:val="single"/>
                <w:lang w:val="en-US" w:eastAsia="zh-CN"/>
              </w:rPr>
              <w:t>53万</w:t>
            </w:r>
            <w:r>
              <w:rPr>
                <w:rFonts w:hint="eastAsia" w:ascii="宋体" w:hAnsi="宋体" w:eastAsia="宋体" w:cs="宋体"/>
                <w:color w:val="auto"/>
                <w:sz w:val="24"/>
                <w:highlight w:val="none"/>
              </w:rPr>
              <w:t>元</w:t>
            </w:r>
          </w:p>
        </w:tc>
      </w:tr>
      <w:tr w14:paraId="090BF3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trPr>
        <w:tc>
          <w:tcPr>
            <w:tcW w:w="1468" w:type="dxa"/>
            <w:noWrap w:val="0"/>
            <w:vAlign w:val="center"/>
          </w:tcPr>
          <w:p w14:paraId="3EE398A2">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5.4</w:t>
            </w:r>
          </w:p>
        </w:tc>
        <w:tc>
          <w:tcPr>
            <w:tcW w:w="7632" w:type="dxa"/>
            <w:gridSpan w:val="2"/>
            <w:noWrap w:val="0"/>
            <w:vAlign w:val="center"/>
          </w:tcPr>
          <w:p w14:paraId="40E8A1F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是否组织现场考察或者召开答疑会：</w:t>
            </w:r>
            <w:r>
              <w:rPr>
                <w:rFonts w:hint="eastAsia" w:ascii="宋体" w:hAnsi="宋体" w:eastAsia="宋体" w:cs="宋体"/>
                <w:color w:val="auto"/>
                <w:sz w:val="24"/>
                <w:highlight w:val="none"/>
                <w:u w:val="single"/>
              </w:rPr>
              <w:t xml:space="preserve"> 否  </w:t>
            </w:r>
            <w:r>
              <w:rPr>
                <w:rFonts w:hint="eastAsia" w:ascii="宋体" w:hAnsi="宋体" w:eastAsia="宋体" w:cs="宋体"/>
                <w:color w:val="auto"/>
                <w:sz w:val="24"/>
                <w:highlight w:val="none"/>
              </w:rPr>
              <w:t>（是、否）</w:t>
            </w:r>
          </w:p>
        </w:tc>
      </w:tr>
      <w:tr w14:paraId="261CF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trPr>
        <w:tc>
          <w:tcPr>
            <w:tcW w:w="1468" w:type="dxa"/>
            <w:noWrap w:val="0"/>
            <w:vAlign w:val="center"/>
          </w:tcPr>
          <w:p w14:paraId="645932C3">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12.1</w:t>
            </w:r>
          </w:p>
        </w:tc>
        <w:tc>
          <w:tcPr>
            <w:tcW w:w="7632" w:type="dxa"/>
            <w:gridSpan w:val="2"/>
            <w:noWrap w:val="0"/>
            <w:vAlign w:val="center"/>
          </w:tcPr>
          <w:p w14:paraId="1CF2C766">
            <w:pPr>
              <w:adjustRightInd w:val="0"/>
              <w:snapToGrid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本项目不收取投标保证金</w:t>
            </w:r>
          </w:p>
        </w:tc>
      </w:tr>
      <w:tr w14:paraId="608C15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1468" w:type="dxa"/>
            <w:noWrap w:val="0"/>
            <w:vAlign w:val="center"/>
          </w:tcPr>
          <w:p w14:paraId="0568C54D">
            <w:pPr>
              <w:spacing w:line="360" w:lineRule="auto"/>
              <w:ind w:left="1417" w:leftChars="203" w:hanging="99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13.1</w:t>
            </w:r>
          </w:p>
        </w:tc>
        <w:tc>
          <w:tcPr>
            <w:tcW w:w="7632" w:type="dxa"/>
            <w:gridSpan w:val="2"/>
            <w:noWrap w:val="0"/>
            <w:vAlign w:val="center"/>
          </w:tcPr>
          <w:p w14:paraId="7DAB7EF7">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投标有效期：递</w:t>
            </w:r>
            <w:r>
              <w:rPr>
                <w:rFonts w:hint="eastAsia" w:ascii="宋体" w:hAnsi="宋体" w:eastAsia="宋体" w:cs="宋体"/>
                <w:color w:val="auto"/>
                <w:sz w:val="24"/>
                <w:highlight w:val="none"/>
              </w:rPr>
              <w:t>交投标文件截止之日起90个日历日</w:t>
            </w:r>
          </w:p>
        </w:tc>
      </w:tr>
      <w:tr w14:paraId="7DE7E6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trPr>
        <w:tc>
          <w:tcPr>
            <w:tcW w:w="1468" w:type="dxa"/>
            <w:noWrap w:val="0"/>
            <w:vAlign w:val="center"/>
          </w:tcPr>
          <w:p w14:paraId="32DE0B5B">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14.1</w:t>
            </w:r>
          </w:p>
        </w:tc>
        <w:tc>
          <w:tcPr>
            <w:tcW w:w="7632" w:type="dxa"/>
            <w:gridSpan w:val="2"/>
            <w:noWrap w:val="0"/>
            <w:vAlign w:val="center"/>
          </w:tcPr>
          <w:p w14:paraId="60CAF2FD">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投标文件电子文档壹份（交易平台上传），于投标文件递交截止时间前上传，逾期系统不予接收。</w:t>
            </w:r>
          </w:p>
        </w:tc>
      </w:tr>
      <w:tr w14:paraId="3EF213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4" w:hRule="atLeast"/>
        </w:trPr>
        <w:tc>
          <w:tcPr>
            <w:tcW w:w="1468" w:type="dxa"/>
            <w:noWrap w:val="0"/>
            <w:vAlign w:val="center"/>
          </w:tcPr>
          <w:p w14:paraId="4D4AB874">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16.1</w:t>
            </w:r>
          </w:p>
        </w:tc>
        <w:tc>
          <w:tcPr>
            <w:tcW w:w="7632" w:type="dxa"/>
            <w:gridSpan w:val="2"/>
            <w:noWrap w:val="0"/>
            <w:vAlign w:val="center"/>
          </w:tcPr>
          <w:p w14:paraId="1F31348B">
            <w:pPr>
              <w:shd w:val="clear" w:color="auto" w:fill="auto"/>
              <w:adjustRightInd w:val="0"/>
              <w:snapToGrid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投标截止时间：2026年08月03日 09时00分 </w:t>
            </w:r>
            <w:r>
              <w:rPr>
                <w:rFonts w:hint="eastAsia" w:ascii="宋体" w:hAnsi="宋体" w:eastAsia="宋体" w:cs="宋体"/>
                <w:color w:val="auto"/>
                <w:sz w:val="24"/>
                <w:highlight w:val="none"/>
                <w:u w:val="none"/>
              </w:rPr>
              <w:t>（北京时间）</w:t>
            </w:r>
          </w:p>
        </w:tc>
      </w:tr>
      <w:tr w14:paraId="13A52B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trPr>
        <w:tc>
          <w:tcPr>
            <w:tcW w:w="1468" w:type="dxa"/>
            <w:noWrap w:val="0"/>
            <w:vAlign w:val="center"/>
          </w:tcPr>
          <w:p w14:paraId="7DDDB6D6">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18.1</w:t>
            </w:r>
          </w:p>
        </w:tc>
        <w:tc>
          <w:tcPr>
            <w:tcW w:w="7632" w:type="dxa"/>
            <w:gridSpan w:val="2"/>
            <w:noWrap w:val="0"/>
            <w:vAlign w:val="center"/>
          </w:tcPr>
          <w:p w14:paraId="20F5216B">
            <w:pPr>
              <w:shd w:val="clear" w:color="auto" w:fill="auto"/>
              <w:adjustRightInd w:val="0"/>
              <w:snapToGrid w:val="0"/>
              <w:spacing w:line="400" w:lineRule="exact"/>
              <w:jc w:val="both"/>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开标时间：2026年08月03日 09时00分</w:t>
            </w:r>
            <w:r>
              <w:rPr>
                <w:rFonts w:hint="eastAsia" w:ascii="宋体" w:hAnsi="宋体" w:eastAsia="宋体" w:cs="宋体"/>
                <w:color w:val="auto"/>
                <w:sz w:val="24"/>
                <w:highlight w:val="none"/>
                <w:u w:val="none"/>
              </w:rPr>
              <w:t>（北京时间）</w:t>
            </w:r>
          </w:p>
          <w:p w14:paraId="62A2AC98">
            <w:pPr>
              <w:shd w:val="clear" w:color="auto" w:fill="auto"/>
              <w:adjustRightInd w:val="0"/>
              <w:snapToGrid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开标地点：全国公共资源交易平台（陕西省·安康市）不见面开标系统</w:t>
            </w:r>
          </w:p>
        </w:tc>
      </w:tr>
      <w:tr w14:paraId="165D90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trPr>
        <w:tc>
          <w:tcPr>
            <w:tcW w:w="1468" w:type="dxa"/>
            <w:noWrap w:val="0"/>
            <w:vAlign w:val="center"/>
          </w:tcPr>
          <w:p w14:paraId="394BB7AE">
            <w:pPr>
              <w:spacing w:line="360" w:lineRule="auto"/>
              <w:ind w:left="1417" w:leftChars="203" w:hanging="99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20.</w:t>
            </w:r>
            <w:r>
              <w:rPr>
                <w:rFonts w:hint="eastAsia" w:ascii="宋体" w:hAnsi="宋体" w:eastAsia="宋体" w:cs="宋体"/>
                <w:color w:val="auto"/>
                <w:sz w:val="24"/>
                <w:highlight w:val="none"/>
                <w:lang w:val="en-US" w:eastAsia="zh-CN"/>
              </w:rPr>
              <w:t>4</w:t>
            </w:r>
          </w:p>
        </w:tc>
        <w:tc>
          <w:tcPr>
            <w:tcW w:w="7632" w:type="dxa"/>
            <w:gridSpan w:val="2"/>
            <w:noWrap w:val="0"/>
            <w:vAlign w:val="center"/>
          </w:tcPr>
          <w:p w14:paraId="73DAAC47">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本项目</w:t>
            </w:r>
            <w:r>
              <w:rPr>
                <w:rFonts w:hint="eastAsia" w:ascii="宋体" w:hAnsi="宋体" w:eastAsia="宋体" w:cs="宋体"/>
                <w:color w:val="auto"/>
                <w:sz w:val="24"/>
                <w:highlight w:val="none"/>
              </w:rPr>
              <w:t>核心产品：</w:t>
            </w:r>
            <w:r>
              <w:rPr>
                <w:rFonts w:hint="eastAsia" w:ascii="宋体" w:hAnsi="宋体" w:cs="宋体"/>
                <w:color w:val="auto"/>
                <w:sz w:val="24"/>
                <w:highlight w:val="none"/>
                <w:lang w:val="en-US" w:eastAsia="zh-CN"/>
              </w:rPr>
              <w:t>/</w:t>
            </w:r>
          </w:p>
        </w:tc>
      </w:tr>
      <w:tr w14:paraId="7C2CA0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70" w:hRule="atLeast"/>
        </w:trPr>
        <w:tc>
          <w:tcPr>
            <w:tcW w:w="1468" w:type="dxa"/>
            <w:noWrap w:val="0"/>
            <w:vAlign w:val="center"/>
          </w:tcPr>
          <w:p w14:paraId="570BE4A2">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23.2</w:t>
            </w:r>
          </w:p>
        </w:tc>
        <w:tc>
          <w:tcPr>
            <w:tcW w:w="7632" w:type="dxa"/>
            <w:gridSpan w:val="2"/>
            <w:noWrap w:val="0"/>
            <w:vAlign w:val="center"/>
          </w:tcPr>
          <w:p w14:paraId="2303C94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评标方法：适用</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综合评分法）</w:t>
            </w:r>
            <w:r>
              <w:rPr>
                <w:rFonts w:hint="eastAsia" w:ascii="宋体" w:hAnsi="宋体" w:eastAsia="宋体" w:cs="宋体"/>
                <w:color w:val="auto"/>
                <w:sz w:val="24"/>
                <w:highlight w:val="none"/>
              </w:rPr>
              <w:t>　　　　　</w:t>
            </w:r>
          </w:p>
        </w:tc>
      </w:tr>
      <w:tr w14:paraId="603CD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0" w:hRule="atLeast"/>
        </w:trPr>
        <w:tc>
          <w:tcPr>
            <w:tcW w:w="1468" w:type="dxa"/>
            <w:noWrap w:val="0"/>
            <w:vAlign w:val="center"/>
          </w:tcPr>
          <w:p w14:paraId="16153D84">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27.1</w:t>
            </w:r>
          </w:p>
        </w:tc>
        <w:tc>
          <w:tcPr>
            <w:tcW w:w="7632" w:type="dxa"/>
            <w:gridSpan w:val="2"/>
            <w:noWrap w:val="0"/>
            <w:vAlign w:val="center"/>
          </w:tcPr>
          <w:p w14:paraId="018DF20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推荐中标候选人的数量：</w:t>
            </w:r>
            <w:r>
              <w:rPr>
                <w:rFonts w:hint="eastAsia" w:ascii="宋体" w:hAnsi="宋体" w:eastAsia="宋体" w:cs="宋体"/>
                <w:color w:val="auto"/>
                <w:sz w:val="24"/>
                <w:highlight w:val="none"/>
                <w:u w:val="single"/>
              </w:rPr>
              <w:t>　 3  　　</w:t>
            </w:r>
          </w:p>
        </w:tc>
      </w:tr>
      <w:tr w14:paraId="164029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0" w:hRule="atLeast"/>
        </w:trPr>
        <w:tc>
          <w:tcPr>
            <w:tcW w:w="1468" w:type="dxa"/>
            <w:noWrap w:val="0"/>
            <w:vAlign w:val="center"/>
          </w:tcPr>
          <w:p w14:paraId="31D98C01">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27.2</w:t>
            </w:r>
          </w:p>
        </w:tc>
        <w:tc>
          <w:tcPr>
            <w:tcW w:w="7632" w:type="dxa"/>
            <w:gridSpan w:val="2"/>
            <w:noWrap w:val="0"/>
            <w:vAlign w:val="center"/>
          </w:tcPr>
          <w:p w14:paraId="70BEE02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招标人是否委托评标委员会直接确定中标人：</w:t>
            </w:r>
            <w:r>
              <w:rPr>
                <w:rFonts w:hint="eastAsia" w:ascii="宋体" w:hAnsi="宋体" w:eastAsia="宋体" w:cs="宋体"/>
                <w:color w:val="auto"/>
                <w:sz w:val="24"/>
                <w:highlight w:val="none"/>
                <w:u w:val="single"/>
              </w:rPr>
              <w:t xml:space="preserve"> 否  </w:t>
            </w:r>
            <w:r>
              <w:rPr>
                <w:rFonts w:hint="eastAsia" w:ascii="宋体" w:hAnsi="宋体" w:eastAsia="宋体" w:cs="宋体"/>
                <w:color w:val="auto"/>
                <w:sz w:val="24"/>
                <w:highlight w:val="none"/>
              </w:rPr>
              <w:t xml:space="preserve"> （是、否）</w:t>
            </w:r>
          </w:p>
        </w:tc>
      </w:tr>
      <w:tr w14:paraId="5C414E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468" w:type="dxa"/>
            <w:noWrap w:val="0"/>
            <w:vAlign w:val="center"/>
          </w:tcPr>
          <w:p w14:paraId="5B80965D">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31.1</w:t>
            </w:r>
          </w:p>
        </w:tc>
        <w:tc>
          <w:tcPr>
            <w:tcW w:w="7632" w:type="dxa"/>
            <w:gridSpan w:val="2"/>
            <w:noWrap w:val="0"/>
            <w:vAlign w:val="center"/>
          </w:tcPr>
          <w:p w14:paraId="34ACB29E">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是否提交履约保证金：</w:t>
            </w:r>
            <w:r>
              <w:rPr>
                <w:rFonts w:hint="eastAsia" w:ascii="宋体" w:hAnsi="宋体" w:eastAsia="宋体" w:cs="宋体"/>
                <w:color w:val="auto"/>
                <w:sz w:val="24"/>
                <w:highlight w:val="none"/>
                <w:u w:val="single"/>
              </w:rPr>
              <w:t>否</w:t>
            </w:r>
            <w:r>
              <w:rPr>
                <w:rFonts w:hint="eastAsia" w:ascii="宋体" w:hAnsi="宋体" w:eastAsia="宋体" w:cs="宋体"/>
                <w:color w:val="auto"/>
                <w:sz w:val="24"/>
                <w:highlight w:val="none"/>
                <w:u w:val="none"/>
              </w:rPr>
              <w:t>（是、否）</w:t>
            </w:r>
          </w:p>
        </w:tc>
      </w:tr>
      <w:tr w14:paraId="09BB9F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1468" w:type="dxa"/>
            <w:noWrap w:val="0"/>
            <w:vAlign w:val="center"/>
          </w:tcPr>
          <w:p w14:paraId="02447168">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32.1</w:t>
            </w:r>
          </w:p>
        </w:tc>
        <w:tc>
          <w:tcPr>
            <w:tcW w:w="7632" w:type="dxa"/>
            <w:gridSpan w:val="2"/>
            <w:noWrap w:val="0"/>
            <w:vAlign w:val="center"/>
          </w:tcPr>
          <w:p w14:paraId="7DE5792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付款</w:t>
            </w:r>
            <w:r>
              <w:rPr>
                <w:rFonts w:hint="eastAsia" w:ascii="宋体" w:hAnsi="宋体" w:eastAsia="宋体" w:cs="宋体"/>
                <w:color w:val="auto"/>
                <w:sz w:val="24"/>
                <w:highlight w:val="none"/>
                <w:lang w:val="en-US" w:eastAsia="zh-CN"/>
              </w:rPr>
              <w:t>方式</w:t>
            </w:r>
            <w:r>
              <w:rPr>
                <w:rFonts w:hint="eastAsia" w:ascii="宋体" w:hAnsi="宋体" w:eastAsia="宋体" w:cs="宋体"/>
                <w:color w:val="auto"/>
                <w:sz w:val="24"/>
                <w:highlight w:val="none"/>
              </w:rPr>
              <w:t>：设备安装调试正常运行一个月验收合格后支付合同总额95%的设备款，余款满三年设备使用正常后付清。</w:t>
            </w:r>
          </w:p>
        </w:tc>
      </w:tr>
      <w:tr w14:paraId="7C4E76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1468" w:type="dxa"/>
            <w:noWrap w:val="0"/>
            <w:vAlign w:val="center"/>
          </w:tcPr>
          <w:p w14:paraId="0240B6EF">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33</w:t>
            </w:r>
          </w:p>
        </w:tc>
        <w:tc>
          <w:tcPr>
            <w:tcW w:w="7632" w:type="dxa"/>
            <w:gridSpan w:val="2"/>
            <w:noWrap w:val="0"/>
            <w:vAlign w:val="center"/>
          </w:tcPr>
          <w:p w14:paraId="69FEA679">
            <w:pPr>
              <w:shd w:val="clear" w:color="auto" w:fill="auto"/>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招标代理服务费由</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rPr>
              <w:t>人</w:t>
            </w:r>
            <w:r>
              <w:rPr>
                <w:rFonts w:hint="eastAsia" w:ascii="宋体" w:hAnsi="宋体" w:eastAsia="宋体" w:cs="宋体"/>
                <w:color w:val="auto"/>
                <w:sz w:val="24"/>
                <w:highlight w:val="none"/>
                <w:lang w:eastAsia="zh-CN"/>
              </w:rPr>
              <w:t>支付</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参照</w:t>
            </w:r>
            <w:r>
              <w:rPr>
                <w:rFonts w:hint="eastAsia" w:ascii="宋体" w:hAnsi="宋体" w:eastAsia="宋体" w:cs="宋体"/>
                <w:i w:val="0"/>
                <w:iCs w:val="0"/>
                <w:caps w:val="0"/>
                <w:color w:val="auto"/>
                <w:spacing w:val="0"/>
                <w:sz w:val="24"/>
                <w:szCs w:val="24"/>
                <w:highlight w:val="none"/>
              </w:rPr>
              <w:t>《招标代理服务收费管理暂行办法》计价格[2002]1980号文和发改价格[2011]534号</w:t>
            </w:r>
            <w:r>
              <w:rPr>
                <w:rFonts w:hint="eastAsia" w:ascii="宋体" w:hAnsi="宋体" w:eastAsia="宋体" w:cs="宋体"/>
                <w:color w:val="auto"/>
                <w:sz w:val="24"/>
                <w:highlight w:val="none"/>
              </w:rPr>
              <w:t>文的计算方法</w:t>
            </w:r>
            <w:r>
              <w:rPr>
                <w:rFonts w:hint="eastAsia" w:ascii="宋体" w:hAnsi="宋体" w:eastAsia="宋体" w:cs="宋体"/>
                <w:color w:val="auto"/>
                <w:sz w:val="24"/>
                <w:highlight w:val="none"/>
                <w:lang w:val="en-US" w:eastAsia="zh-CN"/>
              </w:rPr>
              <w:t>按标准</w:t>
            </w:r>
            <w:r>
              <w:rPr>
                <w:rFonts w:hint="eastAsia" w:ascii="宋体" w:hAnsi="宋体" w:eastAsia="宋体" w:cs="宋体"/>
                <w:color w:val="auto"/>
                <w:sz w:val="24"/>
                <w:highlight w:val="none"/>
              </w:rPr>
              <w:t>收取</w:t>
            </w:r>
            <w:r>
              <w:rPr>
                <w:rFonts w:hint="eastAsia" w:ascii="宋体" w:hAnsi="宋体" w:eastAsia="宋体" w:cs="宋体"/>
                <w:color w:val="auto"/>
                <w:sz w:val="24"/>
                <w:highlight w:val="none"/>
                <w:lang w:eastAsia="zh-CN"/>
              </w:rPr>
              <w:t>。</w:t>
            </w:r>
          </w:p>
        </w:tc>
      </w:tr>
      <w:tr w14:paraId="55F549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1468" w:type="dxa"/>
            <w:noWrap w:val="0"/>
            <w:vAlign w:val="center"/>
          </w:tcPr>
          <w:p w14:paraId="338F4CD4">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37.2</w:t>
            </w:r>
          </w:p>
        </w:tc>
        <w:tc>
          <w:tcPr>
            <w:tcW w:w="7632" w:type="dxa"/>
            <w:gridSpan w:val="2"/>
            <w:noWrap w:val="0"/>
            <w:vAlign w:val="center"/>
          </w:tcPr>
          <w:p w14:paraId="3526EA21">
            <w:pPr>
              <w:spacing w:line="360" w:lineRule="auto"/>
              <w:ind w:left="706" w:leftChars="-1" w:hanging="708" w:hangingChars="295"/>
              <w:rPr>
                <w:rFonts w:hint="eastAsia" w:ascii="宋体" w:hAnsi="宋体" w:eastAsia="宋体" w:cs="宋体"/>
                <w:color w:val="auto"/>
                <w:sz w:val="24"/>
                <w:highlight w:val="none"/>
              </w:rPr>
            </w:pPr>
            <w:r>
              <w:rPr>
                <w:rFonts w:hint="eastAsia" w:ascii="宋体" w:hAnsi="宋体" w:eastAsia="宋体" w:cs="宋体"/>
                <w:color w:val="auto"/>
                <w:sz w:val="24"/>
                <w:highlight w:val="none"/>
              </w:rPr>
              <w:t>针对同一采购程序环节的质疑次数：一次性提出</w:t>
            </w:r>
          </w:p>
        </w:tc>
      </w:tr>
      <w:tr w14:paraId="7E1C79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11" w:hRule="atLeast"/>
        </w:trPr>
        <w:tc>
          <w:tcPr>
            <w:tcW w:w="9100" w:type="dxa"/>
            <w:gridSpan w:val="3"/>
            <w:tcBorders>
              <w:top w:val="single" w:color="auto" w:sz="12" w:space="0"/>
              <w:left w:val="single" w:color="auto" w:sz="12" w:space="0"/>
              <w:bottom w:val="single" w:color="auto" w:sz="12" w:space="0"/>
              <w:right w:val="single" w:color="auto" w:sz="12" w:space="0"/>
            </w:tcBorders>
            <w:noWrap w:val="0"/>
            <w:vAlign w:val="center"/>
          </w:tcPr>
          <w:p w14:paraId="0D022139">
            <w:pPr>
              <w:spacing w:line="360" w:lineRule="auto"/>
              <w:ind w:left="1417" w:leftChars="203" w:hanging="991"/>
              <w:rPr>
                <w:rFonts w:hint="eastAsia" w:ascii="宋体" w:hAnsi="宋体" w:eastAsia="宋体" w:cs="宋体"/>
                <w:color w:val="auto"/>
                <w:sz w:val="24"/>
                <w:highlight w:val="none"/>
              </w:rPr>
            </w:pPr>
            <w:r>
              <w:rPr>
                <w:rFonts w:hint="eastAsia" w:ascii="宋体" w:hAnsi="宋体" w:eastAsia="宋体" w:cs="宋体"/>
                <w:color w:val="auto"/>
                <w:sz w:val="24"/>
                <w:highlight w:val="none"/>
              </w:rPr>
              <w:t>适用于本投标人须知的额外增加的变动：</w:t>
            </w:r>
          </w:p>
        </w:tc>
      </w:tr>
      <w:tr w14:paraId="075789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trPr>
        <w:tc>
          <w:tcPr>
            <w:tcW w:w="1648" w:type="dxa"/>
            <w:gridSpan w:val="2"/>
            <w:noWrap w:val="0"/>
            <w:vAlign w:val="center"/>
          </w:tcPr>
          <w:p w14:paraId="7C7CA738">
            <w:pPr>
              <w:shd w:val="clear" w:color="auto" w:fill="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1</w:t>
            </w:r>
          </w:p>
        </w:tc>
        <w:tc>
          <w:tcPr>
            <w:tcW w:w="7452" w:type="dxa"/>
            <w:noWrap w:val="0"/>
            <w:vAlign w:val="center"/>
          </w:tcPr>
          <w:p w14:paraId="6A752D17">
            <w:pPr>
              <w:shd w:val="clear" w:color="auto" w:fill="auto"/>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特别注意事项:</w:t>
            </w:r>
          </w:p>
          <w:p w14:paraId="35B95730">
            <w:pPr>
              <w:shd w:val="clear" w:color="auto" w:fill="auto"/>
              <w:snapToGrid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1、本项目采用不见面开标系统：电子化投标方式投标，投标人须使用数字认证证书（CA锁）对电子投标文件进行签章、加密、递交及开标时签到、解密等相关招投标事宜。开标时投标人须</w:t>
            </w:r>
            <w:r>
              <w:rPr>
                <w:rFonts w:hint="eastAsia" w:ascii="宋体" w:hAnsi="宋体" w:eastAsia="宋体" w:cs="宋体"/>
                <w:b/>
                <w:color w:val="auto"/>
                <w:sz w:val="24"/>
                <w:highlight w:val="none"/>
                <w:lang w:val="zh-CN" w:bidi="ar"/>
              </w:rPr>
              <w:t>使用数字认证证书（CA锁）自行解密电子</w:t>
            </w:r>
            <w:r>
              <w:rPr>
                <w:rFonts w:hint="eastAsia" w:ascii="宋体" w:hAnsi="宋体" w:eastAsia="宋体" w:cs="宋体"/>
                <w:b/>
                <w:color w:val="auto"/>
                <w:sz w:val="24"/>
                <w:highlight w:val="none"/>
                <w:lang w:bidi="ar"/>
              </w:rPr>
              <w:t>投标</w:t>
            </w:r>
            <w:r>
              <w:rPr>
                <w:rFonts w:hint="eastAsia" w:ascii="宋体" w:hAnsi="宋体" w:eastAsia="宋体" w:cs="宋体"/>
                <w:b/>
                <w:color w:val="auto"/>
                <w:sz w:val="24"/>
                <w:highlight w:val="none"/>
                <w:lang w:val="zh-CN" w:bidi="ar"/>
              </w:rPr>
              <w:t>文件</w:t>
            </w:r>
            <w:r>
              <w:rPr>
                <w:rFonts w:hint="eastAsia" w:ascii="宋体" w:hAnsi="宋体" w:eastAsia="宋体" w:cs="宋体"/>
                <w:b/>
                <w:color w:val="auto"/>
                <w:sz w:val="24"/>
                <w:highlight w:val="none"/>
              </w:rPr>
              <w:t>，如因投标人自身原因未正确使用数字认证证书（CA锁）造成无法解密</w:t>
            </w:r>
            <w:r>
              <w:rPr>
                <w:rFonts w:hint="eastAsia" w:ascii="宋体" w:hAnsi="宋体" w:eastAsia="宋体" w:cs="宋体"/>
                <w:b/>
                <w:color w:val="auto"/>
                <w:sz w:val="24"/>
                <w:highlight w:val="none"/>
                <w:lang w:bidi="ar"/>
              </w:rPr>
              <w:t>投标</w:t>
            </w:r>
            <w:r>
              <w:rPr>
                <w:rFonts w:hint="eastAsia" w:ascii="宋体" w:hAnsi="宋体" w:eastAsia="宋体" w:cs="宋体"/>
                <w:b/>
                <w:color w:val="auto"/>
                <w:sz w:val="24"/>
                <w:highlight w:val="none"/>
                <w:lang w:val="zh-CN" w:bidi="ar"/>
              </w:rPr>
              <w:t>文件</w:t>
            </w:r>
            <w:r>
              <w:rPr>
                <w:rFonts w:hint="eastAsia" w:ascii="宋体" w:hAnsi="宋体" w:eastAsia="宋体" w:cs="宋体"/>
                <w:b/>
                <w:color w:val="auto"/>
                <w:sz w:val="24"/>
                <w:highlight w:val="none"/>
              </w:rPr>
              <w:t>，按无效投标对待。</w:t>
            </w:r>
          </w:p>
          <w:p w14:paraId="020DE87C">
            <w:pPr>
              <w:shd w:val="clear" w:color="auto" w:fill="auto"/>
              <w:snapToGrid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2、制作电子</w:t>
            </w:r>
            <w:r>
              <w:rPr>
                <w:rFonts w:hint="eastAsia" w:ascii="宋体" w:hAnsi="宋体" w:eastAsia="宋体" w:cs="宋体"/>
                <w:b/>
                <w:color w:val="auto"/>
                <w:sz w:val="24"/>
                <w:highlight w:val="none"/>
                <w:lang w:bidi="ar"/>
              </w:rPr>
              <w:t>投标</w:t>
            </w:r>
            <w:r>
              <w:rPr>
                <w:rFonts w:hint="eastAsia" w:ascii="宋体" w:hAnsi="宋体" w:eastAsia="宋体" w:cs="宋体"/>
                <w:b/>
                <w:color w:val="auto"/>
                <w:sz w:val="24"/>
                <w:highlight w:val="none"/>
                <w:lang w:val="zh-CN" w:bidi="ar"/>
              </w:rPr>
              <w:t>文件</w:t>
            </w:r>
            <w:r>
              <w:rPr>
                <w:rFonts w:hint="eastAsia" w:ascii="宋体" w:hAnsi="宋体" w:eastAsia="宋体" w:cs="宋体"/>
                <w:b/>
                <w:color w:val="auto"/>
                <w:sz w:val="24"/>
                <w:highlight w:val="none"/>
              </w:rPr>
              <w:t>：电子</w:t>
            </w:r>
            <w:r>
              <w:rPr>
                <w:rFonts w:hint="eastAsia" w:ascii="宋体" w:hAnsi="宋体" w:eastAsia="宋体" w:cs="宋体"/>
                <w:b/>
                <w:color w:val="auto"/>
                <w:sz w:val="24"/>
                <w:highlight w:val="none"/>
                <w:lang w:bidi="ar"/>
              </w:rPr>
              <w:t>投标</w:t>
            </w:r>
            <w:r>
              <w:rPr>
                <w:rFonts w:hint="eastAsia" w:ascii="宋体" w:hAnsi="宋体" w:eastAsia="宋体" w:cs="宋体"/>
                <w:b/>
                <w:color w:val="auto"/>
                <w:sz w:val="24"/>
                <w:highlight w:val="none"/>
              </w:rPr>
              <w:t>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p>
          <w:p w14:paraId="3FB77BB6">
            <w:pPr>
              <w:shd w:val="clear" w:color="auto" w:fill="auto"/>
              <w:snapToGrid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3、递交电子</w:t>
            </w:r>
            <w:r>
              <w:rPr>
                <w:rFonts w:hint="eastAsia" w:ascii="宋体" w:hAnsi="宋体" w:eastAsia="宋体" w:cs="宋体"/>
                <w:b/>
                <w:color w:val="auto"/>
                <w:sz w:val="24"/>
                <w:highlight w:val="none"/>
                <w:lang w:bidi="ar"/>
              </w:rPr>
              <w:t>投标</w:t>
            </w:r>
            <w:r>
              <w:rPr>
                <w:rFonts w:hint="eastAsia" w:ascii="宋体" w:hAnsi="宋体" w:eastAsia="宋体" w:cs="宋体"/>
                <w:b/>
                <w:color w:val="auto"/>
                <w:sz w:val="24"/>
                <w:highlight w:val="none"/>
                <w:lang w:val="zh-CN" w:bidi="ar"/>
              </w:rPr>
              <w:t>文件</w:t>
            </w:r>
            <w:r>
              <w:rPr>
                <w:rFonts w:hint="eastAsia" w:ascii="宋体" w:hAnsi="宋体" w:eastAsia="宋体" w:cs="宋体"/>
                <w:b/>
                <w:color w:val="auto"/>
                <w:sz w:val="24"/>
                <w:highlight w:val="none"/>
              </w:rPr>
              <w:t>：登录全国公共资源交易中心平台（陕西省）（http://www.sxggzyjy.cn/），选择“电子交易平台—陕西政府采购交易系统—企业端”进行登录，登录后选择“交易乙方”身份进入，进入菜单“采购业务—我的项目——项目流程——上传响应文件”，上传加密的电子</w:t>
            </w:r>
            <w:r>
              <w:rPr>
                <w:rFonts w:hint="eastAsia" w:ascii="宋体" w:hAnsi="宋体" w:eastAsia="宋体" w:cs="宋体"/>
                <w:b/>
                <w:color w:val="auto"/>
                <w:sz w:val="24"/>
                <w:highlight w:val="none"/>
                <w:lang w:bidi="ar"/>
              </w:rPr>
              <w:t>投标</w:t>
            </w:r>
            <w:r>
              <w:rPr>
                <w:rFonts w:hint="eastAsia" w:ascii="宋体" w:hAnsi="宋体" w:eastAsia="宋体" w:cs="宋体"/>
                <w:b/>
                <w:color w:val="auto"/>
                <w:sz w:val="24"/>
                <w:highlight w:val="none"/>
                <w:lang w:val="zh-CN" w:bidi="ar"/>
              </w:rPr>
              <w:t>文件</w:t>
            </w:r>
            <w:r>
              <w:rPr>
                <w:rFonts w:hint="eastAsia" w:ascii="宋体" w:hAnsi="宋体" w:eastAsia="宋体" w:cs="宋体"/>
                <w:b/>
                <w:color w:val="auto"/>
                <w:sz w:val="24"/>
                <w:highlight w:val="none"/>
              </w:rPr>
              <w:t>。上传成功后，电子化平台将予以记录。</w:t>
            </w:r>
          </w:p>
          <w:p w14:paraId="37061B43">
            <w:pPr>
              <w:shd w:val="clear" w:color="auto" w:fill="auto"/>
              <w:snapToGrid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4</w:t>
            </w:r>
            <w:r>
              <w:rPr>
                <w:rFonts w:hint="eastAsia" w:ascii="宋体" w:hAnsi="宋体" w:eastAsia="宋体" w:cs="宋体"/>
                <w:b/>
                <w:color w:val="auto"/>
                <w:sz w:val="24"/>
                <w:highlight w:val="none"/>
              </w:rPr>
              <w:t>、注意事项</w:t>
            </w:r>
          </w:p>
          <w:p w14:paraId="616694FC">
            <w:pPr>
              <w:shd w:val="clear" w:color="auto" w:fill="auto"/>
              <w:snapToGrid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14:paraId="1BEB4F51">
            <w:pPr>
              <w:shd w:val="clear" w:color="auto" w:fill="auto"/>
              <w:snapToGrid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（2）建议投标人在开标前半小时登录不见面开标大厅，并及时签到，遇到问题及时联系客服4009280095。</w:t>
            </w:r>
          </w:p>
          <w:p w14:paraId="64DD3BA5">
            <w:pPr>
              <w:shd w:val="clear" w:color="auto" w:fill="auto"/>
              <w:snapToGrid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（3）投标人需注意CA锁一定要提前准备好，并确保CA锁为制作投标文件的CA锁。</w:t>
            </w:r>
          </w:p>
          <w:p w14:paraId="2238F947">
            <w:pPr>
              <w:shd w:val="clear" w:color="auto" w:fill="auto"/>
              <w:snapToGrid w:val="0"/>
              <w:spacing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（4）及时关注右侧公告及互动栏目信息。</w:t>
            </w:r>
          </w:p>
        </w:tc>
      </w:tr>
    </w:tbl>
    <w:p w14:paraId="3EDB8913">
      <w:pPr>
        <w:widowControl/>
        <w:spacing w:line="360" w:lineRule="auto"/>
        <w:jc w:val="center"/>
        <w:rPr>
          <w:rFonts w:hint="eastAsia" w:ascii="宋体" w:hAnsi="宋体" w:eastAsia="宋体" w:cs="宋体"/>
          <w:color w:val="auto"/>
          <w:highlight w:val="none"/>
        </w:rPr>
      </w:pPr>
    </w:p>
    <w:p w14:paraId="5A2B1D82">
      <w:pPr>
        <w:pStyle w:val="2"/>
        <w:rPr>
          <w:rFonts w:hint="eastAsia" w:ascii="宋体" w:hAnsi="宋体" w:eastAsia="宋体" w:cs="宋体"/>
          <w:color w:val="auto"/>
          <w:highlight w:val="none"/>
        </w:rPr>
      </w:pPr>
      <w:bookmarkStart w:id="6" w:name="_Toc62194295"/>
      <w:r>
        <w:rPr>
          <w:rFonts w:hint="eastAsia" w:ascii="宋体" w:hAnsi="宋体" w:eastAsia="宋体" w:cs="宋体"/>
          <w:color w:val="auto"/>
          <w:highlight w:val="none"/>
        </w:rPr>
        <w:br w:type="page"/>
      </w:r>
      <w:r>
        <w:rPr>
          <w:rFonts w:hint="eastAsia" w:ascii="宋体" w:hAnsi="宋体" w:eastAsia="宋体" w:cs="宋体"/>
          <w:color w:val="auto"/>
          <w:highlight w:val="none"/>
        </w:rPr>
        <w:t>（二）投标人须知</w:t>
      </w:r>
      <w:bookmarkEnd w:id="6"/>
    </w:p>
    <w:p w14:paraId="7292B9B0">
      <w:pPr>
        <w:pStyle w:val="3"/>
        <w:rPr>
          <w:rFonts w:hint="eastAsia" w:ascii="宋体" w:hAnsi="宋体" w:eastAsia="宋体" w:cs="宋体"/>
          <w:color w:val="auto"/>
          <w:sz w:val="28"/>
          <w:szCs w:val="18"/>
          <w:highlight w:val="none"/>
        </w:rPr>
      </w:pPr>
      <w:bookmarkStart w:id="7" w:name="_Toc216582805"/>
      <w:bookmarkStart w:id="8" w:name="_Toc515647757"/>
      <w:bookmarkStart w:id="9" w:name="_Toc520356143"/>
      <w:bookmarkStart w:id="10" w:name="_Toc532473449"/>
      <w:bookmarkStart w:id="11" w:name="_Toc62194296"/>
      <w:bookmarkStart w:id="12" w:name="_Toc21215"/>
      <w:bookmarkStart w:id="13" w:name="_Toc21015"/>
      <w:r>
        <w:rPr>
          <w:rFonts w:hint="eastAsia" w:ascii="宋体" w:hAnsi="宋体" w:eastAsia="宋体" w:cs="宋体"/>
          <w:color w:val="auto"/>
          <w:sz w:val="28"/>
          <w:szCs w:val="18"/>
          <w:highlight w:val="none"/>
        </w:rPr>
        <w:t>一、</w:t>
      </w:r>
      <w:bookmarkEnd w:id="7"/>
      <w:bookmarkEnd w:id="8"/>
      <w:bookmarkEnd w:id="9"/>
      <w:r>
        <w:rPr>
          <w:rFonts w:hint="eastAsia" w:ascii="宋体" w:hAnsi="宋体" w:eastAsia="宋体" w:cs="宋体"/>
          <w:color w:val="auto"/>
          <w:sz w:val="28"/>
          <w:szCs w:val="18"/>
          <w:highlight w:val="none"/>
        </w:rPr>
        <w:t>总  则</w:t>
      </w:r>
      <w:bookmarkEnd w:id="10"/>
      <w:bookmarkEnd w:id="11"/>
      <w:bookmarkEnd w:id="12"/>
      <w:bookmarkEnd w:id="13"/>
    </w:p>
    <w:p w14:paraId="1174EF94">
      <w:pPr>
        <w:pStyle w:val="5"/>
        <w:pageBreakBefore w:val="0"/>
        <w:widowControl w:val="0"/>
        <w:kinsoku/>
        <w:wordWrap/>
        <w:overflowPunct/>
        <w:topLinePunct w:val="0"/>
        <w:bidi w:val="0"/>
        <w:snapToGrid/>
        <w:ind w:left="0" w:firstLine="0" w:firstLineChars="0"/>
        <w:jc w:val="both"/>
        <w:textAlignment w:val="auto"/>
        <w:rPr>
          <w:rFonts w:hint="eastAsia" w:ascii="宋体" w:hAnsi="宋体" w:eastAsia="宋体" w:cs="宋体"/>
          <w:color w:val="auto"/>
          <w:sz w:val="24"/>
          <w:szCs w:val="24"/>
          <w:highlight w:val="none"/>
        </w:rPr>
      </w:pPr>
      <w:bookmarkStart w:id="14" w:name="_Toc520356144"/>
      <w:bookmarkStart w:id="15" w:name="_Toc32623"/>
      <w:bookmarkStart w:id="16" w:name="_Toc515647758"/>
      <w:bookmarkStart w:id="17" w:name="_Toc532473450"/>
      <w:bookmarkStart w:id="18" w:name="_Toc32189"/>
      <w:bookmarkStart w:id="19" w:name="_Toc62194297"/>
      <w:r>
        <w:rPr>
          <w:rFonts w:hint="eastAsia" w:ascii="宋体" w:hAnsi="宋体" w:eastAsia="宋体" w:cs="宋体"/>
          <w:color w:val="auto"/>
          <w:sz w:val="24"/>
          <w:szCs w:val="24"/>
          <w:highlight w:val="none"/>
        </w:rPr>
        <w:t>1. 采购人、采购代理机构及</w:t>
      </w:r>
      <w:bookmarkEnd w:id="14"/>
      <w:r>
        <w:rPr>
          <w:rFonts w:hint="eastAsia" w:ascii="宋体" w:hAnsi="宋体" w:eastAsia="宋体" w:cs="宋体"/>
          <w:color w:val="auto"/>
          <w:sz w:val="24"/>
          <w:szCs w:val="24"/>
          <w:highlight w:val="none"/>
        </w:rPr>
        <w:t>投标人</w:t>
      </w:r>
      <w:bookmarkEnd w:id="15"/>
      <w:bookmarkEnd w:id="16"/>
      <w:bookmarkEnd w:id="17"/>
      <w:bookmarkEnd w:id="18"/>
      <w:bookmarkEnd w:id="19"/>
    </w:p>
    <w:p w14:paraId="56189E22">
      <w:pPr>
        <w:pageBreakBefore w:val="0"/>
        <w:widowControl w:val="0"/>
        <w:tabs>
          <w:tab w:val="left" w:pos="0"/>
        </w:tabs>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 采购人：是指依法进行政府采购的国家机关、事业单位、团体组织。</w:t>
      </w:r>
    </w:p>
    <w:p w14:paraId="1923C23B">
      <w:pPr>
        <w:pageBreakBefore w:val="0"/>
        <w:widowControl w:val="0"/>
        <w:tabs>
          <w:tab w:val="left" w:pos="0"/>
        </w:tabs>
        <w:kinsoku/>
        <w:wordWrap/>
        <w:overflowPunct/>
        <w:topLinePunct w:val="0"/>
        <w:bidi w:val="0"/>
        <w:snapToGrid/>
        <w:spacing w:line="360" w:lineRule="auto"/>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本项目的采购人见</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w:t>
      </w:r>
    </w:p>
    <w:p w14:paraId="3F64DAF2">
      <w:pPr>
        <w:keepNext w:val="0"/>
        <w:keepLines w:val="0"/>
        <w:pageBreakBefore w:val="0"/>
        <w:widowControl w:val="0"/>
        <w:tabs>
          <w:tab w:val="left" w:pos="142"/>
        </w:tabs>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  采购代理机构：本项目的采购代理机构为</w:t>
      </w:r>
      <w:r>
        <w:rPr>
          <w:rFonts w:hint="eastAsia" w:ascii="宋体" w:hAnsi="宋体" w:eastAsia="宋体" w:cs="宋体"/>
          <w:color w:val="auto"/>
          <w:sz w:val="24"/>
          <w:highlight w:val="none"/>
          <w:lang w:eastAsia="zh-CN"/>
        </w:rPr>
        <w:t>红昕国际项目管理有限公司</w:t>
      </w:r>
      <w:r>
        <w:rPr>
          <w:rFonts w:hint="eastAsia" w:ascii="宋体" w:hAnsi="宋体" w:eastAsia="宋体" w:cs="宋体"/>
          <w:color w:val="auto"/>
          <w:sz w:val="24"/>
          <w:highlight w:val="none"/>
        </w:rPr>
        <w:t>，见</w:t>
      </w:r>
      <w:r>
        <w:rPr>
          <w:rFonts w:hint="eastAsia" w:ascii="宋体" w:hAnsi="宋体" w:eastAsia="宋体" w:cs="宋体"/>
          <w:color w:val="auto"/>
          <w:sz w:val="24"/>
          <w:highlight w:val="none"/>
          <w:u w:val="single"/>
        </w:rPr>
        <w:t>投标人须知前附表。</w:t>
      </w:r>
    </w:p>
    <w:p w14:paraId="28FED3BC">
      <w:pPr>
        <w:pageBreakBefore w:val="0"/>
        <w:widowControl w:val="0"/>
        <w:tabs>
          <w:tab w:val="left" w:pos="142"/>
        </w:tabs>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  投标人：是指响应招标、参加投标竞争的法人、其他组织或者自然人。潜在投标人：以招标文件规定的方式获取本项目招标文件的法人、其他组织或者自然人。</w:t>
      </w:r>
    </w:p>
    <w:p w14:paraId="7CACCFD2">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本项目的投标人须满足以下条件：</w:t>
      </w:r>
    </w:p>
    <w:p w14:paraId="5159B466">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（1）具有独立承担民事责任的能力，提供营业执照、税务登记证、组织机构代码证或登载有统一社会信用代码的营业执照（或《事业单位法人证书》或其他合法组织登记证书、自然人只须提交身份证）；</w:t>
      </w:r>
    </w:p>
    <w:p w14:paraId="4223448E">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（2）法定代表人委托授权书（法定代表人参加不需提供，但需要提供法定代表人身份证）及被授权人身份证；</w:t>
      </w:r>
    </w:p>
    <w:p w14:paraId="72590AAA">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在递交投标文件截止时间前被“信用中国”网站（www.creditchina.gov.cn）和中国政府采购网（www.ccgp.gov.cn）上被列入失信被执行人、重大税收违法案件当事人名单、政府采购严重违法失信行为记录名单的，不得参加投标；</w:t>
      </w:r>
    </w:p>
    <w:p w14:paraId="7CB4D4CF">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（4）提供2024年或2025年财务审计报告或投标截止时间前六个月内基本开户银行出具的资信证明（成立时间至提交响应文件截止时间不足一年的可提供成立后任意时段的资产负债表）；</w:t>
      </w:r>
    </w:p>
    <w:p w14:paraId="45DDB154">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（5）提供投标截止日前一年内已缴纳的至少1个月的纳税证明或完税证明（任意税种），依法免税的单位应提供相关证明材料；</w:t>
      </w:r>
    </w:p>
    <w:p w14:paraId="5A16171C">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（6）提供投标截止日前一年内已缴存的至少1个月的社会保障资金缴存单据或社保机构开具的社会保险参保缴费情况证明，依法不需要缴纳社会保障资金的单位应提供相关证明材料；</w:t>
      </w:r>
    </w:p>
    <w:p w14:paraId="729500E1">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（7）提供参加政府采购活动前三年内，在经营活动中没有重大违法记录书面声明；</w:t>
      </w:r>
    </w:p>
    <w:p w14:paraId="1074E2AC">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（8）提供医疗器械经营许可证、生产企业许可证、产品注册证、营业执照；</w:t>
      </w:r>
    </w:p>
    <w:p w14:paraId="0A947359">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（9）投标人所供第三类医疗器械和部分第二类医疗器械（国家药监局、国家卫生健康委、国家医保局第三批实施医疗器械唯一标识的产品目录2023年第22号）须提供唯一标识信息；</w:t>
      </w:r>
    </w:p>
    <w:p w14:paraId="7583EDEA">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（10）本项目不接受联合体投标；</w:t>
      </w:r>
    </w:p>
    <w:p w14:paraId="0ADA1861">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（11）本项目专门面向中小企业，投标企业须提供中小企业声明函。</w:t>
      </w:r>
    </w:p>
    <w:p w14:paraId="6CE0AF0C">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 如</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中允许联合体投标，对联合体规定如下：</w:t>
      </w:r>
    </w:p>
    <w:p w14:paraId="3F6EC282">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1.4.1 两个及以上投标人可以组成一个投标联合体，以一个投标人的身份投标。</w:t>
      </w:r>
    </w:p>
    <w:p w14:paraId="4E50A057">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1.4.2 联合体各方均应符合本须知规定。</w:t>
      </w:r>
    </w:p>
    <w:p w14:paraId="3EA54329">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1.4.3 采购人根据采购项目对投标人的特殊要求，联合体中至少应当有一方符合相关规定。</w:t>
      </w:r>
    </w:p>
    <w:p w14:paraId="10467523">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1.4.4 联合体各方应签订共同投标协议，明确约定联合体各方承担的工作和相应的责任，并将共同投标协议作为投标文件资格证明文件的内容提交。</w:t>
      </w:r>
    </w:p>
    <w:p w14:paraId="1FBCBC64">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1.4.5 大中型企业、其他自然人、法人或者其他组织与小型、微型企业组成联合体共同参加投标，共同投标协议中应写明小型、微型企业的协议合同金额占到共同投标协议投标总金额的比例。</w:t>
      </w:r>
    </w:p>
    <w:p w14:paraId="750F04F5">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1.4.6 以联合体形式参加政府采购活动的，联合体各方不得再单独参加或者与其他投标人另外组成联合体参加本项目同一合同项下的投标，否则相关投标将被认定为</w:t>
      </w:r>
      <w:r>
        <w:rPr>
          <w:rFonts w:hint="eastAsia" w:ascii="宋体" w:hAnsi="宋体" w:eastAsia="宋体" w:cs="宋体"/>
          <w:b/>
          <w:color w:val="auto"/>
          <w:sz w:val="24"/>
          <w:highlight w:val="none"/>
        </w:rPr>
        <w:t>投标无效。</w:t>
      </w:r>
    </w:p>
    <w:p w14:paraId="7F18F519">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1.4.7 对联合体投标的其他资格要求见</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w:t>
      </w:r>
    </w:p>
    <w:p w14:paraId="721EBEE9">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1.5 单位负责人为同一人或者存在直接控股、管理关系的不同投标人参与本项目同一合同项下的投标的，其相关投标将被认定为</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344E7D84">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1.6 为本项目提供过整体设计、规范编制或者项目管理、监理、检测等服务的投标人，不得再参加本项目上述服务以外的其他采购活动。否则其投标将被认定为</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5818F993">
      <w:pPr>
        <w:pStyle w:val="8"/>
        <w:pageBreakBefore w:val="0"/>
        <w:widowControl w:val="0"/>
        <w:kinsoku/>
        <w:wordWrap/>
        <w:overflowPunct/>
        <w:topLinePunct w:val="0"/>
        <w:bidi w:val="0"/>
        <w:snapToGrid/>
        <w:spacing w:before="0"/>
        <w:ind w:left="0"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1.7 本项目所属行业见</w:t>
      </w:r>
      <w:r>
        <w:rPr>
          <w:rFonts w:hint="eastAsia" w:ascii="宋体" w:hAnsi="宋体" w:eastAsia="宋体" w:cs="宋体"/>
          <w:color w:val="auto"/>
          <w:highlight w:val="none"/>
          <w:u w:val="single"/>
        </w:rPr>
        <w:t>投标人须知前附表</w:t>
      </w:r>
      <w:r>
        <w:rPr>
          <w:rFonts w:hint="eastAsia" w:ascii="宋体" w:hAnsi="宋体" w:eastAsia="宋体" w:cs="宋体"/>
          <w:color w:val="auto"/>
          <w:highlight w:val="none"/>
        </w:rPr>
        <w:t>。</w:t>
      </w:r>
    </w:p>
    <w:p w14:paraId="1FEF73F5">
      <w:pPr>
        <w:pStyle w:val="5"/>
        <w:pageBreakBefore w:val="0"/>
        <w:widowControl w:val="0"/>
        <w:kinsoku/>
        <w:wordWrap/>
        <w:overflowPunct/>
        <w:topLinePunct w:val="0"/>
        <w:bidi w:val="0"/>
        <w:snapToGrid/>
        <w:ind w:left="0" w:firstLine="0" w:firstLineChars="0"/>
        <w:jc w:val="both"/>
        <w:textAlignment w:val="auto"/>
        <w:rPr>
          <w:rFonts w:hint="eastAsia" w:ascii="宋体" w:hAnsi="宋体" w:eastAsia="宋体" w:cs="宋体"/>
          <w:color w:val="auto"/>
          <w:sz w:val="24"/>
          <w:szCs w:val="24"/>
          <w:highlight w:val="none"/>
        </w:rPr>
      </w:pPr>
      <w:bookmarkStart w:id="20" w:name="_Toc62194298"/>
      <w:bookmarkStart w:id="21" w:name="_Toc5286"/>
      <w:bookmarkStart w:id="22" w:name="_Toc515647759"/>
      <w:bookmarkStart w:id="23" w:name="_Toc532473451"/>
      <w:bookmarkStart w:id="24" w:name="_Toc12139"/>
      <w:r>
        <w:rPr>
          <w:rFonts w:hint="eastAsia" w:ascii="宋体" w:hAnsi="宋体" w:eastAsia="宋体" w:cs="宋体"/>
          <w:color w:val="auto"/>
          <w:sz w:val="24"/>
          <w:szCs w:val="24"/>
          <w:highlight w:val="none"/>
        </w:rPr>
        <w:t>2. 资金来源</w:t>
      </w:r>
      <w:bookmarkEnd w:id="20"/>
      <w:bookmarkEnd w:id="21"/>
      <w:bookmarkEnd w:id="22"/>
      <w:bookmarkEnd w:id="23"/>
      <w:bookmarkEnd w:id="24"/>
    </w:p>
    <w:p w14:paraId="1CEE02A3">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 本项目的采购资金已列入政府采购项目预算，具有开展政府采购活动的条件。</w:t>
      </w:r>
    </w:p>
    <w:p w14:paraId="6E3273D1">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2.2 项目预算金额和最高限价（如有）见</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w:t>
      </w:r>
    </w:p>
    <w:p w14:paraId="59F0C1FC">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 投标人报价超过招标文件规定的预算金额或者预算额度内最高限价的，其投标将被认定为</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2B47AE92">
      <w:pPr>
        <w:pStyle w:val="5"/>
        <w:pageBreakBefore w:val="0"/>
        <w:widowControl w:val="0"/>
        <w:kinsoku/>
        <w:wordWrap/>
        <w:overflowPunct/>
        <w:topLinePunct w:val="0"/>
        <w:bidi w:val="0"/>
        <w:snapToGrid/>
        <w:ind w:left="0" w:leftChars="0" w:firstLine="0" w:firstLineChars="0"/>
        <w:jc w:val="both"/>
        <w:textAlignment w:val="auto"/>
        <w:rPr>
          <w:rFonts w:hint="eastAsia" w:ascii="宋体" w:hAnsi="宋体" w:eastAsia="宋体" w:cs="宋体"/>
          <w:color w:val="auto"/>
          <w:sz w:val="24"/>
          <w:szCs w:val="24"/>
          <w:highlight w:val="none"/>
        </w:rPr>
      </w:pPr>
      <w:bookmarkStart w:id="25" w:name="_Toc520356145"/>
      <w:bookmarkStart w:id="26" w:name="_Toc15936"/>
      <w:bookmarkStart w:id="27" w:name="_Toc20526"/>
      <w:bookmarkStart w:id="28" w:name="_Toc62194299"/>
      <w:bookmarkStart w:id="29" w:name="_Toc532473452"/>
      <w:bookmarkStart w:id="30" w:name="_Toc515647760"/>
      <w:r>
        <w:rPr>
          <w:rFonts w:hint="eastAsia" w:ascii="宋体" w:hAnsi="宋体" w:eastAsia="宋体" w:cs="宋体"/>
          <w:color w:val="auto"/>
          <w:sz w:val="24"/>
          <w:szCs w:val="24"/>
          <w:highlight w:val="none"/>
        </w:rPr>
        <w:t>3.  投标费用</w:t>
      </w:r>
      <w:bookmarkEnd w:id="25"/>
      <w:bookmarkEnd w:id="26"/>
      <w:bookmarkEnd w:id="27"/>
      <w:bookmarkEnd w:id="28"/>
      <w:bookmarkEnd w:id="29"/>
      <w:bookmarkEnd w:id="30"/>
    </w:p>
    <w:p w14:paraId="3B05AD0F">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不论投标的结果如何，投标人应承担所有与投标有关的费用。</w:t>
      </w:r>
    </w:p>
    <w:p w14:paraId="360735BA">
      <w:pPr>
        <w:pStyle w:val="5"/>
        <w:pageBreakBefore w:val="0"/>
        <w:widowControl w:val="0"/>
        <w:kinsoku/>
        <w:wordWrap/>
        <w:overflowPunct/>
        <w:topLinePunct w:val="0"/>
        <w:bidi w:val="0"/>
        <w:snapToGrid/>
        <w:ind w:left="0" w:leftChars="0" w:firstLine="0" w:firstLineChars="0"/>
        <w:jc w:val="both"/>
        <w:textAlignment w:val="auto"/>
        <w:rPr>
          <w:rFonts w:hint="eastAsia" w:ascii="宋体" w:hAnsi="宋体" w:eastAsia="宋体" w:cs="宋体"/>
          <w:color w:val="auto"/>
          <w:sz w:val="24"/>
          <w:szCs w:val="24"/>
          <w:highlight w:val="none"/>
        </w:rPr>
      </w:pPr>
      <w:bookmarkStart w:id="31" w:name="_Toc532473453"/>
      <w:bookmarkStart w:id="32" w:name="_Toc6116"/>
      <w:bookmarkStart w:id="33" w:name="_Toc62194300"/>
      <w:bookmarkStart w:id="34" w:name="_Toc515647761"/>
      <w:bookmarkStart w:id="35" w:name="_Toc4463"/>
      <w:r>
        <w:rPr>
          <w:rFonts w:hint="eastAsia" w:ascii="宋体" w:hAnsi="宋体" w:eastAsia="宋体" w:cs="宋体"/>
          <w:color w:val="auto"/>
          <w:sz w:val="24"/>
          <w:szCs w:val="24"/>
          <w:highlight w:val="none"/>
        </w:rPr>
        <w:t>4. 适用法律</w:t>
      </w:r>
      <w:bookmarkEnd w:id="31"/>
      <w:bookmarkEnd w:id="32"/>
      <w:bookmarkEnd w:id="33"/>
      <w:bookmarkEnd w:id="34"/>
      <w:bookmarkEnd w:id="35"/>
    </w:p>
    <w:p w14:paraId="4DC66D1D">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本项目采购人、采购代理机构、投标人、评标委员会的相关行为均受《中华人民共和国政府采购法》《中华人民共和国政府采购法实施条例》及本项目本级和上级财政部门政府采购有关规定的约束和保护。</w:t>
      </w:r>
    </w:p>
    <w:p w14:paraId="27A99E63">
      <w:pPr>
        <w:pStyle w:val="3"/>
        <w:rPr>
          <w:rFonts w:hint="eastAsia" w:ascii="宋体" w:hAnsi="宋体" w:eastAsia="宋体" w:cs="宋体"/>
          <w:color w:val="auto"/>
          <w:sz w:val="28"/>
          <w:szCs w:val="18"/>
          <w:highlight w:val="none"/>
        </w:rPr>
      </w:pPr>
      <w:bookmarkStart w:id="36" w:name="_Toc21566"/>
      <w:bookmarkStart w:id="37" w:name="_Toc520356146"/>
      <w:bookmarkStart w:id="38" w:name="_Toc216582806"/>
      <w:bookmarkStart w:id="39" w:name="_Toc532473454"/>
      <w:bookmarkStart w:id="40" w:name="_Toc62194301"/>
      <w:bookmarkStart w:id="41" w:name="_Toc515647762"/>
      <w:bookmarkStart w:id="42" w:name="_Toc4365"/>
      <w:r>
        <w:rPr>
          <w:rFonts w:hint="eastAsia" w:ascii="宋体" w:hAnsi="宋体" w:eastAsia="宋体" w:cs="宋体"/>
          <w:color w:val="auto"/>
          <w:sz w:val="28"/>
          <w:szCs w:val="18"/>
          <w:highlight w:val="none"/>
        </w:rPr>
        <w:t>二、招标文件</w:t>
      </w:r>
      <w:bookmarkEnd w:id="36"/>
      <w:bookmarkEnd w:id="37"/>
      <w:bookmarkEnd w:id="38"/>
      <w:bookmarkEnd w:id="39"/>
      <w:bookmarkEnd w:id="40"/>
      <w:bookmarkEnd w:id="41"/>
      <w:bookmarkEnd w:id="42"/>
    </w:p>
    <w:p w14:paraId="122B4B0D">
      <w:pPr>
        <w:pStyle w:val="4"/>
        <w:ind w:firstLine="0"/>
        <w:rPr>
          <w:rFonts w:hint="eastAsia" w:ascii="宋体" w:hAnsi="宋体" w:eastAsia="宋体" w:cs="宋体"/>
          <w:color w:val="auto"/>
          <w:highlight w:val="none"/>
        </w:rPr>
      </w:pPr>
    </w:p>
    <w:p w14:paraId="24777ED2">
      <w:pPr>
        <w:pStyle w:val="5"/>
        <w:pageBreakBefore w:val="0"/>
        <w:widowControl w:val="0"/>
        <w:kinsoku/>
        <w:wordWrap/>
        <w:overflowPunct/>
        <w:topLinePunct w:val="0"/>
        <w:bidi w:val="0"/>
        <w:snapToGrid/>
        <w:ind w:left="0" w:firstLine="0" w:firstLineChars="0"/>
        <w:textAlignment w:val="auto"/>
        <w:rPr>
          <w:rFonts w:hint="eastAsia" w:ascii="宋体" w:hAnsi="宋体" w:eastAsia="宋体" w:cs="宋体"/>
          <w:color w:val="auto"/>
          <w:sz w:val="24"/>
          <w:szCs w:val="24"/>
          <w:highlight w:val="none"/>
        </w:rPr>
      </w:pPr>
      <w:bookmarkStart w:id="43" w:name="_Toc14084"/>
      <w:bookmarkStart w:id="44" w:name="_Toc62194302"/>
      <w:bookmarkStart w:id="45" w:name="_Toc515647763"/>
      <w:bookmarkStart w:id="46" w:name="_Toc25743"/>
      <w:bookmarkStart w:id="47" w:name="_Toc532473455"/>
      <w:bookmarkStart w:id="48" w:name="_Toc520356147"/>
      <w:r>
        <w:rPr>
          <w:rFonts w:hint="eastAsia" w:ascii="宋体" w:hAnsi="宋体" w:eastAsia="宋体" w:cs="宋体"/>
          <w:color w:val="auto"/>
          <w:sz w:val="24"/>
          <w:szCs w:val="24"/>
          <w:highlight w:val="none"/>
        </w:rPr>
        <w:t>5.  招标文件构成</w:t>
      </w:r>
      <w:bookmarkEnd w:id="43"/>
      <w:bookmarkEnd w:id="44"/>
      <w:bookmarkEnd w:id="45"/>
      <w:bookmarkEnd w:id="46"/>
      <w:bookmarkEnd w:id="47"/>
      <w:bookmarkEnd w:id="48"/>
    </w:p>
    <w:p w14:paraId="0902824B">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5.1  招标文件共六章，构成如下：</w:t>
      </w:r>
    </w:p>
    <w:p w14:paraId="52BCC948">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第一章  招标公告</w:t>
      </w:r>
    </w:p>
    <w:p w14:paraId="63858013">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第二章  投标人须知</w:t>
      </w:r>
    </w:p>
    <w:p w14:paraId="192114E2">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第三章  评标方法和标准</w:t>
      </w:r>
    </w:p>
    <w:p w14:paraId="4228B12B">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第四章  拟签订的合同文本</w:t>
      </w:r>
    </w:p>
    <w:p w14:paraId="1A7E6CBA">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第五章  采购需求及要求</w:t>
      </w:r>
    </w:p>
    <w:p w14:paraId="0BEB5F3C">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第六章  投标文件格式</w:t>
      </w:r>
    </w:p>
    <w:p w14:paraId="026F3E5A">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5.2  招标文件中如有不一致的，有澄清的部分以最终的澄清更正内容为准；未澄清的，以投标人须知前附表为准；投标人须知前附表不涉及的内容，以编排在后的最后描述为准。</w:t>
      </w:r>
    </w:p>
    <w:p w14:paraId="15FE2866">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5.3  投标人应认真阅读招标文件所有的事项、格式、条款和技术规范等。如投标人没有按照招标文件要求提交全部资料，或者投标文件没有对招标文件的实质性要求做出响应，其投标将被认定为</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321BC99C">
      <w:pPr>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5.4  现场考察或者答疑会及相关事项见</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w:t>
      </w:r>
    </w:p>
    <w:p w14:paraId="09AC227B">
      <w:pPr>
        <w:pStyle w:val="5"/>
        <w:pageBreakBefore w:val="0"/>
        <w:widowControl w:val="0"/>
        <w:kinsoku/>
        <w:wordWrap/>
        <w:overflowPunct/>
        <w:topLinePunct w:val="0"/>
        <w:bidi w:val="0"/>
        <w:snapToGrid/>
        <w:ind w:left="0" w:firstLine="0" w:firstLineChars="0"/>
        <w:textAlignment w:val="auto"/>
        <w:rPr>
          <w:rFonts w:hint="eastAsia" w:ascii="宋体" w:hAnsi="宋体" w:eastAsia="宋体" w:cs="宋体"/>
          <w:color w:val="auto"/>
          <w:sz w:val="24"/>
          <w:szCs w:val="24"/>
          <w:highlight w:val="none"/>
        </w:rPr>
      </w:pPr>
      <w:bookmarkStart w:id="49" w:name="_Toc515904805"/>
      <w:bookmarkStart w:id="50" w:name="_Toc520356148"/>
      <w:bookmarkStart w:id="51" w:name="_Toc532473456"/>
      <w:bookmarkStart w:id="52" w:name="_Toc9232"/>
      <w:bookmarkStart w:id="53" w:name="_Toc26044"/>
      <w:bookmarkStart w:id="54" w:name="_Toc62194303"/>
      <w:r>
        <w:rPr>
          <w:rFonts w:hint="eastAsia" w:ascii="宋体" w:hAnsi="宋体" w:eastAsia="宋体" w:cs="宋体"/>
          <w:color w:val="auto"/>
          <w:sz w:val="24"/>
          <w:szCs w:val="24"/>
          <w:highlight w:val="none"/>
        </w:rPr>
        <w:t>6.  招标文件的澄清</w:t>
      </w:r>
      <w:bookmarkEnd w:id="49"/>
      <w:bookmarkEnd w:id="50"/>
      <w:r>
        <w:rPr>
          <w:rFonts w:hint="eastAsia" w:ascii="宋体" w:hAnsi="宋体" w:eastAsia="宋体" w:cs="宋体"/>
          <w:color w:val="auto"/>
          <w:sz w:val="24"/>
          <w:szCs w:val="24"/>
          <w:highlight w:val="none"/>
        </w:rPr>
        <w:t>与修改</w:t>
      </w:r>
      <w:bookmarkEnd w:id="51"/>
      <w:bookmarkEnd w:id="52"/>
      <w:bookmarkEnd w:id="53"/>
      <w:bookmarkEnd w:id="54"/>
    </w:p>
    <w:p w14:paraId="09DDE225">
      <w:pPr>
        <w:pStyle w:val="4"/>
        <w:pageBreakBefore w:val="0"/>
        <w:widowControl w:val="0"/>
        <w:kinsoku/>
        <w:wordWrap/>
        <w:overflowPunct/>
        <w:topLinePunct w:val="0"/>
        <w:bidi w:val="0"/>
        <w:snapToGrid/>
        <w:spacing w:line="360" w:lineRule="auto"/>
        <w:ind w:left="0" w:firstLine="0" w:firstLineChars="0"/>
        <w:jc w:val="both"/>
        <w:textAlignment w:val="auto"/>
        <w:rPr>
          <w:rFonts w:hint="eastAsia" w:ascii="宋体" w:hAnsi="宋体" w:eastAsia="宋体" w:cs="宋体"/>
          <w:color w:val="auto"/>
          <w:szCs w:val="24"/>
          <w:highlight w:val="none"/>
        </w:rPr>
      </w:pPr>
      <w:bookmarkStart w:id="55" w:name="_Ref467378678"/>
      <w:bookmarkStart w:id="56" w:name="_Toc520356149"/>
      <w:bookmarkStart w:id="57" w:name="_Toc515904806"/>
      <w:r>
        <w:rPr>
          <w:rFonts w:hint="eastAsia" w:ascii="宋体" w:hAnsi="宋体" w:eastAsia="宋体" w:cs="宋体"/>
          <w:color w:val="auto"/>
          <w:szCs w:val="24"/>
          <w:highlight w:val="none"/>
        </w:rPr>
        <w:t>6.1  采购人可主动地或在解答投标人提出的澄清问题时对招标文件进行澄清或修改。采购代理机构将以发布澄清（更正）公告的方式，澄清或修改招标文件，澄清或修改内容作为招标文件的组成部分。</w:t>
      </w:r>
    </w:p>
    <w:p w14:paraId="337F7A38">
      <w:pPr>
        <w:pStyle w:val="4"/>
        <w:pageBreakBefore w:val="0"/>
        <w:widowControl w:val="0"/>
        <w:kinsoku/>
        <w:wordWrap/>
        <w:overflowPunct/>
        <w:topLinePunct w:val="0"/>
        <w:bidi w:val="0"/>
        <w:snapToGrid/>
        <w:spacing w:line="360" w:lineRule="auto"/>
        <w:ind w:left="0" w:firstLine="0" w:firstLineChars="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6.2  澄清或者修改的内容可能影响投标文件编制的，采购代理机构将以书面形式通知所有获取招标文件的潜在投标人，并对其具有约束力。投标人在收到上述通知后，应及时向采购代理机构确认。投标人未回复的，视同已知晓澄清或者修改的内容。</w:t>
      </w:r>
    </w:p>
    <w:p w14:paraId="598ECB3F">
      <w:pPr>
        <w:pStyle w:val="4"/>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因潜在投标人原因或通讯线路故障导致通知逾期送达或无法送达，采购代理机构不因此承担任何责任，有关的招标采购活动可以继续有效进行。</w:t>
      </w:r>
    </w:p>
    <w:bookmarkEnd w:id="55"/>
    <w:bookmarkEnd w:id="56"/>
    <w:bookmarkEnd w:id="57"/>
    <w:p w14:paraId="6EE12449">
      <w:pPr>
        <w:pStyle w:val="5"/>
        <w:pageBreakBefore w:val="0"/>
        <w:widowControl w:val="0"/>
        <w:kinsoku/>
        <w:wordWrap/>
        <w:overflowPunct/>
        <w:topLinePunct w:val="0"/>
        <w:bidi w:val="0"/>
        <w:snapToGrid/>
        <w:ind w:left="0" w:leftChars="0" w:firstLine="0" w:firstLineChars="0"/>
        <w:textAlignment w:val="auto"/>
        <w:rPr>
          <w:rFonts w:hint="eastAsia" w:ascii="宋体" w:hAnsi="宋体" w:eastAsia="宋体" w:cs="宋体"/>
          <w:color w:val="auto"/>
          <w:sz w:val="24"/>
          <w:szCs w:val="24"/>
          <w:highlight w:val="none"/>
        </w:rPr>
      </w:pPr>
      <w:bookmarkStart w:id="58" w:name="_Toc14569"/>
      <w:bookmarkStart w:id="59" w:name="_Toc62194304"/>
      <w:bookmarkStart w:id="60" w:name="_Toc25635"/>
      <w:bookmarkStart w:id="61" w:name="_Toc532473457"/>
      <w:r>
        <w:rPr>
          <w:rFonts w:hint="eastAsia" w:ascii="宋体" w:hAnsi="宋体" w:eastAsia="宋体" w:cs="宋体"/>
          <w:color w:val="auto"/>
          <w:sz w:val="24"/>
          <w:szCs w:val="24"/>
          <w:highlight w:val="none"/>
        </w:rPr>
        <w:t>7.  投标截止时间的顺延</w:t>
      </w:r>
      <w:bookmarkEnd w:id="58"/>
      <w:bookmarkEnd w:id="59"/>
      <w:bookmarkEnd w:id="60"/>
      <w:bookmarkEnd w:id="61"/>
    </w:p>
    <w:p w14:paraId="3577D15A">
      <w:pPr>
        <w:pageBreakBefore w:val="0"/>
        <w:widowControl w:val="0"/>
        <w:kinsoku/>
        <w:wordWrap/>
        <w:overflowPunct/>
        <w:topLinePunct w:val="0"/>
        <w:bidi w:val="0"/>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为使投标人有足够的时间对招标文件的澄清或者修改部分进行研究而准备投标或因其他原因，采购人将依法决定是否顺延投标截止时间。</w:t>
      </w:r>
    </w:p>
    <w:p w14:paraId="5609288F">
      <w:pPr>
        <w:pStyle w:val="3"/>
        <w:rPr>
          <w:rFonts w:hint="eastAsia" w:ascii="宋体" w:hAnsi="宋体" w:eastAsia="宋体" w:cs="宋体"/>
          <w:color w:val="auto"/>
          <w:sz w:val="28"/>
          <w:szCs w:val="18"/>
          <w:highlight w:val="none"/>
        </w:rPr>
      </w:pPr>
      <w:bookmarkStart w:id="62" w:name="_Toc516367020"/>
      <w:bookmarkStart w:id="63" w:name="_Toc216582807"/>
      <w:bookmarkStart w:id="64" w:name="_Toc532473458"/>
      <w:bookmarkStart w:id="65" w:name="_Toc30808"/>
      <w:bookmarkStart w:id="66" w:name="_Toc515647766"/>
      <w:bookmarkStart w:id="67" w:name="_Toc7636"/>
      <w:bookmarkStart w:id="68" w:name="_Toc62194305"/>
      <w:bookmarkStart w:id="69" w:name="_Toc520356150"/>
      <w:r>
        <w:rPr>
          <w:rFonts w:hint="eastAsia" w:ascii="宋体" w:hAnsi="宋体" w:eastAsia="宋体" w:cs="宋体"/>
          <w:color w:val="auto"/>
          <w:sz w:val="28"/>
          <w:szCs w:val="18"/>
          <w:highlight w:val="none"/>
        </w:rPr>
        <w:t>三、投标文件</w:t>
      </w:r>
      <w:bookmarkEnd w:id="62"/>
      <w:r>
        <w:rPr>
          <w:rFonts w:hint="eastAsia" w:ascii="宋体" w:hAnsi="宋体" w:eastAsia="宋体" w:cs="宋体"/>
          <w:color w:val="auto"/>
          <w:sz w:val="28"/>
          <w:szCs w:val="18"/>
          <w:highlight w:val="none"/>
        </w:rPr>
        <w:t>的编制</w:t>
      </w:r>
      <w:bookmarkEnd w:id="63"/>
      <w:bookmarkEnd w:id="64"/>
      <w:bookmarkEnd w:id="65"/>
      <w:bookmarkEnd w:id="66"/>
      <w:bookmarkEnd w:id="67"/>
      <w:bookmarkEnd w:id="68"/>
      <w:bookmarkEnd w:id="69"/>
    </w:p>
    <w:p w14:paraId="56AB6C7C">
      <w:pPr>
        <w:pStyle w:val="5"/>
        <w:pageBreakBefore w:val="0"/>
        <w:widowControl w:val="0"/>
        <w:kinsoku/>
        <w:wordWrap/>
        <w:overflowPunct/>
        <w:topLinePunct w:val="0"/>
        <w:bidi w:val="0"/>
        <w:ind w:left="0" w:leftChars="0" w:firstLine="0" w:firstLineChars="0"/>
        <w:jc w:val="both"/>
        <w:textAlignment w:val="auto"/>
        <w:rPr>
          <w:rFonts w:hint="eastAsia" w:ascii="宋体" w:hAnsi="宋体" w:eastAsia="宋体" w:cs="宋体"/>
          <w:color w:val="auto"/>
          <w:sz w:val="24"/>
          <w:szCs w:val="24"/>
          <w:highlight w:val="none"/>
        </w:rPr>
      </w:pPr>
      <w:bookmarkStart w:id="70" w:name="_Toc516367021"/>
      <w:bookmarkStart w:id="71" w:name="_Toc3553"/>
      <w:bookmarkStart w:id="72" w:name="_Toc532473459"/>
      <w:bookmarkStart w:id="73" w:name="_Toc62194306"/>
      <w:bookmarkStart w:id="74" w:name="_Toc515647767"/>
      <w:bookmarkStart w:id="75" w:name="_Toc7786"/>
      <w:bookmarkStart w:id="76" w:name="_Toc520356151"/>
      <w:r>
        <w:rPr>
          <w:rFonts w:hint="eastAsia" w:ascii="宋体" w:hAnsi="宋体" w:eastAsia="宋体" w:cs="宋体"/>
          <w:color w:val="auto"/>
          <w:sz w:val="24"/>
          <w:szCs w:val="24"/>
          <w:highlight w:val="none"/>
        </w:rPr>
        <w:t>8. 投标范围及投标文件中标准和计量单位的使用</w:t>
      </w:r>
      <w:bookmarkEnd w:id="70"/>
      <w:bookmarkEnd w:id="71"/>
      <w:bookmarkEnd w:id="72"/>
      <w:bookmarkEnd w:id="73"/>
      <w:bookmarkEnd w:id="74"/>
      <w:bookmarkEnd w:id="75"/>
      <w:bookmarkEnd w:id="76"/>
    </w:p>
    <w:p w14:paraId="50EA2A96">
      <w:pPr>
        <w:pageBreakBefore w:val="0"/>
        <w:widowControl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8.1 投标人可对招标文件中一个或多个标段进行投标或者中标，除非在</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中另有规定。</w:t>
      </w:r>
    </w:p>
    <w:p w14:paraId="08DA63CC">
      <w:pPr>
        <w:pageBreakBefore w:val="0"/>
        <w:widowControl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8.2 投标人应当对所投标段招标文件中“采购需求及要求”所列的所有内容进行</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，如仅响应部分内容，其该标段投标将被认定为</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521298F6">
      <w:pPr>
        <w:pageBreakBefore w:val="0"/>
        <w:widowControl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8.3 无论招标文件中是否要求，投标人所投货物及伴随的服务和工程均应符合国家强制性标准。</w:t>
      </w:r>
    </w:p>
    <w:p w14:paraId="090DCFCD">
      <w:pPr>
        <w:pageBreakBefore w:val="0"/>
        <w:widowControl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8.4 除招标文件中有特殊要求外，投标文件中所使用的计量单位，应采用中华人民共和国法定计量单位。</w:t>
      </w:r>
    </w:p>
    <w:p w14:paraId="5630EA64">
      <w:pPr>
        <w:pStyle w:val="5"/>
        <w:pageBreakBefore w:val="0"/>
        <w:widowControl w:val="0"/>
        <w:kinsoku/>
        <w:wordWrap/>
        <w:overflowPunct/>
        <w:topLinePunct w:val="0"/>
        <w:bidi w:val="0"/>
        <w:ind w:left="0" w:leftChars="0" w:firstLine="0" w:firstLineChars="0"/>
        <w:textAlignment w:val="auto"/>
        <w:rPr>
          <w:rFonts w:hint="eastAsia" w:ascii="宋体" w:hAnsi="宋体" w:eastAsia="宋体" w:cs="宋体"/>
          <w:color w:val="auto"/>
          <w:sz w:val="24"/>
          <w:szCs w:val="24"/>
          <w:highlight w:val="none"/>
        </w:rPr>
      </w:pPr>
      <w:bookmarkStart w:id="77" w:name="_Ref467306195"/>
      <w:bookmarkStart w:id="78" w:name="_Ref467306676"/>
      <w:bookmarkStart w:id="79" w:name="_Toc516367022"/>
      <w:bookmarkStart w:id="80" w:name="_Toc28307"/>
      <w:bookmarkStart w:id="81" w:name="_Toc62194307"/>
      <w:bookmarkStart w:id="82" w:name="_Toc515647768"/>
      <w:bookmarkStart w:id="83" w:name="_Toc520356152"/>
      <w:bookmarkStart w:id="84" w:name="_Toc532473460"/>
      <w:bookmarkStart w:id="85" w:name="_Toc10364"/>
      <w:r>
        <w:rPr>
          <w:rFonts w:hint="eastAsia" w:ascii="宋体" w:hAnsi="宋体" w:eastAsia="宋体" w:cs="宋体"/>
          <w:color w:val="auto"/>
          <w:sz w:val="24"/>
          <w:szCs w:val="24"/>
          <w:highlight w:val="none"/>
        </w:rPr>
        <w:t>9. 投标文件</w:t>
      </w:r>
      <w:bookmarkEnd w:id="77"/>
      <w:bookmarkEnd w:id="78"/>
      <w:bookmarkEnd w:id="79"/>
      <w:r>
        <w:rPr>
          <w:rFonts w:hint="eastAsia" w:ascii="宋体" w:hAnsi="宋体" w:eastAsia="宋体" w:cs="宋体"/>
          <w:color w:val="auto"/>
          <w:sz w:val="24"/>
          <w:szCs w:val="24"/>
          <w:highlight w:val="none"/>
        </w:rPr>
        <w:t>组成</w:t>
      </w:r>
      <w:bookmarkEnd w:id="80"/>
      <w:bookmarkEnd w:id="81"/>
      <w:bookmarkEnd w:id="82"/>
      <w:bookmarkEnd w:id="83"/>
      <w:bookmarkEnd w:id="84"/>
      <w:bookmarkEnd w:id="85"/>
    </w:p>
    <w:p w14:paraId="18C659BE">
      <w:pPr>
        <w:pageBreakBefore w:val="0"/>
        <w:widowControl w:val="0"/>
        <w:tabs>
          <w:tab w:val="left" w:pos="900"/>
          <w:tab w:val="left" w:pos="5580"/>
        </w:tabs>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highlight w:val="none"/>
        </w:rPr>
      </w:pPr>
      <w:bookmarkStart w:id="86" w:name="_Ref467052588"/>
      <w:r>
        <w:rPr>
          <w:rFonts w:hint="eastAsia" w:ascii="宋体" w:hAnsi="宋体" w:eastAsia="宋体" w:cs="宋体"/>
          <w:color w:val="auto"/>
          <w:sz w:val="24"/>
          <w:highlight w:val="none"/>
        </w:rPr>
        <w:t>9.1 投标人应完整地按照招标文件提供的投标文件格式及要求编写投标文件。投标文件中资格审查和符合性审查涉及的事项不满足招标文件要求的，其投标将被认定为</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652B9735">
      <w:pPr>
        <w:pageBreakBefore w:val="0"/>
        <w:widowControl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9.2 上述文件应按照招标文件的规定签署</w:t>
      </w:r>
      <w:bookmarkStart w:id="87" w:name="_Hlk1734277"/>
      <w:r>
        <w:rPr>
          <w:rFonts w:hint="eastAsia" w:ascii="宋体" w:hAnsi="宋体" w:eastAsia="宋体" w:cs="宋体"/>
          <w:color w:val="auto"/>
          <w:sz w:val="24"/>
          <w:highlight w:val="none"/>
        </w:rPr>
        <w:t>和盖公章或经公章授权的其他单位章（以下统称公章）</w:t>
      </w:r>
      <w:bookmarkEnd w:id="87"/>
      <w:r>
        <w:rPr>
          <w:rFonts w:hint="eastAsia" w:ascii="宋体" w:hAnsi="宋体" w:eastAsia="宋体" w:cs="宋体"/>
          <w:color w:val="auto"/>
          <w:sz w:val="24"/>
          <w:highlight w:val="none"/>
        </w:rPr>
        <w:t>。采用公章授权方式的，应当在投标文件资格证明文件附公章授权书（格式自定）。</w:t>
      </w:r>
    </w:p>
    <w:bookmarkEnd w:id="86"/>
    <w:p w14:paraId="2D3DA659">
      <w:pPr>
        <w:pStyle w:val="5"/>
        <w:pageBreakBefore w:val="0"/>
        <w:widowControl w:val="0"/>
        <w:kinsoku/>
        <w:wordWrap/>
        <w:overflowPunct/>
        <w:topLinePunct w:val="0"/>
        <w:bidi w:val="0"/>
        <w:ind w:left="0" w:leftChars="0" w:firstLine="0" w:firstLineChars="0"/>
        <w:jc w:val="both"/>
        <w:textAlignment w:val="auto"/>
        <w:rPr>
          <w:rFonts w:hint="eastAsia" w:ascii="宋体" w:hAnsi="宋体" w:eastAsia="宋体" w:cs="宋体"/>
          <w:color w:val="auto"/>
          <w:sz w:val="24"/>
          <w:szCs w:val="24"/>
          <w:highlight w:val="none"/>
        </w:rPr>
      </w:pPr>
      <w:bookmarkStart w:id="88" w:name="_Toc532473461"/>
      <w:bookmarkStart w:id="89" w:name="_Toc516367023"/>
      <w:bookmarkStart w:id="90" w:name="_Toc515647769"/>
      <w:bookmarkStart w:id="91" w:name="_Toc4601"/>
      <w:bookmarkStart w:id="92" w:name="_Toc62194308"/>
      <w:bookmarkStart w:id="93" w:name="_Toc10379"/>
      <w:bookmarkStart w:id="94" w:name="_Toc520356153"/>
      <w:r>
        <w:rPr>
          <w:rFonts w:hint="eastAsia" w:ascii="宋体" w:hAnsi="宋体" w:eastAsia="宋体" w:cs="宋体"/>
          <w:color w:val="auto"/>
          <w:sz w:val="24"/>
          <w:szCs w:val="24"/>
          <w:highlight w:val="none"/>
        </w:rPr>
        <w:t>10. 证明投标标的的合格性和符合招标文件规定的</w:t>
      </w:r>
      <w:bookmarkEnd w:id="88"/>
      <w:bookmarkEnd w:id="89"/>
      <w:bookmarkEnd w:id="90"/>
      <w:bookmarkEnd w:id="91"/>
      <w:bookmarkEnd w:id="92"/>
      <w:bookmarkEnd w:id="93"/>
      <w:bookmarkEnd w:id="94"/>
      <w:r>
        <w:rPr>
          <w:rFonts w:hint="eastAsia" w:eastAsia="宋体" w:cs="宋体"/>
          <w:color w:val="auto"/>
          <w:sz w:val="24"/>
          <w:highlight w:val="none"/>
        </w:rPr>
        <w:t>投标文件</w:t>
      </w:r>
    </w:p>
    <w:p w14:paraId="6E32B6D3">
      <w:pPr>
        <w:pageBreakBefore w:val="0"/>
        <w:widowControl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10.1 投标人应提交证明文件，证明其投标标的符合招标文件规定。该证明文件是投标文件的</w:t>
      </w:r>
      <w:r>
        <w:rPr>
          <w:rFonts w:hint="eastAsia" w:ascii="宋体" w:hAnsi="宋体" w:eastAsia="宋体" w:cs="宋体"/>
          <w:color w:val="auto"/>
          <w:sz w:val="24"/>
          <w:highlight w:val="none"/>
          <w:lang w:eastAsia="zh-CN"/>
        </w:rPr>
        <w:t>组成部分</w:t>
      </w:r>
      <w:r>
        <w:rPr>
          <w:rFonts w:hint="eastAsia" w:ascii="宋体" w:hAnsi="宋体" w:eastAsia="宋体" w:cs="宋体"/>
          <w:color w:val="auto"/>
          <w:sz w:val="24"/>
          <w:highlight w:val="none"/>
        </w:rPr>
        <w:t>。</w:t>
      </w:r>
    </w:p>
    <w:p w14:paraId="775140E6">
      <w:pPr>
        <w:pageBreakBefore w:val="0"/>
        <w:widowControl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highlight w:val="none"/>
        </w:rPr>
      </w:pPr>
      <w:bookmarkStart w:id="95" w:name="_Ref467306244"/>
      <w:r>
        <w:rPr>
          <w:rFonts w:hint="eastAsia" w:ascii="宋体" w:hAnsi="宋体" w:eastAsia="宋体" w:cs="宋体"/>
          <w:color w:val="auto"/>
          <w:sz w:val="24"/>
          <w:highlight w:val="none"/>
        </w:rPr>
        <w:t>10.2 上款所述的证明文件，可以是文字资料、图纸和数据</w:t>
      </w:r>
      <w:bookmarkEnd w:id="95"/>
      <w:r>
        <w:rPr>
          <w:rFonts w:hint="eastAsia" w:ascii="宋体" w:hAnsi="宋体" w:eastAsia="宋体" w:cs="宋体"/>
          <w:color w:val="auto"/>
          <w:sz w:val="24"/>
          <w:highlight w:val="none"/>
        </w:rPr>
        <w:t>。</w:t>
      </w:r>
    </w:p>
    <w:p w14:paraId="0FA65FD7">
      <w:pPr>
        <w:pageBreakBefore w:val="0"/>
        <w:widowControl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10.3 本条所指证明文件不包括对招标文件相关部分的文字、图标的复制。</w:t>
      </w:r>
    </w:p>
    <w:p w14:paraId="285273D2">
      <w:pPr>
        <w:pStyle w:val="5"/>
        <w:pageBreakBefore w:val="0"/>
        <w:widowControl w:val="0"/>
        <w:kinsoku/>
        <w:wordWrap/>
        <w:overflowPunct/>
        <w:topLinePunct w:val="0"/>
        <w:bidi w:val="0"/>
        <w:ind w:left="0" w:leftChars="0" w:firstLine="0" w:firstLineChars="0"/>
        <w:textAlignment w:val="auto"/>
        <w:rPr>
          <w:rFonts w:hint="eastAsia" w:ascii="宋体" w:hAnsi="宋体" w:eastAsia="宋体" w:cs="宋体"/>
          <w:color w:val="auto"/>
          <w:sz w:val="24"/>
          <w:szCs w:val="24"/>
          <w:highlight w:val="none"/>
        </w:rPr>
      </w:pPr>
      <w:bookmarkStart w:id="96" w:name="_Toc515647770"/>
      <w:bookmarkStart w:id="97" w:name="_Toc2248"/>
      <w:bookmarkStart w:id="98" w:name="_Toc532473462"/>
      <w:bookmarkStart w:id="99" w:name="_Toc23231"/>
      <w:bookmarkStart w:id="100" w:name="_Toc62194309"/>
      <w:bookmarkStart w:id="101" w:name="_Toc520356155"/>
      <w:r>
        <w:rPr>
          <w:rFonts w:hint="eastAsia" w:ascii="宋体" w:hAnsi="宋体" w:eastAsia="宋体" w:cs="宋体"/>
          <w:color w:val="auto"/>
          <w:sz w:val="24"/>
          <w:szCs w:val="24"/>
          <w:highlight w:val="none"/>
        </w:rPr>
        <w:t>11. 投标报价</w:t>
      </w:r>
      <w:bookmarkEnd w:id="96"/>
      <w:bookmarkEnd w:id="97"/>
      <w:bookmarkEnd w:id="98"/>
      <w:bookmarkEnd w:id="99"/>
      <w:bookmarkEnd w:id="100"/>
      <w:bookmarkEnd w:id="101"/>
    </w:p>
    <w:p w14:paraId="437B3802">
      <w:pPr>
        <w:pageBreakBefore w:val="0"/>
        <w:widowControl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11.1 投标人的报价应当包括满足本次招标全部采购需求所应提供的服务，以及伴随的货物和工程。所有投标均应以人民币报价。投标人的投标报价应遵守《中华人民共和国价格法》。</w:t>
      </w:r>
    </w:p>
    <w:p w14:paraId="0001773D">
      <w:pPr>
        <w:pageBreakBefore w:val="0"/>
        <w:widowControl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11.2 投标人应在投标分项报价表上标明分项服务、伴随的货物和工程的价格（如适用）和总价，并由法定代表人或其授权代表签署。</w:t>
      </w:r>
    </w:p>
    <w:p w14:paraId="4BDBCD8A">
      <w:pPr>
        <w:pageBreakBefore w:val="0"/>
        <w:widowControl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11.3 采购人不接受具有附加条件的报价或多个方案的报价。</w:t>
      </w:r>
    </w:p>
    <w:p w14:paraId="27BE1B61">
      <w:pPr>
        <w:pageBreakBefore w:val="0"/>
        <w:widowControl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11.4 投标人所报的投标报价在合同履行过程中是固定不变的，不得以任何理由予以变更。任何包含价格调整要求的投标，将被认定为</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4F967498">
      <w:pPr>
        <w:pStyle w:val="5"/>
        <w:pageBreakBefore w:val="0"/>
        <w:widowControl w:val="0"/>
        <w:kinsoku/>
        <w:wordWrap/>
        <w:overflowPunct/>
        <w:topLinePunct w:val="0"/>
        <w:bidi w:val="0"/>
        <w:ind w:left="0" w:leftChars="0" w:firstLine="0" w:firstLineChars="0"/>
        <w:textAlignment w:val="auto"/>
        <w:rPr>
          <w:rFonts w:hint="eastAsia" w:ascii="宋体" w:hAnsi="宋体" w:eastAsia="宋体" w:cs="宋体"/>
          <w:color w:val="auto"/>
          <w:sz w:val="24"/>
          <w:szCs w:val="24"/>
          <w:highlight w:val="none"/>
        </w:rPr>
      </w:pPr>
      <w:bookmarkStart w:id="102" w:name="_Ref467306513"/>
      <w:bookmarkStart w:id="103" w:name="_Toc515647771"/>
      <w:bookmarkStart w:id="104" w:name="_Toc62194310"/>
      <w:bookmarkStart w:id="105" w:name="_Toc520356156"/>
      <w:bookmarkStart w:id="106" w:name="_Toc17788"/>
      <w:bookmarkStart w:id="107" w:name="_Toc532473463"/>
      <w:bookmarkStart w:id="108" w:name="_Toc11514"/>
      <w:r>
        <w:rPr>
          <w:rFonts w:hint="eastAsia" w:ascii="宋体" w:hAnsi="宋体" w:eastAsia="宋体" w:cs="宋体"/>
          <w:color w:val="auto"/>
          <w:sz w:val="24"/>
          <w:szCs w:val="24"/>
          <w:highlight w:val="none"/>
        </w:rPr>
        <w:t>12. 投标保证金</w:t>
      </w:r>
      <w:bookmarkEnd w:id="102"/>
      <w:bookmarkEnd w:id="103"/>
      <w:bookmarkEnd w:id="104"/>
      <w:bookmarkEnd w:id="105"/>
      <w:bookmarkEnd w:id="106"/>
      <w:bookmarkEnd w:id="107"/>
      <w:bookmarkEnd w:id="108"/>
    </w:p>
    <w:p w14:paraId="1620A41B">
      <w:pPr>
        <w:pageBreakBefore w:val="0"/>
        <w:widowControl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highlight w:val="none"/>
        </w:rPr>
      </w:pPr>
      <w:bookmarkStart w:id="109" w:name="_Ref467306302"/>
      <w:r>
        <w:rPr>
          <w:rFonts w:hint="eastAsia" w:ascii="宋体" w:hAnsi="宋体" w:eastAsia="宋体" w:cs="宋体"/>
          <w:color w:val="auto"/>
          <w:sz w:val="24"/>
          <w:highlight w:val="none"/>
        </w:rPr>
        <w:t>12.1</w:t>
      </w:r>
      <w:bookmarkEnd w:id="109"/>
      <w:r>
        <w:rPr>
          <w:rFonts w:hint="eastAsia" w:ascii="宋体" w:hAnsi="宋体" w:eastAsia="宋体" w:cs="宋体"/>
          <w:color w:val="auto"/>
          <w:sz w:val="24"/>
          <w:highlight w:val="none"/>
          <w:lang w:val="en-US" w:eastAsia="zh-CN"/>
        </w:rPr>
        <w:t xml:space="preserve"> 本项目不收取</w:t>
      </w:r>
      <w:r>
        <w:rPr>
          <w:rFonts w:hint="eastAsia" w:ascii="宋体" w:hAnsi="宋体" w:eastAsia="宋体" w:cs="宋体"/>
          <w:color w:val="auto"/>
          <w:sz w:val="24"/>
          <w:highlight w:val="none"/>
          <w:lang w:val="zh-CN"/>
        </w:rPr>
        <w:t>投标保证金。</w:t>
      </w:r>
    </w:p>
    <w:p w14:paraId="71DE50F4">
      <w:pPr>
        <w:pStyle w:val="5"/>
        <w:ind w:firstLine="0" w:firstLineChars="0"/>
        <w:rPr>
          <w:rFonts w:hint="eastAsia" w:ascii="宋体" w:hAnsi="宋体" w:eastAsia="宋体" w:cs="宋体"/>
          <w:color w:val="auto"/>
          <w:sz w:val="24"/>
          <w:szCs w:val="24"/>
          <w:highlight w:val="none"/>
        </w:rPr>
      </w:pPr>
      <w:bookmarkStart w:id="110" w:name="_Toc62194311"/>
      <w:bookmarkStart w:id="111" w:name="_Toc23590"/>
      <w:bookmarkStart w:id="112" w:name="_Toc32569"/>
      <w:bookmarkStart w:id="113" w:name="_Toc515647772"/>
      <w:bookmarkStart w:id="114" w:name="_Toc520356157"/>
      <w:bookmarkStart w:id="115" w:name="_Toc532473464"/>
      <w:r>
        <w:rPr>
          <w:rFonts w:hint="eastAsia" w:ascii="宋体" w:hAnsi="宋体" w:eastAsia="宋体" w:cs="宋体"/>
          <w:color w:val="auto"/>
          <w:sz w:val="24"/>
          <w:szCs w:val="24"/>
          <w:highlight w:val="none"/>
        </w:rPr>
        <w:t>13. 投标有效期</w:t>
      </w:r>
      <w:bookmarkEnd w:id="110"/>
      <w:bookmarkEnd w:id="111"/>
      <w:bookmarkEnd w:id="112"/>
      <w:bookmarkEnd w:id="113"/>
      <w:bookmarkEnd w:id="114"/>
      <w:bookmarkEnd w:id="115"/>
    </w:p>
    <w:p w14:paraId="273FD038">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13.1 投标有效期为</w:t>
      </w:r>
      <w:r>
        <w:rPr>
          <w:rFonts w:hint="eastAsia" w:ascii="宋体" w:hAnsi="宋体" w:eastAsia="宋体" w:cs="宋体"/>
          <w:color w:val="auto"/>
          <w:sz w:val="24"/>
          <w:highlight w:val="none"/>
          <w:lang w:val="en-US" w:eastAsia="zh-CN"/>
        </w:rPr>
        <w:t>递</w:t>
      </w:r>
      <w:r>
        <w:rPr>
          <w:rFonts w:hint="eastAsia" w:ascii="宋体" w:hAnsi="宋体" w:eastAsia="宋体" w:cs="宋体"/>
          <w:color w:val="auto"/>
          <w:sz w:val="24"/>
          <w:highlight w:val="none"/>
        </w:rPr>
        <w:t>交投标文件截止之日起90个日历日，投标应在投标有效期内保持有效。投标有效期不满足要求的投标，其投标将被认定为</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00EFFC78">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13.2 因特殊原因，采购人或采购代理机构可在原投标有效期截止之前，要求投标人延长投标文件的有效期。接受该要求的投标人将不会被要求和允许修正其投标。投标人也可以拒绝延长投标有效期的要求，且不承担任何责任。上述要求和答复都应以书面形式提交。</w:t>
      </w:r>
    </w:p>
    <w:p w14:paraId="3754C6EB">
      <w:pPr>
        <w:pStyle w:val="5"/>
        <w:pageBreakBefore w:val="0"/>
        <w:widowControl w:val="0"/>
        <w:kinsoku/>
        <w:wordWrap/>
        <w:overflowPunct/>
        <w:topLinePunct w:val="0"/>
        <w:bidi w:val="0"/>
        <w:snapToGrid/>
        <w:ind w:left="0" w:leftChars="0" w:firstLine="0" w:firstLineChars="0"/>
        <w:textAlignment w:val="auto"/>
        <w:rPr>
          <w:rFonts w:hint="eastAsia" w:ascii="宋体" w:hAnsi="宋体" w:eastAsia="宋体" w:cs="宋体"/>
          <w:color w:val="auto"/>
          <w:sz w:val="24"/>
          <w:szCs w:val="24"/>
          <w:highlight w:val="none"/>
        </w:rPr>
      </w:pPr>
      <w:bookmarkStart w:id="116" w:name="_Toc532473465"/>
      <w:bookmarkStart w:id="117" w:name="_Toc515647773"/>
      <w:bookmarkStart w:id="118" w:name="_Toc493"/>
      <w:bookmarkStart w:id="119" w:name="_Toc17074"/>
      <w:bookmarkStart w:id="120" w:name="_Toc520356158"/>
      <w:bookmarkStart w:id="121" w:name="_Toc62194312"/>
      <w:r>
        <w:rPr>
          <w:rFonts w:hint="eastAsia" w:ascii="宋体" w:hAnsi="宋体" w:eastAsia="宋体" w:cs="宋体"/>
          <w:color w:val="auto"/>
          <w:sz w:val="24"/>
          <w:szCs w:val="24"/>
          <w:highlight w:val="none"/>
        </w:rPr>
        <w:t>14. 投标文件的</w:t>
      </w:r>
      <w:bookmarkEnd w:id="116"/>
      <w:bookmarkEnd w:id="117"/>
      <w:bookmarkEnd w:id="118"/>
      <w:bookmarkEnd w:id="119"/>
      <w:bookmarkEnd w:id="120"/>
      <w:r>
        <w:rPr>
          <w:rFonts w:hint="eastAsia" w:ascii="宋体" w:hAnsi="宋体" w:eastAsia="宋体" w:cs="宋体"/>
          <w:color w:val="auto"/>
          <w:sz w:val="24"/>
          <w:szCs w:val="24"/>
          <w:highlight w:val="none"/>
        </w:rPr>
        <w:t>制作</w:t>
      </w:r>
      <w:bookmarkEnd w:id="121"/>
    </w:p>
    <w:p w14:paraId="2E1F9616">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14.1 投标人应按</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中的规定，在投标截止时间前上传电子版投标文件。</w:t>
      </w:r>
    </w:p>
    <w:p w14:paraId="6082FAE5">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14.2投标文件由投标人的法定代表人或经其正式</w:t>
      </w:r>
      <w:r>
        <w:rPr>
          <w:rFonts w:hint="eastAsia" w:ascii="宋体" w:hAnsi="宋体" w:eastAsia="宋体" w:cs="宋体"/>
          <w:color w:val="auto"/>
          <w:sz w:val="24"/>
          <w:highlight w:val="none"/>
          <w:lang w:val="en-US" w:eastAsia="zh-CN"/>
        </w:rPr>
        <w:t>授权的</w:t>
      </w:r>
      <w:r>
        <w:rPr>
          <w:rFonts w:hint="eastAsia" w:ascii="宋体" w:hAnsi="宋体" w:eastAsia="宋体" w:cs="宋体"/>
          <w:color w:val="auto"/>
          <w:sz w:val="24"/>
          <w:highlight w:val="none"/>
        </w:rPr>
        <w:t>委托代理人按招标文件规定在投标文件上签字并加盖公章。委托代理人须持有书面的“法定代表人授权委托书”，并将其附在投标文件中。如对投标文件进行了修改，则应由投标人的法定代表人或委托代理人在每一修改处签字。</w:t>
      </w:r>
    </w:p>
    <w:p w14:paraId="352ECE1B">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未按招标文件要求签署和盖章的投标文件，其投标将被认定为</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4E22D58A">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14.3 投标文件应按照“投标文件格式”编制。</w:t>
      </w:r>
    </w:p>
    <w:p w14:paraId="3A6775B6">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14.4 投标文件因字迹潦草、表达不清所引起的后果由投标人负责。</w:t>
      </w:r>
    </w:p>
    <w:p w14:paraId="6BC47A23">
      <w:pPr>
        <w:spacing w:line="360" w:lineRule="auto"/>
        <w:ind w:left="900" w:hanging="900" w:hangingChars="375"/>
        <w:rPr>
          <w:rFonts w:hint="eastAsia" w:ascii="宋体" w:hAnsi="宋体" w:eastAsia="宋体" w:cs="宋体"/>
          <w:color w:val="auto"/>
          <w:sz w:val="24"/>
          <w:highlight w:val="none"/>
        </w:rPr>
      </w:pPr>
    </w:p>
    <w:p w14:paraId="18DA6E5D">
      <w:pPr>
        <w:pStyle w:val="3"/>
        <w:rPr>
          <w:rFonts w:hint="eastAsia" w:ascii="宋体" w:hAnsi="宋体" w:eastAsia="宋体" w:cs="宋体"/>
          <w:color w:val="auto"/>
          <w:sz w:val="28"/>
          <w:szCs w:val="18"/>
          <w:highlight w:val="none"/>
        </w:rPr>
      </w:pPr>
      <w:bookmarkStart w:id="122" w:name="_Toc216582808"/>
      <w:bookmarkStart w:id="123" w:name="_Toc520356159"/>
      <w:bookmarkStart w:id="124" w:name="_Toc11179"/>
      <w:bookmarkStart w:id="125" w:name="_Toc532473466"/>
      <w:bookmarkStart w:id="126" w:name="_Toc515647774"/>
      <w:bookmarkStart w:id="127" w:name="_Toc62194313"/>
      <w:bookmarkStart w:id="128" w:name="_Toc16865"/>
      <w:r>
        <w:rPr>
          <w:rFonts w:hint="eastAsia" w:ascii="宋体" w:hAnsi="宋体" w:eastAsia="宋体" w:cs="宋体"/>
          <w:color w:val="auto"/>
          <w:sz w:val="28"/>
          <w:szCs w:val="18"/>
          <w:highlight w:val="none"/>
        </w:rPr>
        <w:t>四、投标文件的递交</w:t>
      </w:r>
      <w:bookmarkEnd w:id="122"/>
      <w:bookmarkEnd w:id="123"/>
      <w:bookmarkEnd w:id="124"/>
      <w:bookmarkEnd w:id="125"/>
      <w:bookmarkEnd w:id="126"/>
      <w:bookmarkEnd w:id="127"/>
      <w:bookmarkEnd w:id="128"/>
    </w:p>
    <w:p w14:paraId="45FD639C">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color w:val="auto"/>
          <w:sz w:val="24"/>
          <w:highlight w:val="none"/>
          <w:lang w:eastAsia="zh-CN"/>
        </w:rPr>
      </w:pPr>
      <w:bookmarkStart w:id="129" w:name="_Toc532473467"/>
      <w:bookmarkStart w:id="130" w:name="_Toc32337"/>
      <w:bookmarkStart w:id="131" w:name="_Toc520356160"/>
      <w:bookmarkStart w:id="132" w:name="_Toc515647775"/>
      <w:bookmarkStart w:id="133" w:name="_Toc62194314"/>
      <w:bookmarkStart w:id="134" w:name="_Toc21645"/>
      <w:bookmarkStart w:id="135" w:name="_Toc30264"/>
      <w:bookmarkStart w:id="136" w:name="_Toc6145"/>
      <w:bookmarkStart w:id="137" w:name="_Toc30791"/>
      <w:r>
        <w:rPr>
          <w:rFonts w:hint="eastAsia" w:ascii="宋体" w:hAnsi="宋体" w:eastAsia="宋体" w:cs="宋体"/>
          <w:color w:val="auto"/>
          <w:sz w:val="24"/>
          <w:highlight w:val="none"/>
        </w:rPr>
        <w:t>15. 投标文件的</w:t>
      </w:r>
      <w:bookmarkEnd w:id="129"/>
      <w:bookmarkEnd w:id="130"/>
      <w:bookmarkEnd w:id="131"/>
      <w:bookmarkEnd w:id="132"/>
      <w:bookmarkEnd w:id="133"/>
      <w:bookmarkEnd w:id="134"/>
      <w:r>
        <w:rPr>
          <w:rFonts w:hint="eastAsia" w:ascii="宋体" w:hAnsi="宋体" w:eastAsia="宋体" w:cs="宋体"/>
          <w:color w:val="auto"/>
          <w:sz w:val="24"/>
          <w:highlight w:val="none"/>
          <w:lang w:val="en-US" w:eastAsia="zh-CN"/>
        </w:rPr>
        <w:t>加密</w:t>
      </w:r>
      <w:bookmarkEnd w:id="135"/>
      <w:bookmarkEnd w:id="136"/>
      <w:bookmarkEnd w:id="137"/>
    </w:p>
    <w:p w14:paraId="42DC5776">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15.1 加密要求：投标人应按照全国公共资源交易平台（陕西省）的要求对</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 xml:space="preserve">文件进行加密。投标人应承担加密操作失误产生的任何后果。  </w:t>
      </w:r>
    </w:p>
    <w:p w14:paraId="7C0D14EF">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color w:val="auto"/>
          <w:sz w:val="24"/>
          <w:highlight w:val="none"/>
        </w:rPr>
      </w:pPr>
      <w:bookmarkStart w:id="138" w:name="_Toc62194315"/>
      <w:bookmarkStart w:id="139" w:name="_Toc532473468"/>
      <w:bookmarkStart w:id="140" w:name="_Toc12751"/>
      <w:bookmarkStart w:id="141" w:name="_Toc28829"/>
      <w:bookmarkStart w:id="142" w:name="_Toc515647776"/>
      <w:bookmarkStart w:id="143" w:name="_Toc15444"/>
      <w:bookmarkStart w:id="144" w:name="_Toc520356161"/>
      <w:bookmarkStart w:id="145" w:name="_Toc9840"/>
      <w:bookmarkStart w:id="146" w:name="_Toc5643"/>
      <w:r>
        <w:rPr>
          <w:rFonts w:hint="eastAsia" w:ascii="宋体" w:hAnsi="宋体" w:eastAsia="宋体" w:cs="宋体"/>
          <w:color w:val="auto"/>
          <w:sz w:val="24"/>
          <w:highlight w:val="none"/>
        </w:rPr>
        <w:t>16. 投标截止</w:t>
      </w:r>
      <w:bookmarkEnd w:id="138"/>
      <w:bookmarkEnd w:id="139"/>
      <w:bookmarkEnd w:id="140"/>
      <w:bookmarkEnd w:id="141"/>
      <w:bookmarkEnd w:id="142"/>
      <w:bookmarkEnd w:id="143"/>
      <w:bookmarkEnd w:id="144"/>
      <w:bookmarkEnd w:id="145"/>
      <w:bookmarkEnd w:id="146"/>
    </w:p>
    <w:p w14:paraId="3BF76854">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16.1 投标人应在投标人须知前附表中规定的截止时间前，将投标文件递交到招标公告中规定的地点。</w:t>
      </w:r>
    </w:p>
    <w:p w14:paraId="532698C3">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16.2 采购人和采购代理机构将拒绝接收在投标截止时间后送达的投标文件。</w:t>
      </w:r>
    </w:p>
    <w:p w14:paraId="4F64AB05">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color w:val="auto"/>
          <w:sz w:val="24"/>
          <w:highlight w:val="none"/>
        </w:rPr>
      </w:pPr>
      <w:bookmarkStart w:id="147" w:name="_Toc520356162"/>
      <w:bookmarkStart w:id="148" w:name="_Toc853"/>
      <w:bookmarkStart w:id="149" w:name="_Toc62194316"/>
      <w:bookmarkStart w:id="150" w:name="_Toc515647777"/>
      <w:bookmarkStart w:id="151" w:name="_Toc532473469"/>
      <w:bookmarkStart w:id="152" w:name="_Toc16194"/>
      <w:bookmarkStart w:id="153" w:name="_Toc24275"/>
      <w:bookmarkStart w:id="154" w:name="_Toc18537"/>
      <w:bookmarkStart w:id="155" w:name="_Toc941"/>
      <w:r>
        <w:rPr>
          <w:rFonts w:hint="eastAsia" w:ascii="宋体" w:hAnsi="宋体" w:eastAsia="宋体" w:cs="宋体"/>
          <w:color w:val="auto"/>
          <w:sz w:val="24"/>
          <w:highlight w:val="none"/>
        </w:rPr>
        <w:t>17. 投标文件的接收、修改与撤回</w:t>
      </w:r>
      <w:bookmarkEnd w:id="147"/>
      <w:bookmarkEnd w:id="148"/>
      <w:bookmarkEnd w:id="149"/>
      <w:bookmarkEnd w:id="150"/>
      <w:bookmarkEnd w:id="151"/>
      <w:bookmarkEnd w:id="152"/>
      <w:bookmarkEnd w:id="153"/>
      <w:bookmarkEnd w:id="154"/>
      <w:bookmarkEnd w:id="155"/>
    </w:p>
    <w:p w14:paraId="12DE6E8A">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17.1 采购人和采购代理机构将按招标文件规定的时间和地点接收投标文件。</w:t>
      </w:r>
    </w:p>
    <w:p w14:paraId="07091F9D">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17.2 递交投标文件以后，如果投标人要进行修改，须在投标截止时间前按要求重新提交，投标人对投标文件的修改申请应按本须知规定编制、签署、加密。</w:t>
      </w:r>
    </w:p>
    <w:p w14:paraId="3CAD95EE">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采购人和采购代理机构将予以接收，并视为投标文件的组成部分。</w:t>
      </w:r>
    </w:p>
    <w:p w14:paraId="4E1CBF13">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17.3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递交投标文件以后，如果投标人要进行撤回的，须提出书面申请并在投标截止时间前送达开标地点，采购人和采购代理机构将予以接受</w:t>
      </w:r>
      <w:r>
        <w:rPr>
          <w:rFonts w:hint="eastAsia" w:ascii="宋体" w:hAnsi="宋体" w:eastAsia="宋体" w:cs="宋体"/>
          <w:color w:val="auto"/>
          <w:sz w:val="24"/>
          <w:highlight w:val="none"/>
          <w:lang w:eastAsia="zh-CN"/>
        </w:rPr>
        <w:t>。</w:t>
      </w:r>
    </w:p>
    <w:p w14:paraId="170FC7A3">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17.4  投标截止时间之后，投标人不得对其投标文件做任何修改。</w:t>
      </w:r>
    </w:p>
    <w:p w14:paraId="50041085">
      <w:pPr>
        <w:pStyle w:val="3"/>
        <w:rPr>
          <w:rFonts w:hint="eastAsia" w:ascii="宋体" w:hAnsi="宋体" w:eastAsia="宋体" w:cs="宋体"/>
          <w:color w:val="auto"/>
          <w:sz w:val="28"/>
          <w:szCs w:val="18"/>
          <w:highlight w:val="none"/>
        </w:rPr>
      </w:pPr>
      <w:bookmarkStart w:id="156" w:name="_Toc515647778"/>
      <w:bookmarkStart w:id="157" w:name="_Toc532473470"/>
      <w:bookmarkStart w:id="158" w:name="_Toc520356163"/>
      <w:bookmarkStart w:id="159" w:name="_Toc28398"/>
      <w:bookmarkStart w:id="160" w:name="_Toc62194317"/>
      <w:bookmarkStart w:id="161" w:name="_Toc12436"/>
      <w:bookmarkStart w:id="162" w:name="_Toc216582809"/>
      <w:r>
        <w:rPr>
          <w:rFonts w:hint="eastAsia" w:ascii="宋体" w:hAnsi="宋体" w:eastAsia="宋体" w:cs="宋体"/>
          <w:color w:val="auto"/>
          <w:sz w:val="28"/>
          <w:szCs w:val="18"/>
          <w:highlight w:val="none"/>
        </w:rPr>
        <w:t>五、开标及评标</w:t>
      </w:r>
      <w:bookmarkEnd w:id="156"/>
      <w:bookmarkEnd w:id="157"/>
      <w:bookmarkEnd w:id="158"/>
      <w:bookmarkEnd w:id="159"/>
      <w:bookmarkEnd w:id="160"/>
      <w:bookmarkEnd w:id="161"/>
      <w:bookmarkEnd w:id="162"/>
    </w:p>
    <w:p w14:paraId="03ECC928">
      <w:pPr>
        <w:pStyle w:val="5"/>
        <w:pageBreakBefore w:val="0"/>
        <w:widowControl w:val="0"/>
        <w:shd w:val="clear" w:color="auto" w:fill="auto"/>
        <w:kinsoku/>
        <w:wordWrap/>
        <w:overflowPunct/>
        <w:topLinePunct w:val="0"/>
        <w:bidi w:val="0"/>
        <w:snapToGrid/>
        <w:ind w:left="0" w:leftChars="0" w:firstLine="0" w:firstLineChars="0"/>
        <w:jc w:val="both"/>
        <w:textAlignment w:val="auto"/>
        <w:rPr>
          <w:rFonts w:hint="eastAsia" w:eastAsia="宋体" w:cs="宋体"/>
          <w:color w:val="auto"/>
          <w:sz w:val="24"/>
          <w:highlight w:val="none"/>
        </w:rPr>
      </w:pPr>
      <w:bookmarkStart w:id="163" w:name="_Toc25345"/>
      <w:bookmarkStart w:id="164" w:name="_Toc520356164"/>
      <w:bookmarkStart w:id="165" w:name="_Toc62194318"/>
      <w:bookmarkStart w:id="166" w:name="_Toc5593"/>
      <w:bookmarkStart w:id="167" w:name="_Toc7186"/>
      <w:bookmarkStart w:id="168" w:name="_Toc515647779"/>
      <w:bookmarkStart w:id="169" w:name="_Toc532473471"/>
      <w:bookmarkStart w:id="170" w:name="_Toc29198"/>
      <w:bookmarkStart w:id="171" w:name="_Toc9339"/>
      <w:bookmarkStart w:id="172" w:name="_Toc520356165"/>
      <w:r>
        <w:rPr>
          <w:rFonts w:hint="eastAsia" w:ascii="宋体" w:hAnsi="宋体" w:eastAsia="宋体" w:cs="宋体"/>
          <w:color w:val="auto"/>
          <w:sz w:val="24"/>
          <w:szCs w:val="24"/>
          <w:highlight w:val="none"/>
        </w:rPr>
        <w:t>18. 开标</w:t>
      </w:r>
      <w:bookmarkEnd w:id="163"/>
      <w:bookmarkEnd w:id="164"/>
      <w:bookmarkEnd w:id="165"/>
      <w:bookmarkEnd w:id="166"/>
      <w:bookmarkEnd w:id="167"/>
      <w:bookmarkEnd w:id="168"/>
      <w:bookmarkEnd w:id="169"/>
      <w:bookmarkEnd w:id="170"/>
      <w:bookmarkEnd w:id="171"/>
    </w:p>
    <w:p w14:paraId="0A1F58AE">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 采购代理机构按招标文件中规定的时间和地点接受供应商递交的投标文件。</w:t>
      </w:r>
    </w:p>
    <w:p w14:paraId="450382BC">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供应商应派代表签到，并至少在开标前半小时进入网上开标大厅。安康不见面开标</w:t>
      </w:r>
    </w:p>
    <w:p w14:paraId="22D19C1A">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大厅：</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HYPERLINK "http://bjmkb.akggzyjy.cn/BidOpeningHall/bidopeninghallaction/hall/login" </w:instrText>
      </w:r>
      <w:r>
        <w:rPr>
          <w:rFonts w:hint="eastAsia" w:ascii="宋体" w:hAnsi="宋体" w:eastAsia="宋体" w:cs="宋体"/>
          <w:b/>
          <w:bCs/>
          <w:color w:val="auto"/>
          <w:sz w:val="24"/>
          <w:highlight w:val="none"/>
        </w:rPr>
        <w:fldChar w:fldCharType="separate"/>
      </w:r>
      <w:r>
        <w:rPr>
          <w:rStyle w:val="19"/>
          <w:rFonts w:hint="eastAsia" w:ascii="宋体" w:hAnsi="宋体" w:eastAsia="宋体" w:cs="宋体"/>
          <w:b/>
          <w:bCs/>
          <w:color w:val="auto"/>
          <w:sz w:val="24"/>
          <w:highlight w:val="none"/>
        </w:rPr>
        <w:t>http://bjmkb.akggzyjy.cn/BidOpeningHall/bidopeninghallaction/hall/login</w:t>
      </w:r>
      <w:r>
        <w:rPr>
          <w:rFonts w:hint="eastAsia" w:ascii="宋体" w:hAnsi="宋体" w:eastAsia="宋体" w:cs="宋体"/>
          <w:b/>
          <w:bCs/>
          <w:color w:val="auto"/>
          <w:sz w:val="24"/>
          <w:highlight w:val="none"/>
        </w:rPr>
        <w:fldChar w:fldCharType="end"/>
      </w:r>
    </w:p>
    <w:p w14:paraId="4B28C3A2">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1-2 投标人签到，操作步骤：</w:t>
      </w:r>
    </w:p>
    <w:p w14:paraId="48E09625">
      <w:pPr>
        <w:pageBreakBefore w:val="0"/>
        <w:widowControl w:val="0"/>
        <w:shd w:val="clear" w:color="auto" w:fill="auto"/>
        <w:kinsoku/>
        <w:wordWrap/>
        <w:overflowPunct/>
        <w:topLinePunct w:val="0"/>
        <w:bidi w:val="0"/>
        <w:snapToGrid/>
        <w:spacing w:line="360" w:lineRule="auto"/>
        <w:ind w:left="0" w:leftChars="0"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投标人进入项目后，点击“签到”按钮，完成签到，参加多个包投标的，须按上述方法每包分别签到。如下图：</w:t>
      </w:r>
    </w:p>
    <w:p w14:paraId="0D90C10C">
      <w:pPr>
        <w:pageBreakBefore w:val="0"/>
        <w:widowControl w:val="0"/>
        <w:shd w:val="clear" w:color="auto" w:fill="auto"/>
        <w:kinsoku/>
        <w:wordWrap/>
        <w:overflowPunct/>
        <w:topLinePunct w:val="0"/>
        <w:bidi w:val="0"/>
        <w:snapToGrid/>
        <w:spacing w:line="360" w:lineRule="auto"/>
        <w:ind w:left="0" w:leftChars="0" w:firstLine="480" w:firstLineChars="200"/>
        <w:textAlignment w:val="auto"/>
        <w:rPr>
          <w:rFonts w:hint="eastAsia" w:ascii="宋体" w:hAnsi="宋体" w:eastAsia="宋体" w:cs="宋体"/>
          <w:color w:val="auto"/>
          <w:sz w:val="24"/>
          <w:highlight w:val="none"/>
        </w:rPr>
      </w:pPr>
    </w:p>
    <w:p w14:paraId="10F36E77">
      <w:pPr>
        <w:pageBreakBefore w:val="0"/>
        <w:widowControl w:val="0"/>
        <w:shd w:val="clear" w:color="auto" w:fill="auto"/>
        <w:kinsoku/>
        <w:wordWrap/>
        <w:overflowPunct/>
        <w:topLinePunct w:val="0"/>
        <w:bidi w:val="0"/>
        <w:snapToGrid/>
        <w:spacing w:line="360" w:lineRule="auto"/>
        <w:ind w:left="0" w:leftChars="0" w:firstLine="480" w:firstLineChars="200"/>
        <w:textAlignment w:val="auto"/>
        <w:rPr>
          <w:rFonts w:hint="eastAsia" w:ascii="宋体" w:hAnsi="宋体" w:eastAsia="宋体" w:cs="宋体"/>
          <w:color w:val="auto"/>
          <w:sz w:val="24"/>
          <w:highlight w:val="none"/>
        </w:rPr>
      </w:pPr>
    </w:p>
    <w:p w14:paraId="0D803573">
      <w:pPr>
        <w:pageBreakBefore w:val="0"/>
        <w:widowControl w:val="0"/>
        <w:shd w:val="clear" w:color="auto" w:fill="auto"/>
        <w:kinsoku/>
        <w:wordWrap/>
        <w:overflowPunct/>
        <w:topLinePunct w:val="0"/>
        <w:bidi w:val="0"/>
        <w:snapToGrid/>
        <w:spacing w:line="360" w:lineRule="auto"/>
        <w:ind w:left="0" w:leftChars="0" w:firstLine="480" w:firstLineChars="200"/>
        <w:textAlignment w:val="auto"/>
        <w:rPr>
          <w:rFonts w:hint="eastAsia" w:ascii="宋体" w:hAnsi="宋体" w:eastAsia="宋体" w:cs="宋体"/>
          <w:color w:val="auto"/>
          <w:sz w:val="24"/>
          <w:highlight w:val="none"/>
        </w:rPr>
      </w:pPr>
    </w:p>
    <w:p w14:paraId="076A2E42">
      <w:pPr>
        <w:pageBreakBefore w:val="0"/>
        <w:widowControl w:val="0"/>
        <w:shd w:val="clear" w:color="auto" w:fill="auto"/>
        <w:kinsoku/>
        <w:wordWrap/>
        <w:overflowPunct/>
        <w:topLinePunct w:val="0"/>
        <w:bidi w:val="0"/>
        <w:snapToGrid/>
        <w:spacing w:line="360" w:lineRule="auto"/>
        <w:ind w:left="0" w:leftChars="0" w:firstLine="480" w:firstLineChars="200"/>
        <w:textAlignment w:val="auto"/>
        <w:rPr>
          <w:rFonts w:hint="eastAsia" w:ascii="宋体" w:hAnsi="宋体" w:eastAsia="宋体" w:cs="宋体"/>
          <w:color w:val="auto"/>
          <w:sz w:val="24"/>
          <w:highlight w:val="none"/>
        </w:rPr>
      </w:pPr>
    </w:p>
    <w:p w14:paraId="4E422E6A">
      <w:pPr>
        <w:pageBreakBefore w:val="0"/>
        <w:widowControl w:val="0"/>
        <w:shd w:val="clear" w:color="auto" w:fill="auto"/>
        <w:kinsoku/>
        <w:wordWrap/>
        <w:overflowPunct/>
        <w:topLinePunct w:val="0"/>
        <w:bidi w:val="0"/>
        <w:snapToGrid/>
        <w:spacing w:line="360" w:lineRule="auto"/>
        <w:ind w:left="0" w:leftChars="0" w:firstLine="480" w:firstLineChars="200"/>
        <w:textAlignment w:val="auto"/>
        <w:rPr>
          <w:rFonts w:hint="eastAsia" w:ascii="宋体" w:hAnsi="宋体" w:eastAsia="宋体" w:cs="宋体"/>
          <w:color w:val="auto"/>
          <w:sz w:val="24"/>
          <w:highlight w:val="none"/>
        </w:rPr>
      </w:pP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INCLUDEPICTURE \d "C:\\Users\\ADMINI~1\\AppData\\Local\\Temp\\QQ_1772584664543.png" \* MERGEFORMATINET </w:instrText>
      </w:r>
      <w:r>
        <w:rPr>
          <w:rFonts w:ascii="宋体" w:hAnsi="宋体" w:eastAsia="宋体" w:cs="宋体"/>
          <w:color w:val="auto"/>
          <w:sz w:val="24"/>
          <w:szCs w:val="24"/>
          <w:highlight w:val="none"/>
        </w:rPr>
        <w:fldChar w:fldCharType="separate"/>
      </w:r>
      <w:r>
        <w:rPr>
          <w:rFonts w:ascii="宋体" w:hAnsi="宋体" w:eastAsia="宋体" w:cs="宋体"/>
          <w:color w:val="auto"/>
          <w:sz w:val="24"/>
          <w:szCs w:val="24"/>
          <w:highlight w:val="none"/>
        </w:rPr>
        <w:drawing>
          <wp:inline distT="0" distB="0" distL="114300" distR="114300">
            <wp:extent cx="6031865" cy="6833870"/>
            <wp:effectExtent l="0" t="0" r="0" b="508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10"/>
                    <a:stretch>
                      <a:fillRect/>
                    </a:stretch>
                  </pic:blipFill>
                  <pic:spPr>
                    <a:xfrm>
                      <a:off x="0" y="0"/>
                      <a:ext cx="6031865" cy="6833870"/>
                    </a:xfrm>
                    <a:prstGeom prst="rect">
                      <a:avLst/>
                    </a:prstGeom>
                    <a:noFill/>
                    <a:ln>
                      <a:noFill/>
                    </a:ln>
                  </pic:spPr>
                </pic:pic>
              </a:graphicData>
            </a:graphic>
          </wp:inline>
        </w:drawing>
      </w:r>
      <w:r>
        <w:rPr>
          <w:rFonts w:ascii="宋体" w:hAnsi="宋体" w:eastAsia="宋体" w:cs="宋体"/>
          <w:color w:val="auto"/>
          <w:sz w:val="24"/>
          <w:szCs w:val="24"/>
          <w:highlight w:val="none"/>
        </w:rPr>
        <w:fldChar w:fldCharType="end"/>
      </w:r>
    </w:p>
    <w:p w14:paraId="09E39886">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注：1.未按时签到的供应商将不得进入评审阶段。 </w:t>
      </w:r>
    </w:p>
    <w:p w14:paraId="15333F41">
      <w:pPr>
        <w:keepNext w:val="0"/>
        <w:keepLines w:val="0"/>
        <w:widowControl/>
        <w:suppressLineNumbers w:val="0"/>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2.投标人不足 3 家的，不得开标。 </w:t>
      </w:r>
    </w:p>
    <w:p w14:paraId="4214F1D5">
      <w:pPr>
        <w:keepNext w:val="0"/>
        <w:keepLines w:val="0"/>
        <w:widowControl/>
        <w:suppressLineNumbers w:val="0"/>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1-3 投标文件解密，操作步骤如下，参加多个包投标的，须按包号顺序依次分别 </w:t>
      </w:r>
    </w:p>
    <w:p w14:paraId="5DA6BD39">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解密： </w:t>
      </w:r>
    </w:p>
    <w:p w14:paraId="1AE2BA81">
      <w:pPr>
        <w:keepNext w:val="0"/>
        <w:keepLines w:val="0"/>
        <w:widowControl/>
        <w:suppressLineNumbers w:val="0"/>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（1）投标文件进入解密状态后，展示解密倒计时页面。如下图：</w:t>
      </w:r>
    </w:p>
    <w:p w14:paraId="6DEB6082">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INCLUDEPICTURE \d "C:\\Users\\ADMINI~1\\AppData\\Local\\Temp\\QQ_1772584737855.png" \* MERGEFORMATINET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drawing>
          <wp:inline distT="0" distB="0" distL="114300" distR="114300">
            <wp:extent cx="5597525" cy="2496185"/>
            <wp:effectExtent l="0" t="0" r="3175" b="18415"/>
            <wp:docPr id="10"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IMG_256"/>
                    <pic:cNvPicPr>
                      <a:picLocks noChangeAspect="1"/>
                    </pic:cNvPicPr>
                  </pic:nvPicPr>
                  <pic:blipFill>
                    <a:blip r:embed="rId11"/>
                    <a:stretch>
                      <a:fillRect/>
                    </a:stretch>
                  </pic:blipFill>
                  <pic:spPr>
                    <a:xfrm>
                      <a:off x="0" y="0"/>
                      <a:ext cx="5597525" cy="2496185"/>
                    </a:xfrm>
                    <a:prstGeom prst="rect">
                      <a:avLst/>
                    </a:prstGeom>
                    <a:noFill/>
                    <a:ln>
                      <a:noFill/>
                    </a:ln>
                  </pic:spPr>
                </pic:pic>
              </a:graphicData>
            </a:graphic>
          </wp:inline>
        </w:drawing>
      </w:r>
      <w:r>
        <w:rPr>
          <w:rFonts w:hint="eastAsia" w:ascii="宋体" w:hAnsi="宋体" w:eastAsia="宋体" w:cs="宋体"/>
          <w:color w:val="auto"/>
          <w:sz w:val="24"/>
          <w:szCs w:val="24"/>
          <w:highlight w:val="none"/>
        </w:rPr>
        <w:fldChar w:fldCharType="end"/>
      </w:r>
    </w:p>
    <w:p w14:paraId="5F6C5294">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注：需在解密倒计时之内完成解密。</w:t>
      </w:r>
    </w:p>
    <w:p w14:paraId="5DC7A997">
      <w:pPr>
        <w:pageBreakBefore w:val="0"/>
        <w:widowControl w:val="0"/>
        <w:numPr>
          <w:ilvl w:val="0"/>
          <w:numId w:val="1"/>
        </w:numPr>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输入 pin 码，投标文件解密成功。如下图：</w:t>
      </w:r>
    </w:p>
    <w:p w14:paraId="0DC6F1A1">
      <w:pPr>
        <w:pageBreakBefore w:val="0"/>
        <w:widowControl w:val="0"/>
        <w:numPr>
          <w:ilvl w:val="0"/>
          <w:numId w:val="0"/>
        </w:numPr>
        <w:shd w:val="clear" w:color="auto" w:fill="auto"/>
        <w:kinsoku/>
        <w:wordWrap/>
        <w:overflowPunct/>
        <w:topLinePunct w:val="0"/>
        <w:bidi w:val="0"/>
        <w:snapToGrid/>
        <w:spacing w:line="360" w:lineRule="auto"/>
        <w:ind w:leftChars="0"/>
        <w:textAlignment w:val="auto"/>
        <w:rPr>
          <w:rFonts w:hint="eastAsia" w:ascii="宋体" w:hAnsi="宋体" w:eastAsia="宋体" w:cs="宋体"/>
          <w:color w:val="auto"/>
          <w:sz w:val="24"/>
          <w:highlight w:val="none"/>
        </w:rPr>
      </w:pP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INCLUDEPICTURE \d "C:\\Users\\ADMINI~1\\AppData\\Local\\Temp\\QQ_1772584782906.png" \* MERGEFORMATINET </w:instrText>
      </w:r>
      <w:r>
        <w:rPr>
          <w:rFonts w:ascii="宋体" w:hAnsi="宋体" w:eastAsia="宋体" w:cs="宋体"/>
          <w:color w:val="auto"/>
          <w:sz w:val="24"/>
          <w:szCs w:val="24"/>
          <w:highlight w:val="none"/>
        </w:rPr>
        <w:fldChar w:fldCharType="separate"/>
      </w:r>
      <w:r>
        <w:rPr>
          <w:rFonts w:ascii="宋体" w:hAnsi="宋体" w:eastAsia="宋体" w:cs="宋体"/>
          <w:color w:val="auto"/>
          <w:sz w:val="24"/>
          <w:szCs w:val="24"/>
          <w:highlight w:val="none"/>
        </w:rPr>
        <w:drawing>
          <wp:inline distT="0" distB="0" distL="114300" distR="114300">
            <wp:extent cx="5795645" cy="2357120"/>
            <wp:effectExtent l="0" t="0" r="14605" b="5080"/>
            <wp:docPr id="6"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IMG_256"/>
                    <pic:cNvPicPr>
                      <a:picLocks noChangeAspect="1"/>
                    </pic:cNvPicPr>
                  </pic:nvPicPr>
                  <pic:blipFill>
                    <a:blip r:embed="rId12"/>
                    <a:stretch>
                      <a:fillRect/>
                    </a:stretch>
                  </pic:blipFill>
                  <pic:spPr>
                    <a:xfrm>
                      <a:off x="0" y="0"/>
                      <a:ext cx="5795645" cy="2357120"/>
                    </a:xfrm>
                    <a:prstGeom prst="rect">
                      <a:avLst/>
                    </a:prstGeom>
                    <a:noFill/>
                    <a:ln>
                      <a:noFill/>
                    </a:ln>
                  </pic:spPr>
                </pic:pic>
              </a:graphicData>
            </a:graphic>
          </wp:inline>
        </w:drawing>
      </w:r>
      <w:r>
        <w:rPr>
          <w:rFonts w:ascii="宋体" w:hAnsi="宋体" w:eastAsia="宋体" w:cs="宋体"/>
          <w:color w:val="auto"/>
          <w:sz w:val="24"/>
          <w:szCs w:val="24"/>
          <w:highlight w:val="none"/>
        </w:rPr>
        <w:fldChar w:fldCharType="end"/>
      </w:r>
    </w:p>
    <w:p w14:paraId="2CC3B864">
      <w:pPr>
        <w:pageBreakBefore w:val="0"/>
        <w:widowControl w:val="0"/>
        <w:shd w:val="clear" w:color="auto" w:fill="auto"/>
        <w:kinsoku/>
        <w:wordWrap/>
        <w:overflowPunct/>
        <w:topLinePunct w:val="0"/>
        <w:bidi w:val="0"/>
        <w:snapToGrid/>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（3）等待招标代理解密后，进入下一步。</w:t>
      </w:r>
    </w:p>
    <w:p w14:paraId="45524A7C">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未能成功解密或未进行解密的投标文件将被退回。</w:t>
      </w:r>
    </w:p>
    <w:p w14:paraId="18D32B49">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1-4 公布开标结果</w:t>
      </w:r>
    </w:p>
    <w:p w14:paraId="01C2F756">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待招标代理批量导入完成后，投标人可查看开标结果。如下图：</w:t>
      </w:r>
    </w:p>
    <w:p w14:paraId="4A62C3AC">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INCLUDEPICTURE \d "C:\\Users\\ADMINI~1\\AppData\\Local\\Temp\\QQ_1772584844157.png" \* MERGEFORMATINET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drawing>
          <wp:inline distT="0" distB="0" distL="114300" distR="114300">
            <wp:extent cx="5888355" cy="2456815"/>
            <wp:effectExtent l="0" t="0" r="17145" b="635"/>
            <wp:docPr id="9"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IMG_256"/>
                    <pic:cNvPicPr>
                      <a:picLocks noChangeAspect="1"/>
                    </pic:cNvPicPr>
                  </pic:nvPicPr>
                  <pic:blipFill>
                    <a:blip r:embed="rId13"/>
                    <a:stretch>
                      <a:fillRect/>
                    </a:stretch>
                  </pic:blipFill>
                  <pic:spPr>
                    <a:xfrm>
                      <a:off x="0" y="0"/>
                      <a:ext cx="5888355" cy="2456815"/>
                    </a:xfrm>
                    <a:prstGeom prst="rect">
                      <a:avLst/>
                    </a:prstGeom>
                    <a:noFill/>
                    <a:ln>
                      <a:noFill/>
                    </a:ln>
                  </pic:spPr>
                </pic:pic>
              </a:graphicData>
            </a:graphic>
          </wp:inline>
        </w:drawing>
      </w:r>
      <w:r>
        <w:rPr>
          <w:rFonts w:hint="eastAsia" w:ascii="宋体" w:hAnsi="宋体" w:eastAsia="宋体" w:cs="宋体"/>
          <w:color w:val="auto"/>
          <w:sz w:val="24"/>
          <w:szCs w:val="24"/>
          <w:highlight w:val="none"/>
        </w:rPr>
        <w:fldChar w:fldCharType="end"/>
      </w:r>
    </w:p>
    <w:p w14:paraId="57FC1476">
      <w:pPr>
        <w:keepNext w:val="0"/>
        <w:keepLines w:val="0"/>
        <w:widowControl/>
        <w:suppressLineNumbers w:val="0"/>
        <w:jc w:val="left"/>
        <w:rPr>
          <w:rFonts w:hint="eastAsia" w:ascii="宋体" w:hAnsi="宋体" w:eastAsia="宋体" w:cs="宋体"/>
          <w:color w:val="auto"/>
          <w:highlight w:val="none"/>
        </w:rPr>
      </w:pPr>
      <w:r>
        <w:rPr>
          <w:rFonts w:hint="eastAsia" w:ascii="宋体" w:hAnsi="宋体" w:eastAsia="宋体" w:cs="宋体"/>
          <w:b/>
          <w:bCs/>
          <w:color w:val="auto"/>
          <w:kern w:val="0"/>
          <w:sz w:val="24"/>
          <w:szCs w:val="24"/>
          <w:highlight w:val="none"/>
          <w:lang w:val="en-US" w:eastAsia="zh-CN" w:bidi="ar"/>
        </w:rPr>
        <w:t>开标结束后，显示页面如下图：</w:t>
      </w:r>
    </w:p>
    <w:p w14:paraId="16B9E0EE">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INCLUDEPICTURE \d "C:\\Users\\ADMINI~1\\AppData\\Local\\Temp\\QQ_1772584867404.png" \* MERGEFORMATINET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drawing>
          <wp:inline distT="0" distB="0" distL="114300" distR="114300">
            <wp:extent cx="5945505" cy="2610485"/>
            <wp:effectExtent l="0" t="0" r="17145" b="18415"/>
            <wp:docPr id="4"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56"/>
                    <pic:cNvPicPr>
                      <a:picLocks noChangeAspect="1"/>
                    </pic:cNvPicPr>
                  </pic:nvPicPr>
                  <pic:blipFill>
                    <a:blip r:embed="rId14"/>
                    <a:stretch>
                      <a:fillRect/>
                    </a:stretch>
                  </pic:blipFill>
                  <pic:spPr>
                    <a:xfrm>
                      <a:off x="0" y="0"/>
                      <a:ext cx="5945505" cy="2610485"/>
                    </a:xfrm>
                    <a:prstGeom prst="rect">
                      <a:avLst/>
                    </a:prstGeom>
                    <a:noFill/>
                    <a:ln>
                      <a:noFill/>
                    </a:ln>
                  </pic:spPr>
                </pic:pic>
              </a:graphicData>
            </a:graphic>
          </wp:inline>
        </w:drawing>
      </w:r>
      <w:r>
        <w:rPr>
          <w:rFonts w:hint="eastAsia" w:ascii="宋体" w:hAnsi="宋体" w:eastAsia="宋体" w:cs="宋体"/>
          <w:color w:val="auto"/>
          <w:sz w:val="24"/>
          <w:szCs w:val="24"/>
          <w:highlight w:val="none"/>
        </w:rPr>
        <w:fldChar w:fldCharType="end"/>
      </w:r>
    </w:p>
    <w:p w14:paraId="5FE2CA01">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1-5.在开标环节出现下列情况之一的，其投标文件视为无效文件：</w:t>
      </w:r>
    </w:p>
    <w:p w14:paraId="090D61DE">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（1）供应商拒绝对电子投标文件进行解密的；</w:t>
      </w:r>
    </w:p>
    <w:p w14:paraId="2C01EE43">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（2）因供应商自身原因（如未带 CA 锁，或所带 CA 锁与制作电子投标文件使用的</w:t>
      </w:r>
    </w:p>
    <w:p w14:paraId="10A194A3">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CA 锁不一致，或沿用旧版招标文件编制投标文件等情形），导致在规定时间内无法解</w:t>
      </w:r>
    </w:p>
    <w:p w14:paraId="433B12BD">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密投标文件的；</w:t>
      </w:r>
    </w:p>
    <w:p w14:paraId="0361FF48">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（3）上传的电子投标文件无法打开的；</w:t>
      </w:r>
    </w:p>
    <w:p w14:paraId="73AC1B29">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（4）政府采购法律法规规定的其他无效情形。</w:t>
      </w:r>
    </w:p>
    <w:p w14:paraId="5006821A">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1-6.特殊情形下的应急处置</w:t>
      </w:r>
    </w:p>
    <w:p w14:paraId="316192FA">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在开标、评审过程中，如因停电、断网、电子化系统故障等特殊原因导致电子化</w:t>
      </w:r>
    </w:p>
    <w:p w14:paraId="1F9D10AA">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开、评标无法正常进行时，将按照《安康市公共资源交易平台电子化交易应急处置管</w:t>
      </w:r>
    </w:p>
    <w:p w14:paraId="554679C0">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理办法（试行）》进行。</w:t>
      </w:r>
    </w:p>
    <w:p w14:paraId="0436D362">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（1）供应商提交投标文件时，出现下列情况之一的，其投标文件将被拒绝接收：</w:t>
      </w:r>
    </w:p>
    <w:p w14:paraId="59FB74EA">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a.逾期上传的；</w:t>
      </w:r>
    </w:p>
    <w:p w14:paraId="3610524D">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b.提交的投标文件与本项目不相符的；</w:t>
      </w:r>
    </w:p>
    <w:p w14:paraId="1844B060">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c.供应商名称与获取招标文件时填写的名称不相符；</w:t>
      </w:r>
    </w:p>
    <w:p w14:paraId="6FE5E182">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（2）采购代理机构将对开标过程做记录。</w:t>
      </w:r>
    </w:p>
    <w:p w14:paraId="5F94CAD7">
      <w:pPr>
        <w:pageBreakBefore w:val="0"/>
        <w:widowControl w:val="0"/>
        <w:shd w:val="clear" w:color="auto" w:fill="auto"/>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投标人未派代表参加开标的，视同投标人认可开标结果。</w:t>
      </w:r>
    </w:p>
    <w:p w14:paraId="2CE0E476">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18.4 投标人代表对开标过程和开标记录有疑义，以及认为开标现场采购人、采购代理机构相关工作人员有需要回避的情形的，应当场提出询问或者回避申请。</w:t>
      </w:r>
    </w:p>
    <w:p w14:paraId="3833CB7E">
      <w:pPr>
        <w:pStyle w:val="5"/>
        <w:pageBreakBefore w:val="0"/>
        <w:widowControl w:val="0"/>
        <w:kinsoku/>
        <w:wordWrap/>
        <w:overflowPunct/>
        <w:topLinePunct w:val="0"/>
        <w:bidi w:val="0"/>
        <w:snapToGrid/>
        <w:ind w:left="0" w:leftChars="0" w:firstLine="0" w:firstLineChars="0"/>
        <w:jc w:val="both"/>
        <w:textAlignment w:val="auto"/>
        <w:rPr>
          <w:rFonts w:hint="eastAsia" w:ascii="宋体" w:hAnsi="宋体" w:eastAsia="宋体" w:cs="宋体"/>
          <w:color w:val="auto"/>
          <w:sz w:val="24"/>
          <w:szCs w:val="24"/>
          <w:highlight w:val="none"/>
        </w:rPr>
      </w:pPr>
      <w:bookmarkStart w:id="173" w:name="_Toc62194319"/>
      <w:bookmarkStart w:id="174" w:name="_Toc532473472"/>
      <w:bookmarkStart w:id="175" w:name="_Toc19296"/>
      <w:bookmarkStart w:id="176" w:name="_Toc21372"/>
      <w:bookmarkStart w:id="177" w:name="_Toc515647780"/>
      <w:r>
        <w:rPr>
          <w:rFonts w:hint="eastAsia" w:ascii="宋体" w:hAnsi="宋体" w:eastAsia="宋体" w:cs="宋体"/>
          <w:color w:val="auto"/>
          <w:sz w:val="24"/>
          <w:szCs w:val="24"/>
          <w:highlight w:val="none"/>
        </w:rPr>
        <w:t>19.</w:t>
      </w:r>
      <w:bookmarkEnd w:id="172"/>
      <w:r>
        <w:rPr>
          <w:rFonts w:hint="eastAsia" w:ascii="宋体" w:hAnsi="宋体" w:eastAsia="宋体" w:cs="宋体"/>
          <w:color w:val="auto"/>
          <w:sz w:val="24"/>
          <w:szCs w:val="24"/>
          <w:highlight w:val="none"/>
        </w:rPr>
        <w:t xml:space="preserve"> 资格审查及组建评标委员会</w:t>
      </w:r>
      <w:bookmarkEnd w:id="173"/>
      <w:bookmarkEnd w:id="174"/>
      <w:bookmarkEnd w:id="175"/>
      <w:bookmarkEnd w:id="176"/>
      <w:bookmarkEnd w:id="177"/>
    </w:p>
    <w:p w14:paraId="367E6CDC">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19.1 采购人依据法律法规和招标文件中规定的内容，对投标人及其投标标的物的资格进行审查，未通过资格审查的投标人不进入评标。</w:t>
      </w:r>
    </w:p>
    <w:p w14:paraId="466D3DB5">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通过资格审查的投标人不足三家的，不得评标。</w:t>
      </w:r>
    </w:p>
    <w:p w14:paraId="453C905A">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19.2 采购人或采购代理机构将按投标人须知前附表中规定的时间查询投标人的信用记录。</w:t>
      </w:r>
    </w:p>
    <w:p w14:paraId="7616B1CE">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19.2.1 投标人在中国政府采购网（www.ccgp.gov.cn）被列入政府采购严重违法失信行为</w:t>
      </w:r>
      <w:r>
        <w:rPr>
          <w:rFonts w:hint="eastAsia" w:ascii="宋体" w:hAnsi="宋体" w:eastAsia="宋体" w:cs="宋体"/>
          <w:color w:val="auto"/>
          <w:sz w:val="24"/>
          <w:highlight w:val="none"/>
          <w:lang w:val="en-US" w:eastAsia="zh-CN"/>
        </w:rPr>
        <w:t>信息</w:t>
      </w:r>
      <w:r>
        <w:rPr>
          <w:rFonts w:hint="eastAsia" w:ascii="宋体" w:hAnsi="宋体" w:eastAsia="宋体" w:cs="宋体"/>
          <w:color w:val="auto"/>
          <w:sz w:val="24"/>
          <w:highlight w:val="none"/>
        </w:rPr>
        <w:t>记录名单，或在“信用中国”网站（www.creditchina.gov.cn）被列入失信被执行人、重大税收违法失信主体，以及存在《中华人民共和国政府采购法实施条例》第十九条规定的行政处罚记录，投标将被认定为</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4A9198C9">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以联合体形式参加投标的，联合体任何成员存在以上不良信用记录的，联合体投标将被认定为</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14567731">
      <w:pPr>
        <w:pStyle w:val="4"/>
        <w:pageBreakBefore w:val="0"/>
        <w:widowControl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19.2.2 采购人或采购代理机构经办人将查询网页打印并存档备查。投标人不良信用记录以采购人或采购代理机构查询结果为准。投标人自行提供的与网站信息不一致的其他证明材料亦不作为资格审查依据。</w:t>
      </w:r>
    </w:p>
    <w:p w14:paraId="3E14A73C">
      <w:pPr>
        <w:pStyle w:val="4"/>
        <w:pageBreakBefore w:val="0"/>
        <w:widowControl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在本招标文件规定的查询时间之外，网站信息发生的任何变更均不作为资格审查依据。</w:t>
      </w:r>
    </w:p>
    <w:p w14:paraId="1CF01CB6">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19.3 按照《中华人民共和国政府采购法》、《中华人民共和国政府采购法实施条例》及本项目本级和上级财政部门的有关规定依法组建的评标委员会，负责评标工作。</w:t>
      </w:r>
      <w:bookmarkStart w:id="178" w:name="_Toc520356166"/>
    </w:p>
    <w:p w14:paraId="4670611F">
      <w:pPr>
        <w:pStyle w:val="5"/>
        <w:pageBreakBefore w:val="0"/>
        <w:widowControl w:val="0"/>
        <w:kinsoku/>
        <w:wordWrap/>
        <w:overflowPunct/>
        <w:topLinePunct w:val="0"/>
        <w:bidi w:val="0"/>
        <w:snapToGrid/>
        <w:ind w:left="0" w:leftChars="0" w:firstLine="0" w:firstLineChars="0"/>
        <w:jc w:val="both"/>
        <w:textAlignment w:val="auto"/>
        <w:rPr>
          <w:rFonts w:hint="eastAsia" w:ascii="宋体" w:hAnsi="宋体" w:eastAsia="宋体" w:cs="宋体"/>
          <w:bCs/>
          <w:color w:val="auto"/>
          <w:sz w:val="24"/>
          <w:szCs w:val="24"/>
          <w:highlight w:val="none"/>
          <w:bdr w:val="single" w:color="auto" w:sz="4" w:space="0"/>
        </w:rPr>
      </w:pPr>
      <w:bookmarkStart w:id="179" w:name="_Toc515647781"/>
      <w:bookmarkStart w:id="180" w:name="_Toc19949"/>
      <w:bookmarkStart w:id="181" w:name="_Toc28479"/>
      <w:bookmarkStart w:id="182" w:name="_Toc62194320"/>
      <w:bookmarkStart w:id="183" w:name="_Toc532473473"/>
      <w:r>
        <w:rPr>
          <w:rFonts w:hint="eastAsia" w:ascii="宋体" w:hAnsi="宋体" w:eastAsia="宋体" w:cs="宋体"/>
          <w:color w:val="auto"/>
          <w:sz w:val="24"/>
          <w:szCs w:val="24"/>
          <w:highlight w:val="none"/>
        </w:rPr>
        <w:t>20.  投标文件</w:t>
      </w:r>
      <w:bookmarkEnd w:id="178"/>
      <w:r>
        <w:rPr>
          <w:rFonts w:hint="eastAsia" w:ascii="宋体" w:hAnsi="宋体" w:eastAsia="宋体" w:cs="宋体"/>
          <w:color w:val="auto"/>
          <w:sz w:val="24"/>
          <w:szCs w:val="24"/>
          <w:highlight w:val="none"/>
        </w:rPr>
        <w:t>符合性审查与澄清</w:t>
      </w:r>
      <w:bookmarkEnd w:id="179"/>
      <w:bookmarkEnd w:id="180"/>
      <w:bookmarkEnd w:id="181"/>
      <w:bookmarkEnd w:id="182"/>
      <w:bookmarkEnd w:id="183"/>
    </w:p>
    <w:p w14:paraId="56DB66A1">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w:t>
      </w:r>
      <w:bookmarkStart w:id="184" w:name="_Hlt522424701"/>
      <w:bookmarkEnd w:id="184"/>
      <w:bookmarkStart w:id="185" w:name="_Toc520356167"/>
      <w:r>
        <w:rPr>
          <w:rFonts w:hint="eastAsia" w:ascii="宋体" w:hAnsi="宋体" w:eastAsia="宋体" w:cs="宋体"/>
          <w:color w:val="auto"/>
          <w:sz w:val="24"/>
          <w:highlight w:val="none"/>
        </w:rPr>
        <w:t>符合性审查是指依据招标文件的规定，从商务和技术角度对投标文件的有效性和完整性进行审查，以确定是否对招标文件的实质性要求做出响应。</w:t>
      </w:r>
    </w:p>
    <w:p w14:paraId="03139B4E">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20.2  投标文件的澄清</w:t>
      </w:r>
    </w:p>
    <w:p w14:paraId="2F6BF01B">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20.2.1 在评标期间，评标委员会将以书面方式要求投标人对其投标文件中含义不明确、对同类问题表述不一致或者有明显文字和计算错误的内容，以及评标委员会认为投标人的报价明显低于其他通过符合性审查投标人的报价，有可能影响履约的情况作必要的澄清、说明或补正。投标人的澄清、说明或补正应在评标委员会规定的时间内以书面方式进行，并不得超出投标文件范围或者改变投标文件的实质性内容。</w:t>
      </w:r>
    </w:p>
    <w:p w14:paraId="64451D7C">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20.2.2 投标人的澄清、说明或补正将作为投标文件的一部分。</w:t>
      </w:r>
    </w:p>
    <w:p w14:paraId="34C27D51">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20.3 投标文件报价出现前后不一致的，按照下列规定修正：</w:t>
      </w:r>
    </w:p>
    <w:p w14:paraId="580988ED">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（1）投标文件中开标一览表（报价表）内容与投标文件中相应内容不一致的，以开标一览表（报价表）为准；</w:t>
      </w:r>
    </w:p>
    <w:p w14:paraId="4EE1BB9E">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（2）大写金额和小写金额不一致的，以大写金额为准；</w:t>
      </w:r>
    </w:p>
    <w:p w14:paraId="1B7A15A9">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（3）单价金额小数点或者百分比有明显错位的，以开标一览表的总价为准，并修改单价；</w:t>
      </w:r>
    </w:p>
    <w:p w14:paraId="2B1AAA59">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（4）总价金额与按单价汇总金额不一致的，以单价金额计算结果为准。</w:t>
      </w:r>
    </w:p>
    <w:p w14:paraId="45A6CBCD">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同时出现两种以上不一致的，按照前款规定的顺序修正。修正后的报价按照第20.2条的规定经投标人确认后产生约束力，投标人不确认的，其投标将被认定为</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7E49E089">
      <w:pPr>
        <w:pageBreakBefore w:val="0"/>
        <w:widowControl w:val="0"/>
        <w:kinsoku/>
        <w:wordWrap/>
        <w:overflowPunct/>
        <w:topLinePunct w:val="0"/>
        <w:bidi w:val="0"/>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对不同文字文本投标文件的解释发生异议的，以中文文本为准。</w:t>
      </w:r>
    </w:p>
    <w:p w14:paraId="54C781FF">
      <w:pPr>
        <w:pStyle w:val="8"/>
        <w:pageBreakBefore w:val="0"/>
        <w:widowControl w:val="0"/>
        <w:kinsoku/>
        <w:wordWrap/>
        <w:overflowPunct/>
        <w:topLinePunct w:val="0"/>
        <w:bidi w:val="0"/>
        <w:snapToGrid/>
        <w:ind w:left="0" w:leftChars="0"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20.</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 xml:space="preserve"> 非单一产品采购项目核心产品见投标人须知前附表。</w:t>
      </w:r>
    </w:p>
    <w:p w14:paraId="37F87552">
      <w:pPr>
        <w:pStyle w:val="5"/>
        <w:pageBreakBefore w:val="0"/>
        <w:widowControl w:val="0"/>
        <w:kinsoku/>
        <w:wordWrap/>
        <w:overflowPunct/>
        <w:topLinePunct w:val="0"/>
        <w:bidi w:val="0"/>
        <w:snapToGrid/>
        <w:ind w:left="0" w:leftChars="0" w:firstLine="0" w:firstLineChars="0"/>
        <w:jc w:val="both"/>
        <w:textAlignment w:val="auto"/>
        <w:rPr>
          <w:rFonts w:hint="eastAsia" w:ascii="宋体" w:hAnsi="宋体" w:eastAsia="宋体" w:cs="宋体"/>
          <w:color w:val="auto"/>
          <w:sz w:val="24"/>
          <w:szCs w:val="24"/>
          <w:highlight w:val="none"/>
        </w:rPr>
      </w:pPr>
      <w:bookmarkStart w:id="186" w:name="_Toc62194321"/>
      <w:bookmarkStart w:id="187" w:name="_Toc515647782"/>
      <w:bookmarkStart w:id="188" w:name="_Toc532473474"/>
      <w:bookmarkStart w:id="189" w:name="_Toc9469"/>
      <w:bookmarkStart w:id="190" w:name="_Toc6364"/>
      <w:r>
        <w:rPr>
          <w:rFonts w:hint="eastAsia" w:ascii="宋体" w:hAnsi="宋体" w:eastAsia="宋体" w:cs="宋体"/>
          <w:color w:val="auto"/>
          <w:sz w:val="24"/>
          <w:szCs w:val="24"/>
          <w:highlight w:val="none"/>
        </w:rPr>
        <w:t>21. 投标偏离</w:t>
      </w:r>
      <w:bookmarkEnd w:id="186"/>
      <w:bookmarkEnd w:id="187"/>
      <w:bookmarkEnd w:id="188"/>
      <w:bookmarkEnd w:id="189"/>
      <w:bookmarkEnd w:id="190"/>
    </w:p>
    <w:p w14:paraId="4076B7B5">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投标文件中存在对招标文件的实质性负偏离，其投标将被认定为</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262A54DB">
      <w:pPr>
        <w:pStyle w:val="5"/>
        <w:pageBreakBefore w:val="0"/>
        <w:widowControl w:val="0"/>
        <w:kinsoku/>
        <w:wordWrap/>
        <w:overflowPunct/>
        <w:topLinePunct w:val="0"/>
        <w:bidi w:val="0"/>
        <w:snapToGrid/>
        <w:ind w:left="0" w:leftChars="0" w:firstLine="0" w:firstLineChars="0"/>
        <w:jc w:val="both"/>
        <w:textAlignment w:val="auto"/>
        <w:rPr>
          <w:rFonts w:hint="eastAsia" w:ascii="宋体" w:hAnsi="宋体" w:eastAsia="宋体" w:cs="宋体"/>
          <w:color w:val="auto"/>
          <w:sz w:val="24"/>
          <w:szCs w:val="24"/>
          <w:highlight w:val="none"/>
        </w:rPr>
      </w:pPr>
      <w:bookmarkStart w:id="191" w:name="_Toc515647783"/>
      <w:bookmarkStart w:id="192" w:name="_Toc4950"/>
      <w:bookmarkStart w:id="193" w:name="_Toc62194322"/>
      <w:bookmarkStart w:id="194" w:name="_Toc6092"/>
      <w:bookmarkStart w:id="195" w:name="_Toc532473475"/>
      <w:r>
        <w:rPr>
          <w:rFonts w:hint="eastAsia" w:ascii="宋体" w:hAnsi="宋体" w:eastAsia="宋体" w:cs="宋体"/>
          <w:color w:val="auto"/>
          <w:sz w:val="24"/>
          <w:szCs w:val="24"/>
          <w:highlight w:val="none"/>
        </w:rPr>
        <w:t>22. 投标</w:t>
      </w:r>
      <w:bookmarkEnd w:id="191"/>
      <w:r>
        <w:rPr>
          <w:rFonts w:hint="eastAsia" w:ascii="宋体" w:hAnsi="宋体" w:eastAsia="宋体" w:cs="宋体"/>
          <w:color w:val="auto"/>
          <w:sz w:val="24"/>
          <w:szCs w:val="24"/>
          <w:highlight w:val="none"/>
        </w:rPr>
        <w:t>无效</w:t>
      </w:r>
      <w:bookmarkEnd w:id="192"/>
      <w:bookmarkEnd w:id="193"/>
      <w:bookmarkEnd w:id="194"/>
      <w:bookmarkEnd w:id="195"/>
    </w:p>
    <w:p w14:paraId="39BD09EC">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22.1 在比较与评价之前，根据招标文件的规定，评标委员会要审查每份投标文件是否</w:t>
      </w:r>
      <w:r>
        <w:rPr>
          <w:rFonts w:hint="eastAsia" w:ascii="宋体" w:hAnsi="宋体" w:eastAsia="宋体" w:cs="宋体"/>
          <w:color w:val="auto"/>
          <w:sz w:val="24"/>
          <w:highlight w:val="none"/>
          <w:lang w:val="en-US" w:eastAsia="zh-CN"/>
        </w:rPr>
        <w:t>实质</w:t>
      </w:r>
      <w:r>
        <w:rPr>
          <w:rFonts w:hint="eastAsia" w:ascii="宋体" w:hAnsi="宋体" w:eastAsia="宋体" w:cs="宋体"/>
          <w:color w:val="auto"/>
          <w:sz w:val="24"/>
          <w:highlight w:val="none"/>
        </w:rPr>
        <w:t>响应了招标文件的要求。投标人不得通过修正或撤销不符合要求的偏离，从而使其投标成为实质上响应的投标。</w:t>
      </w:r>
    </w:p>
    <w:p w14:paraId="584C2399">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评标委员会决定投标的响应性只根据招标文件要求和投标文件内容。</w:t>
      </w:r>
    </w:p>
    <w:p w14:paraId="36D0E2D0">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22.2  如发现下列情况之一的，其投标将被认定为</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43984324">
      <w:pPr>
        <w:pageBreakBefore w:val="0"/>
        <w:widowControl w:val="0"/>
        <w:numPr>
          <w:ilvl w:val="0"/>
          <w:numId w:val="0"/>
        </w:numPr>
        <w:kinsoku/>
        <w:wordWrap/>
        <w:overflowPunct/>
        <w:topLinePunct w:val="0"/>
        <w:bidi w:val="0"/>
        <w:snapToGrid/>
        <w:spacing w:line="360" w:lineRule="auto"/>
        <w:ind w:lef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未按照招标文件规定要求签署、盖章的；</w:t>
      </w:r>
    </w:p>
    <w:p w14:paraId="1736A6E0">
      <w:pPr>
        <w:pageBreakBefore w:val="0"/>
        <w:widowControl w:val="0"/>
        <w:numPr>
          <w:ilvl w:val="0"/>
          <w:numId w:val="0"/>
        </w:numPr>
        <w:kinsoku/>
        <w:wordWrap/>
        <w:overflowPunct/>
        <w:topLinePunct w:val="0"/>
        <w:bidi w:val="0"/>
        <w:snapToGrid/>
        <w:spacing w:line="360" w:lineRule="auto"/>
        <w:ind w:lef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未满足招标文件中商务和技术条款的实质性要求；</w:t>
      </w:r>
    </w:p>
    <w:p w14:paraId="023DDF51">
      <w:pPr>
        <w:pageBreakBefore w:val="0"/>
        <w:widowControl w:val="0"/>
        <w:numPr>
          <w:ilvl w:val="0"/>
          <w:numId w:val="0"/>
        </w:numPr>
        <w:kinsoku/>
        <w:wordWrap/>
        <w:overflowPunct/>
        <w:topLinePunct w:val="0"/>
        <w:bidi w:val="0"/>
        <w:snapToGrid/>
        <w:spacing w:line="360" w:lineRule="auto"/>
        <w:ind w:lef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属于串通投标，或者依法被视为串通投标；</w:t>
      </w:r>
    </w:p>
    <w:p w14:paraId="479F6297">
      <w:pPr>
        <w:pageBreakBefore w:val="0"/>
        <w:widowControl w:val="0"/>
        <w:numPr>
          <w:ilvl w:val="0"/>
          <w:numId w:val="0"/>
        </w:numPr>
        <w:kinsoku/>
        <w:wordWrap/>
        <w:overflowPunct/>
        <w:topLinePunct w:val="0"/>
        <w:bidi w:val="0"/>
        <w:snapToGrid/>
        <w:spacing w:line="360" w:lineRule="auto"/>
        <w:ind w:lef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评标委员会认为投标人的报价明显低于其他通过符合性审查投标人的报价，有可能影响履约的，且投标人未按照规定证明其报价合理性的；</w:t>
      </w:r>
    </w:p>
    <w:p w14:paraId="7002D250">
      <w:pPr>
        <w:pageBreakBefore w:val="0"/>
        <w:widowControl w:val="0"/>
        <w:numPr>
          <w:ilvl w:val="0"/>
          <w:numId w:val="0"/>
        </w:numPr>
        <w:kinsoku/>
        <w:wordWrap/>
        <w:overflowPunct/>
        <w:topLinePunct w:val="0"/>
        <w:bidi w:val="0"/>
        <w:snapToGrid/>
        <w:spacing w:line="360" w:lineRule="auto"/>
        <w:ind w:lef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投标文件含有采购人不能接受的附加条件的；</w:t>
      </w:r>
    </w:p>
    <w:p w14:paraId="0691F76E">
      <w:pPr>
        <w:pageBreakBefore w:val="0"/>
        <w:widowControl w:val="0"/>
        <w:numPr>
          <w:ilvl w:val="0"/>
          <w:numId w:val="0"/>
        </w:numPr>
        <w:kinsoku/>
        <w:wordWrap/>
        <w:overflowPunct/>
        <w:topLinePunct w:val="0"/>
        <w:bidi w:val="0"/>
        <w:snapToGrid/>
        <w:spacing w:line="360" w:lineRule="auto"/>
        <w:ind w:lef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属于招标文件规定的其他投标无效情形；</w:t>
      </w:r>
    </w:p>
    <w:p w14:paraId="1939DBB7">
      <w:pPr>
        <w:pageBreakBefore w:val="0"/>
        <w:widowControl w:val="0"/>
        <w:numPr>
          <w:ilvl w:val="0"/>
          <w:numId w:val="0"/>
        </w:numPr>
        <w:kinsoku/>
        <w:wordWrap/>
        <w:overflowPunct/>
        <w:topLinePunct w:val="0"/>
        <w:bidi w:val="0"/>
        <w:snapToGrid/>
        <w:spacing w:line="360" w:lineRule="auto"/>
        <w:ind w:lef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不符合法规和招标文件中规定的其他实质性要求的。</w:t>
      </w:r>
    </w:p>
    <w:bookmarkEnd w:id="185"/>
    <w:p w14:paraId="3902C413">
      <w:pPr>
        <w:pStyle w:val="5"/>
        <w:pageBreakBefore w:val="0"/>
        <w:widowControl w:val="0"/>
        <w:kinsoku/>
        <w:wordWrap/>
        <w:overflowPunct/>
        <w:topLinePunct w:val="0"/>
        <w:bidi w:val="0"/>
        <w:snapToGrid/>
        <w:ind w:left="0" w:leftChars="0" w:firstLine="0" w:firstLineChars="0"/>
        <w:jc w:val="both"/>
        <w:textAlignment w:val="auto"/>
        <w:rPr>
          <w:rFonts w:hint="eastAsia" w:ascii="宋体" w:hAnsi="宋体" w:eastAsia="宋体" w:cs="宋体"/>
          <w:color w:val="auto"/>
          <w:sz w:val="24"/>
          <w:szCs w:val="24"/>
          <w:highlight w:val="none"/>
        </w:rPr>
      </w:pPr>
      <w:bookmarkStart w:id="196" w:name="_Toc62194323"/>
      <w:bookmarkStart w:id="197" w:name="_Toc22941"/>
      <w:bookmarkStart w:id="198" w:name="_Toc515647784"/>
      <w:bookmarkStart w:id="199" w:name="_Toc532473476"/>
      <w:bookmarkStart w:id="200" w:name="_Toc13652"/>
      <w:r>
        <w:rPr>
          <w:rFonts w:hint="eastAsia" w:ascii="宋体" w:hAnsi="宋体" w:eastAsia="宋体" w:cs="宋体"/>
          <w:color w:val="auto"/>
          <w:sz w:val="24"/>
          <w:szCs w:val="24"/>
          <w:highlight w:val="none"/>
        </w:rPr>
        <w:t>23.  比较与评价</w:t>
      </w:r>
      <w:bookmarkEnd w:id="196"/>
      <w:bookmarkEnd w:id="197"/>
      <w:bookmarkEnd w:id="198"/>
      <w:bookmarkEnd w:id="199"/>
      <w:bookmarkEnd w:id="200"/>
    </w:p>
    <w:p w14:paraId="1969E11C">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23.1  经符合性审查合格的投标文件，评标委员会将根据招标文件确定的评标方法和标准，对其技术部分和商务部分作进一步的比较和评价。</w:t>
      </w:r>
    </w:p>
    <w:p w14:paraId="7FE77BF6">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23.2  评标严格按照招标文件的要求和条件进行。根据实际情况，在</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中规定采用下列一种评标方法，详细评标标准见招标文件第三章：</w:t>
      </w:r>
    </w:p>
    <w:p w14:paraId="4C28F7AC">
      <w:pPr>
        <w:pStyle w:val="9"/>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（1）最低评标价法，是指投标文件满足招标文件全部要求，且投标报价最低的投标人为中标候选人的评标方法。</w:t>
      </w:r>
    </w:p>
    <w:p w14:paraId="16A33387">
      <w:pPr>
        <w:pStyle w:val="9"/>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（2）综合评分法，是指投标文件满足招标文件全部要求，且按照评审因素的量</w:t>
      </w:r>
    </w:p>
    <w:p w14:paraId="2921C72F">
      <w:pPr>
        <w:pStyle w:val="9"/>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化指标评审得分最高的投标人为中标候选人的评标方法。</w:t>
      </w:r>
    </w:p>
    <w:p w14:paraId="79183FFB">
      <w:pPr>
        <w:pStyle w:val="9"/>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  根据《关于进一步加大政府采购支持中小企业力度的通知》（财库〔2022〕19号）、《政府采购促进中小企业发展办法》（财库〔2020〕46号）、《财政部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司法部关于政府采购支持监狱企业发展有关问题的通知》（财库〔2014〕68号）和《财政部 民政部 中国残疾人联合会关于促进残疾人就业政府采购政策的通知》（</w:t>
      </w:r>
      <w:bookmarkStart w:id="201" w:name="sendNo"/>
      <w:r>
        <w:rPr>
          <w:rFonts w:hint="eastAsia" w:ascii="宋体" w:hAnsi="宋体" w:eastAsia="宋体" w:cs="宋体"/>
          <w:color w:val="auto"/>
          <w:sz w:val="24"/>
          <w:szCs w:val="24"/>
          <w:highlight w:val="none"/>
        </w:rPr>
        <w:t>财库</w:t>
      </w:r>
      <w:r>
        <w:rPr>
          <w:rFonts w:hint="eastAsia" w:ascii="宋体" w:hAnsi="宋体" w:eastAsia="宋体" w:cs="宋体"/>
          <w:bCs/>
          <w:color w:val="auto"/>
          <w:sz w:val="24"/>
          <w:szCs w:val="24"/>
          <w:highlight w:val="none"/>
        </w:rPr>
        <w:t>〔</w:t>
      </w:r>
      <w:bookmarkEnd w:id="201"/>
      <w:r>
        <w:rPr>
          <w:rFonts w:hint="eastAsia" w:ascii="宋体" w:hAnsi="宋体" w:eastAsia="宋体" w:cs="宋体"/>
          <w:bCs/>
          <w:color w:val="auto"/>
          <w:sz w:val="24"/>
          <w:szCs w:val="24"/>
          <w:highlight w:val="none"/>
        </w:rPr>
        <w:t>2017〕141号</w:t>
      </w:r>
      <w:r>
        <w:rPr>
          <w:rFonts w:hint="eastAsia" w:ascii="宋体" w:hAnsi="宋体" w:eastAsia="宋体" w:cs="宋体"/>
          <w:color w:val="auto"/>
          <w:sz w:val="24"/>
          <w:szCs w:val="24"/>
          <w:highlight w:val="none"/>
        </w:rPr>
        <w:t>）的规定，对满足价格扣除条件且在投标文件中提交了《中小企业声明函》、《残疾人福利性单位声明函》或省级以上监狱管理局、戒毒管理局（含新疆生产建设兵团）出具的属于监狱企业的证明文件的投标人，其投标报价按规定扣除后参与评审。具体办法详见招标文件第三章。</w:t>
      </w:r>
    </w:p>
    <w:p w14:paraId="7A7C01C5">
      <w:pPr>
        <w:pStyle w:val="9"/>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  落实其他政府采购政策条款。具体办法详见招标文件第三章。</w:t>
      </w:r>
    </w:p>
    <w:p w14:paraId="482E1CB0">
      <w:pPr>
        <w:pStyle w:val="5"/>
        <w:pageBreakBefore w:val="0"/>
        <w:widowControl w:val="0"/>
        <w:kinsoku/>
        <w:wordWrap/>
        <w:overflowPunct/>
        <w:topLinePunct w:val="0"/>
        <w:bidi w:val="0"/>
        <w:snapToGrid/>
        <w:ind w:left="0" w:leftChars="0" w:firstLine="0" w:firstLineChars="0"/>
        <w:jc w:val="both"/>
        <w:textAlignment w:val="auto"/>
        <w:rPr>
          <w:rFonts w:hint="eastAsia" w:ascii="宋体" w:hAnsi="宋体" w:eastAsia="宋体" w:cs="宋体"/>
          <w:color w:val="auto"/>
          <w:sz w:val="24"/>
          <w:szCs w:val="24"/>
          <w:highlight w:val="none"/>
        </w:rPr>
      </w:pPr>
      <w:bookmarkStart w:id="202" w:name="_Toc520356168"/>
      <w:bookmarkStart w:id="203" w:name="_Toc62194324"/>
      <w:bookmarkStart w:id="204" w:name="_Toc515647785"/>
      <w:bookmarkStart w:id="205" w:name="_Toc532473477"/>
      <w:bookmarkStart w:id="206" w:name="_Toc20227"/>
      <w:bookmarkStart w:id="207" w:name="_Toc9378"/>
      <w:r>
        <w:rPr>
          <w:rFonts w:hint="eastAsia" w:ascii="宋体" w:hAnsi="宋体" w:eastAsia="宋体" w:cs="宋体"/>
          <w:color w:val="auto"/>
          <w:sz w:val="24"/>
          <w:szCs w:val="24"/>
          <w:highlight w:val="none"/>
        </w:rPr>
        <w:t>24</w:t>
      </w:r>
      <w:bookmarkEnd w:id="202"/>
      <w:r>
        <w:rPr>
          <w:rFonts w:hint="eastAsia" w:ascii="宋体" w:hAnsi="宋体" w:eastAsia="宋体" w:cs="宋体"/>
          <w:color w:val="auto"/>
          <w:sz w:val="24"/>
          <w:szCs w:val="24"/>
          <w:highlight w:val="none"/>
        </w:rPr>
        <w:t>. 废标</w:t>
      </w:r>
      <w:bookmarkEnd w:id="203"/>
      <w:bookmarkEnd w:id="204"/>
      <w:bookmarkEnd w:id="205"/>
      <w:bookmarkEnd w:id="206"/>
      <w:bookmarkEnd w:id="207"/>
    </w:p>
    <w:p w14:paraId="04855E76">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出现下列情形之一，将导致项目废标：</w:t>
      </w:r>
    </w:p>
    <w:p w14:paraId="22753D36">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（1）符合专业条件的投标人或者对招标文件做实质性响应的投标人不足三家；</w:t>
      </w:r>
    </w:p>
    <w:p w14:paraId="6ED9B89F">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（2）出现影响采购公正的违法、违规行为的；</w:t>
      </w:r>
    </w:p>
    <w:p w14:paraId="2228E8F2">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（3）投标人的报价均超过了采购预算，采购人不能支付的；</w:t>
      </w:r>
    </w:p>
    <w:p w14:paraId="11B86B4C">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（4）因重大变故，采购任务取消的。</w:t>
      </w:r>
    </w:p>
    <w:p w14:paraId="13A4742A">
      <w:pPr>
        <w:pStyle w:val="5"/>
        <w:pageBreakBefore w:val="0"/>
        <w:widowControl w:val="0"/>
        <w:kinsoku/>
        <w:wordWrap/>
        <w:overflowPunct/>
        <w:topLinePunct w:val="0"/>
        <w:bidi w:val="0"/>
        <w:snapToGrid/>
        <w:ind w:left="0" w:leftChars="0" w:firstLine="0" w:firstLineChars="0"/>
        <w:jc w:val="both"/>
        <w:textAlignment w:val="auto"/>
        <w:rPr>
          <w:rFonts w:hint="eastAsia" w:ascii="宋体" w:hAnsi="宋体" w:eastAsia="宋体" w:cs="宋体"/>
          <w:color w:val="auto"/>
          <w:sz w:val="24"/>
          <w:szCs w:val="24"/>
          <w:highlight w:val="none"/>
        </w:rPr>
      </w:pPr>
      <w:bookmarkStart w:id="208" w:name="_Toc31289"/>
      <w:bookmarkStart w:id="209" w:name="_Toc515647786"/>
      <w:bookmarkStart w:id="210" w:name="_Toc24972"/>
      <w:bookmarkStart w:id="211" w:name="_Toc62194325"/>
      <w:bookmarkStart w:id="212" w:name="_Toc532473478"/>
      <w:bookmarkStart w:id="213" w:name="_Toc520356169"/>
      <w:r>
        <w:rPr>
          <w:rFonts w:hint="eastAsia" w:ascii="宋体" w:hAnsi="宋体" w:eastAsia="宋体" w:cs="宋体"/>
          <w:color w:val="auto"/>
          <w:sz w:val="24"/>
          <w:szCs w:val="24"/>
          <w:highlight w:val="none"/>
        </w:rPr>
        <w:t>25. 保密</w:t>
      </w:r>
      <w:bookmarkEnd w:id="208"/>
      <w:bookmarkEnd w:id="209"/>
      <w:bookmarkEnd w:id="210"/>
      <w:r>
        <w:rPr>
          <w:rFonts w:hint="eastAsia" w:ascii="宋体" w:hAnsi="宋体" w:eastAsia="宋体" w:cs="宋体"/>
          <w:color w:val="auto"/>
          <w:sz w:val="24"/>
          <w:szCs w:val="24"/>
          <w:highlight w:val="none"/>
        </w:rPr>
        <w:t>要求</w:t>
      </w:r>
      <w:bookmarkEnd w:id="211"/>
      <w:bookmarkEnd w:id="212"/>
    </w:p>
    <w:p w14:paraId="018ACD2C">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25.1 评标将在严格保密的情况下进行。</w:t>
      </w:r>
    </w:p>
    <w:p w14:paraId="0BF30B77">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25.2 有关人员应当遵守评标工作纪律，不得泄露评标文件、评标情况和评标中获悉的国家秘密、商业秘密。</w:t>
      </w:r>
    </w:p>
    <w:p w14:paraId="442CE8C5">
      <w:pPr>
        <w:spacing w:line="360" w:lineRule="auto"/>
        <w:ind w:left="1079" w:leftChars="257" w:hanging="540"/>
        <w:rPr>
          <w:rFonts w:hint="eastAsia" w:ascii="宋体" w:hAnsi="宋体" w:eastAsia="宋体" w:cs="宋体"/>
          <w:color w:val="auto"/>
          <w:sz w:val="24"/>
          <w:highlight w:val="none"/>
        </w:rPr>
      </w:pPr>
    </w:p>
    <w:p w14:paraId="1557F324">
      <w:pPr>
        <w:pStyle w:val="3"/>
        <w:rPr>
          <w:rFonts w:hint="eastAsia" w:ascii="宋体" w:hAnsi="宋体" w:eastAsia="宋体" w:cs="宋体"/>
          <w:color w:val="auto"/>
          <w:sz w:val="28"/>
          <w:szCs w:val="18"/>
          <w:highlight w:val="none"/>
        </w:rPr>
      </w:pPr>
      <w:bookmarkStart w:id="214" w:name="_Toc62194326"/>
      <w:bookmarkStart w:id="215" w:name="_Toc532473479"/>
      <w:bookmarkStart w:id="216" w:name="_Toc515647787"/>
      <w:bookmarkStart w:id="217" w:name="_Toc12143"/>
      <w:bookmarkStart w:id="218" w:name="_Toc216582810"/>
      <w:bookmarkStart w:id="219" w:name="_Toc23904"/>
      <w:r>
        <w:rPr>
          <w:rFonts w:hint="eastAsia" w:ascii="宋体" w:hAnsi="宋体" w:eastAsia="宋体" w:cs="宋体"/>
          <w:color w:val="auto"/>
          <w:sz w:val="28"/>
          <w:szCs w:val="18"/>
          <w:highlight w:val="none"/>
        </w:rPr>
        <w:t>六</w:t>
      </w:r>
      <w:bookmarkEnd w:id="213"/>
      <w:r>
        <w:rPr>
          <w:rFonts w:hint="eastAsia" w:ascii="宋体" w:hAnsi="宋体" w:eastAsia="宋体" w:cs="宋体"/>
          <w:color w:val="auto"/>
          <w:sz w:val="28"/>
          <w:szCs w:val="18"/>
          <w:highlight w:val="none"/>
        </w:rPr>
        <w:t>、确定中标</w:t>
      </w:r>
      <w:bookmarkEnd w:id="214"/>
      <w:bookmarkEnd w:id="215"/>
      <w:bookmarkEnd w:id="216"/>
      <w:bookmarkEnd w:id="217"/>
      <w:bookmarkEnd w:id="218"/>
      <w:bookmarkEnd w:id="219"/>
    </w:p>
    <w:p w14:paraId="2B33A165">
      <w:pPr>
        <w:pStyle w:val="5"/>
        <w:pageBreakBefore w:val="0"/>
        <w:widowControl w:val="0"/>
        <w:kinsoku/>
        <w:wordWrap/>
        <w:overflowPunct/>
        <w:topLinePunct w:val="0"/>
        <w:bidi w:val="0"/>
        <w:snapToGrid/>
        <w:ind w:left="0" w:leftChars="0" w:firstLine="0" w:firstLineChars="0"/>
        <w:jc w:val="both"/>
        <w:textAlignment w:val="auto"/>
        <w:rPr>
          <w:rFonts w:hint="eastAsia" w:ascii="宋体" w:hAnsi="宋体" w:eastAsia="宋体" w:cs="宋体"/>
          <w:color w:val="auto"/>
          <w:sz w:val="24"/>
          <w:szCs w:val="24"/>
          <w:highlight w:val="none"/>
        </w:rPr>
      </w:pPr>
      <w:bookmarkStart w:id="220" w:name="_Toc23762"/>
      <w:bookmarkStart w:id="221" w:name="_Toc515647788"/>
      <w:bookmarkStart w:id="222" w:name="_Toc62194327"/>
      <w:bookmarkStart w:id="223" w:name="_Toc520356170"/>
      <w:bookmarkStart w:id="224" w:name="_Ref467307010"/>
      <w:bookmarkStart w:id="225" w:name="_Toc23617"/>
      <w:bookmarkStart w:id="226" w:name="_Toc532473480"/>
      <w:r>
        <w:rPr>
          <w:rFonts w:hint="eastAsia" w:ascii="宋体" w:hAnsi="宋体" w:eastAsia="宋体" w:cs="宋体"/>
          <w:color w:val="auto"/>
          <w:sz w:val="24"/>
          <w:szCs w:val="24"/>
          <w:highlight w:val="none"/>
        </w:rPr>
        <w:t>26. 中标候选人的确定原则及标准</w:t>
      </w:r>
      <w:bookmarkEnd w:id="220"/>
      <w:bookmarkEnd w:id="221"/>
      <w:bookmarkEnd w:id="222"/>
      <w:bookmarkEnd w:id="223"/>
      <w:bookmarkEnd w:id="224"/>
      <w:bookmarkEnd w:id="225"/>
      <w:bookmarkEnd w:id="226"/>
    </w:p>
    <w:p w14:paraId="675B71AE">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除评标委员会受采购人委托直接确定中标人的情形外，对实质上响应招标文件的投标人按下列方法进行排序，确定中标候选人：</w:t>
      </w:r>
    </w:p>
    <w:p w14:paraId="70EDEE37">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bookmarkStart w:id="227" w:name="_Toc520356171"/>
      <w:bookmarkStart w:id="228" w:name="_Toc515647789"/>
      <w:r>
        <w:rPr>
          <w:rFonts w:hint="eastAsia" w:ascii="宋体" w:hAnsi="宋体" w:eastAsia="宋体" w:cs="宋体"/>
          <w:color w:val="auto"/>
          <w:sz w:val="24"/>
          <w:highlight w:val="none"/>
        </w:rPr>
        <w:t>（1）采用最低评标价法的，除了算术修正和落实政府采购政策需进行的价格扣除外，不对投标人的投标价格进行任何调整。评标结果按修正和扣除后的投标报价由低到高顺序排列。报价相同的处理方式详见招标文件第三章。</w:t>
      </w:r>
    </w:p>
    <w:p w14:paraId="7B6051DB">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（2）采用综合评分法的，评标结果按评审后得分由高到低顺序排列。得分相同的，按修正和扣除后的投标报价由低到高顺序排列。得分与投标报价均相同的处理方式详见招标文件第三章。</w:t>
      </w:r>
    </w:p>
    <w:p w14:paraId="7496EA6B">
      <w:pPr>
        <w:pStyle w:val="5"/>
        <w:pageBreakBefore w:val="0"/>
        <w:widowControl w:val="0"/>
        <w:kinsoku/>
        <w:wordWrap/>
        <w:overflowPunct/>
        <w:topLinePunct w:val="0"/>
        <w:bidi w:val="0"/>
        <w:snapToGrid/>
        <w:ind w:left="0" w:leftChars="0" w:firstLine="0" w:firstLineChars="0"/>
        <w:jc w:val="both"/>
        <w:textAlignment w:val="auto"/>
        <w:rPr>
          <w:rFonts w:hint="eastAsia" w:ascii="宋体" w:hAnsi="宋体" w:eastAsia="宋体" w:cs="宋体"/>
          <w:color w:val="auto"/>
          <w:sz w:val="24"/>
          <w:szCs w:val="24"/>
          <w:highlight w:val="none"/>
        </w:rPr>
      </w:pPr>
      <w:bookmarkStart w:id="229" w:name="_Toc23951"/>
      <w:bookmarkStart w:id="230" w:name="_Toc9653"/>
      <w:bookmarkStart w:id="231" w:name="_Toc532473481"/>
      <w:bookmarkStart w:id="232" w:name="_Toc62194328"/>
      <w:r>
        <w:rPr>
          <w:rFonts w:hint="eastAsia" w:ascii="宋体" w:hAnsi="宋体" w:eastAsia="宋体" w:cs="宋体"/>
          <w:color w:val="auto"/>
          <w:sz w:val="24"/>
          <w:szCs w:val="24"/>
          <w:highlight w:val="none"/>
        </w:rPr>
        <w:t>27</w:t>
      </w:r>
      <w:bookmarkEnd w:id="227"/>
      <w:r>
        <w:rPr>
          <w:rFonts w:hint="eastAsia" w:ascii="宋体" w:hAnsi="宋体" w:eastAsia="宋体" w:cs="宋体"/>
          <w:color w:val="auto"/>
          <w:sz w:val="24"/>
          <w:szCs w:val="24"/>
          <w:highlight w:val="none"/>
        </w:rPr>
        <w:t>.</w:t>
      </w:r>
      <w:bookmarkEnd w:id="228"/>
      <w:bookmarkEnd w:id="229"/>
      <w:bookmarkEnd w:id="230"/>
      <w:bookmarkEnd w:id="231"/>
      <w:r>
        <w:rPr>
          <w:rFonts w:hint="eastAsia" w:ascii="宋体" w:hAnsi="宋体" w:eastAsia="宋体" w:cs="宋体"/>
          <w:color w:val="auto"/>
          <w:sz w:val="24"/>
          <w:szCs w:val="24"/>
          <w:highlight w:val="none"/>
        </w:rPr>
        <w:t xml:space="preserve">  确定中标候选人和中标人</w:t>
      </w:r>
      <w:bookmarkEnd w:id="232"/>
    </w:p>
    <w:p w14:paraId="140A4306">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27.1  评标委员会将根据评标标准，按</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中规定数量推荐中标候选人。</w:t>
      </w:r>
    </w:p>
    <w:p w14:paraId="7C74CD72">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27.2  按</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中规定，由评标委员会直接确定中标人。</w:t>
      </w:r>
    </w:p>
    <w:p w14:paraId="57A5489C">
      <w:pPr>
        <w:pStyle w:val="5"/>
        <w:pageBreakBefore w:val="0"/>
        <w:widowControl w:val="0"/>
        <w:kinsoku/>
        <w:wordWrap/>
        <w:overflowPunct/>
        <w:topLinePunct w:val="0"/>
        <w:bidi w:val="0"/>
        <w:snapToGrid/>
        <w:ind w:left="0" w:leftChars="0" w:firstLine="0" w:firstLineChars="0"/>
        <w:jc w:val="both"/>
        <w:textAlignment w:val="auto"/>
        <w:rPr>
          <w:rFonts w:hint="eastAsia" w:ascii="宋体" w:hAnsi="宋体" w:eastAsia="宋体" w:cs="宋体"/>
          <w:color w:val="auto"/>
          <w:sz w:val="24"/>
          <w:szCs w:val="24"/>
          <w:highlight w:val="none"/>
        </w:rPr>
      </w:pPr>
      <w:bookmarkStart w:id="233" w:name="_Toc62194329"/>
      <w:bookmarkStart w:id="234" w:name="_Toc31099"/>
      <w:bookmarkStart w:id="235" w:name="_Toc30170"/>
      <w:bookmarkStart w:id="236" w:name="_Toc520356174"/>
      <w:bookmarkStart w:id="237" w:name="_Toc515647791"/>
      <w:bookmarkStart w:id="238" w:name="_Toc532473483"/>
      <w:r>
        <w:rPr>
          <w:rFonts w:hint="eastAsia" w:ascii="宋体" w:hAnsi="宋体" w:eastAsia="宋体" w:cs="宋体"/>
          <w:color w:val="auto"/>
          <w:sz w:val="24"/>
          <w:szCs w:val="24"/>
          <w:highlight w:val="none"/>
        </w:rPr>
        <w:t xml:space="preserve">28.  </w:t>
      </w:r>
      <w:r>
        <w:rPr>
          <w:rFonts w:hint="eastAsia" w:ascii="宋体" w:hAnsi="宋体" w:eastAsia="宋体" w:cs="宋体"/>
          <w:color w:val="auto"/>
          <w:sz w:val="24"/>
          <w:szCs w:val="24"/>
          <w:highlight w:val="none"/>
          <w:lang w:val="en-US" w:eastAsia="zh-CN"/>
        </w:rPr>
        <w:t>发布中标结果公告并</w:t>
      </w:r>
      <w:r>
        <w:rPr>
          <w:rFonts w:hint="eastAsia" w:ascii="宋体" w:hAnsi="宋体" w:eastAsia="宋体" w:cs="宋体"/>
          <w:color w:val="auto"/>
          <w:sz w:val="24"/>
          <w:szCs w:val="24"/>
          <w:highlight w:val="none"/>
        </w:rPr>
        <w:t>发出中标通知书</w:t>
      </w:r>
      <w:bookmarkEnd w:id="233"/>
    </w:p>
    <w:p w14:paraId="18D29CCF">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在投标有效期内，中标人确定后，采购人或者采购代理机构发布中标公告。项目采购采用最低评标价法的，公告中标结果时同时公告因落实政府采购政策等原因进行价格扣除后中标供应商的评审报价；项目采购采用综合评分法的，公告中标结果时同时公告中标供应商的评审总得分。</w:t>
      </w:r>
    </w:p>
    <w:p w14:paraId="786022A2">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在公告中标结果的同时，向中标人发出中标通知书，中标通知书是合同的组成部分。</w:t>
      </w:r>
    </w:p>
    <w:p w14:paraId="3FA33C7A">
      <w:pPr>
        <w:pStyle w:val="5"/>
        <w:pageBreakBefore w:val="0"/>
        <w:widowControl w:val="0"/>
        <w:kinsoku/>
        <w:wordWrap/>
        <w:overflowPunct/>
        <w:topLinePunct w:val="0"/>
        <w:bidi w:val="0"/>
        <w:snapToGrid/>
        <w:ind w:left="0" w:leftChars="0" w:firstLine="0" w:firstLineChars="0"/>
        <w:jc w:val="both"/>
        <w:textAlignment w:val="auto"/>
        <w:rPr>
          <w:rFonts w:hint="eastAsia" w:ascii="宋体" w:hAnsi="宋体" w:eastAsia="宋体" w:cs="宋体"/>
          <w:color w:val="auto"/>
          <w:sz w:val="24"/>
          <w:szCs w:val="24"/>
          <w:highlight w:val="none"/>
        </w:rPr>
      </w:pPr>
      <w:bookmarkStart w:id="239" w:name="_Toc62194330"/>
      <w:r>
        <w:rPr>
          <w:rFonts w:hint="eastAsia" w:ascii="宋体" w:hAnsi="宋体" w:eastAsia="宋体" w:cs="宋体"/>
          <w:color w:val="auto"/>
          <w:sz w:val="24"/>
          <w:szCs w:val="24"/>
          <w:highlight w:val="none"/>
        </w:rPr>
        <w:t>29. 告知招标结果</w:t>
      </w:r>
      <w:bookmarkEnd w:id="239"/>
    </w:p>
    <w:p w14:paraId="66D108BF">
      <w:pPr>
        <w:pageBreakBefore w:val="0"/>
        <w:widowControl w:val="0"/>
        <w:kinsoku/>
        <w:wordWrap/>
        <w:overflowPunct/>
        <w:topLinePunct w:val="0"/>
        <w:bidi w:val="0"/>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在公告中标结果的同时，告知未通过资格审查投标人未通过的原因；采用综合评分法评审的，还将告知未中标人本人的评审得分和排序。</w:t>
      </w:r>
      <w:bookmarkEnd w:id="234"/>
      <w:bookmarkEnd w:id="235"/>
      <w:bookmarkEnd w:id="236"/>
      <w:bookmarkEnd w:id="237"/>
      <w:bookmarkEnd w:id="238"/>
    </w:p>
    <w:p w14:paraId="480D79D3">
      <w:pPr>
        <w:pStyle w:val="5"/>
        <w:pageBreakBefore w:val="0"/>
        <w:widowControl w:val="0"/>
        <w:kinsoku/>
        <w:wordWrap/>
        <w:overflowPunct/>
        <w:topLinePunct w:val="0"/>
        <w:bidi w:val="0"/>
        <w:snapToGrid/>
        <w:ind w:left="0" w:leftChars="0" w:firstLine="0" w:firstLineChars="0"/>
        <w:jc w:val="both"/>
        <w:textAlignment w:val="auto"/>
        <w:rPr>
          <w:rFonts w:hint="eastAsia" w:ascii="宋体" w:hAnsi="宋体" w:eastAsia="宋体" w:cs="宋体"/>
          <w:color w:val="auto"/>
          <w:sz w:val="24"/>
          <w:szCs w:val="24"/>
          <w:highlight w:val="none"/>
        </w:rPr>
      </w:pPr>
      <w:bookmarkStart w:id="240" w:name="_Ref467306377"/>
      <w:bookmarkStart w:id="241" w:name="_Ref467307062"/>
      <w:bookmarkStart w:id="242" w:name="_Toc532473484"/>
      <w:bookmarkStart w:id="243" w:name="_Toc62194331"/>
      <w:bookmarkStart w:id="244" w:name="_Toc7779"/>
      <w:bookmarkStart w:id="245" w:name="_Ref467306978"/>
      <w:bookmarkStart w:id="246" w:name="_Toc790"/>
      <w:bookmarkStart w:id="247" w:name="_Toc515647792"/>
      <w:bookmarkStart w:id="248" w:name="_Ref467307204"/>
      <w:bookmarkStart w:id="249" w:name="_Toc520356175"/>
      <w:r>
        <w:rPr>
          <w:rFonts w:hint="eastAsia" w:ascii="宋体" w:hAnsi="宋体" w:eastAsia="宋体" w:cs="宋体"/>
          <w:color w:val="auto"/>
          <w:sz w:val="24"/>
          <w:szCs w:val="24"/>
          <w:highlight w:val="none"/>
        </w:rPr>
        <w:t>30.  签订合同</w:t>
      </w:r>
      <w:bookmarkEnd w:id="240"/>
      <w:bookmarkEnd w:id="241"/>
      <w:bookmarkEnd w:id="242"/>
      <w:bookmarkEnd w:id="243"/>
      <w:bookmarkEnd w:id="244"/>
      <w:bookmarkEnd w:id="245"/>
      <w:bookmarkEnd w:id="246"/>
      <w:bookmarkEnd w:id="247"/>
      <w:bookmarkEnd w:id="248"/>
      <w:bookmarkEnd w:id="249"/>
    </w:p>
    <w:p w14:paraId="06DFBBAA">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30.1 中标人应当自发出中标通知书之日起</w:t>
      </w:r>
      <w:r>
        <w:rPr>
          <w:rFonts w:hint="eastAsia" w:ascii="宋体" w:hAnsi="宋体" w:eastAsia="宋体" w:cs="宋体"/>
          <w:color w:val="auto"/>
          <w:sz w:val="24"/>
          <w:highlight w:val="none"/>
          <w:lang w:val="en-US" w:eastAsia="zh-CN"/>
        </w:rPr>
        <w:t>25</w:t>
      </w:r>
      <w:r>
        <w:rPr>
          <w:rFonts w:hint="eastAsia" w:ascii="宋体" w:hAnsi="宋体" w:eastAsia="宋体" w:cs="宋体"/>
          <w:color w:val="auto"/>
          <w:sz w:val="24"/>
          <w:highlight w:val="none"/>
        </w:rPr>
        <w:t>日内，与采购人签订</w:t>
      </w:r>
      <w:r>
        <w:rPr>
          <w:rFonts w:hint="eastAsia" w:ascii="宋体" w:hAnsi="宋体" w:eastAsia="宋体" w:cs="宋体"/>
          <w:color w:val="auto"/>
          <w:sz w:val="24"/>
          <w:highlight w:val="none"/>
          <w:lang w:val="en-US" w:eastAsia="zh-CN"/>
        </w:rPr>
        <w:t>书面</w:t>
      </w:r>
      <w:r>
        <w:rPr>
          <w:rFonts w:hint="eastAsia" w:ascii="宋体" w:hAnsi="宋体" w:eastAsia="宋体" w:cs="宋体"/>
          <w:color w:val="auto"/>
          <w:sz w:val="24"/>
          <w:highlight w:val="none"/>
        </w:rPr>
        <w:t>合同。</w:t>
      </w:r>
    </w:p>
    <w:p w14:paraId="5A88A788">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30</w:t>
      </w:r>
      <w:bookmarkStart w:id="250" w:name="_Ref467306425"/>
      <w:bookmarkStart w:id="251" w:name="_Toc520356176"/>
      <w:bookmarkStart w:id="252" w:name="_Ref467307090"/>
      <w:r>
        <w:rPr>
          <w:rFonts w:hint="eastAsia" w:ascii="宋体" w:hAnsi="宋体" w:eastAsia="宋体" w:cs="宋体"/>
          <w:color w:val="auto"/>
          <w:sz w:val="24"/>
          <w:highlight w:val="none"/>
        </w:rPr>
        <w:t>.2 招标文件、中标人的投标文件及其澄清</w:t>
      </w:r>
      <w:r>
        <w:rPr>
          <w:rFonts w:hint="eastAsia" w:ascii="宋体" w:hAnsi="宋体" w:eastAsia="宋体" w:cs="宋体"/>
          <w:color w:val="auto"/>
          <w:sz w:val="24"/>
          <w:highlight w:val="none"/>
          <w:lang w:val="en-US" w:eastAsia="zh-CN"/>
        </w:rPr>
        <w:t>或修改</w:t>
      </w:r>
      <w:r>
        <w:rPr>
          <w:rFonts w:hint="eastAsia" w:ascii="宋体" w:hAnsi="宋体" w:eastAsia="宋体" w:cs="宋体"/>
          <w:color w:val="auto"/>
          <w:sz w:val="24"/>
          <w:highlight w:val="none"/>
        </w:rPr>
        <w:t>文件等，均为签订合同的依据</w:t>
      </w:r>
      <w:r>
        <w:rPr>
          <w:rFonts w:hint="eastAsia" w:ascii="宋体" w:hAnsi="宋体" w:eastAsia="宋体" w:cs="宋体"/>
          <w:color w:val="auto"/>
          <w:sz w:val="24"/>
          <w:highlight w:val="none"/>
          <w:lang w:eastAsia="zh-CN"/>
        </w:rPr>
        <w:t>。所签订的合同不得对招标文件确定的事项和中标人投标文件作实质性修改</w:t>
      </w:r>
      <w:r>
        <w:rPr>
          <w:rFonts w:hint="eastAsia" w:ascii="宋体" w:hAnsi="宋体" w:eastAsia="宋体" w:cs="宋体"/>
          <w:color w:val="auto"/>
          <w:sz w:val="24"/>
          <w:highlight w:val="none"/>
        </w:rPr>
        <w:t>。</w:t>
      </w:r>
    </w:p>
    <w:p w14:paraId="2505253B">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30.3 如中标人拒绝与采购人签订合同的，采购人或者采购代理机构可以不退还其投标保证金，并上报行政监督管理部门记入不良行为记录。</w:t>
      </w:r>
    </w:p>
    <w:p w14:paraId="49AC25DE">
      <w:pPr>
        <w:pStyle w:val="5"/>
        <w:pageBreakBefore w:val="0"/>
        <w:widowControl w:val="0"/>
        <w:kinsoku/>
        <w:wordWrap/>
        <w:overflowPunct/>
        <w:topLinePunct w:val="0"/>
        <w:bidi w:val="0"/>
        <w:snapToGrid/>
        <w:ind w:left="0" w:leftChars="0" w:firstLine="0" w:firstLineChars="0"/>
        <w:textAlignment w:val="auto"/>
        <w:rPr>
          <w:rFonts w:hint="eastAsia" w:ascii="宋体" w:hAnsi="宋体" w:eastAsia="宋体" w:cs="宋体"/>
          <w:color w:val="auto"/>
          <w:sz w:val="24"/>
          <w:szCs w:val="24"/>
          <w:highlight w:val="none"/>
        </w:rPr>
      </w:pPr>
      <w:bookmarkStart w:id="253" w:name="_Toc62194332"/>
      <w:bookmarkStart w:id="254" w:name="_Toc515647793"/>
      <w:bookmarkStart w:id="255" w:name="_Toc14080"/>
      <w:bookmarkStart w:id="256" w:name="_Toc22555"/>
      <w:bookmarkStart w:id="257" w:name="_Toc532473485"/>
      <w:r>
        <w:rPr>
          <w:rFonts w:hint="eastAsia" w:ascii="宋体" w:hAnsi="宋体" w:eastAsia="宋体" w:cs="宋体"/>
          <w:color w:val="auto"/>
          <w:sz w:val="24"/>
          <w:szCs w:val="24"/>
          <w:highlight w:val="none"/>
        </w:rPr>
        <w:t>31.  履约保证金</w:t>
      </w:r>
      <w:bookmarkEnd w:id="250"/>
      <w:bookmarkEnd w:id="251"/>
      <w:bookmarkEnd w:id="252"/>
      <w:bookmarkEnd w:id="253"/>
      <w:bookmarkEnd w:id="254"/>
      <w:bookmarkEnd w:id="255"/>
      <w:bookmarkEnd w:id="256"/>
      <w:bookmarkEnd w:id="257"/>
    </w:p>
    <w:p w14:paraId="191EAF22">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31.1  </w:t>
      </w:r>
      <w:r>
        <w:rPr>
          <w:rFonts w:hint="eastAsia" w:ascii="宋体" w:hAnsi="宋体" w:eastAsia="宋体" w:cs="宋体"/>
          <w:color w:val="auto"/>
          <w:sz w:val="24"/>
          <w:highlight w:val="none"/>
          <w:lang w:val="en-US" w:eastAsia="zh-CN"/>
        </w:rPr>
        <w:t>本项目不需要缴纳</w:t>
      </w:r>
      <w:r>
        <w:rPr>
          <w:rFonts w:hint="eastAsia" w:ascii="宋体" w:hAnsi="宋体" w:eastAsia="宋体" w:cs="宋体"/>
          <w:color w:val="auto"/>
          <w:sz w:val="24"/>
          <w:szCs w:val="24"/>
          <w:highlight w:val="none"/>
        </w:rPr>
        <w:t>履约保证金</w:t>
      </w:r>
      <w:r>
        <w:rPr>
          <w:rFonts w:hint="eastAsia" w:ascii="宋体" w:hAnsi="宋体" w:eastAsia="宋体" w:cs="宋体"/>
          <w:color w:val="auto"/>
          <w:sz w:val="24"/>
          <w:szCs w:val="24"/>
          <w:highlight w:val="none"/>
          <w:lang w:eastAsia="zh-CN"/>
        </w:rPr>
        <w:t>。</w:t>
      </w:r>
    </w:p>
    <w:p w14:paraId="580AF13F">
      <w:pPr>
        <w:pStyle w:val="5"/>
        <w:pageBreakBefore w:val="0"/>
        <w:widowControl w:val="0"/>
        <w:kinsoku/>
        <w:wordWrap/>
        <w:overflowPunct/>
        <w:topLinePunct w:val="0"/>
        <w:bidi w:val="0"/>
        <w:snapToGrid/>
        <w:ind w:left="0" w:leftChars="0" w:firstLine="0" w:firstLineChars="0"/>
        <w:textAlignment w:val="auto"/>
        <w:rPr>
          <w:rFonts w:hint="eastAsia" w:ascii="宋体" w:hAnsi="宋体" w:eastAsia="宋体" w:cs="宋体"/>
          <w:color w:val="auto"/>
          <w:sz w:val="24"/>
          <w:szCs w:val="24"/>
          <w:highlight w:val="none"/>
        </w:rPr>
      </w:pPr>
      <w:bookmarkStart w:id="258" w:name="_Toc518923098"/>
      <w:bookmarkStart w:id="259" w:name="_Toc62194333"/>
      <w:bookmarkStart w:id="260" w:name="_Toc2583659"/>
      <w:bookmarkStart w:id="261" w:name="_Toc29408"/>
      <w:bookmarkStart w:id="262" w:name="_Toc532473486"/>
      <w:bookmarkStart w:id="263" w:name="_Toc2582300"/>
      <w:bookmarkStart w:id="264" w:name="_Toc515647794"/>
      <w:bookmarkStart w:id="265" w:name="_Toc3090"/>
      <w:r>
        <w:rPr>
          <w:rFonts w:hint="eastAsia" w:ascii="宋体" w:hAnsi="宋体" w:eastAsia="宋体" w:cs="宋体"/>
          <w:color w:val="auto"/>
          <w:sz w:val="24"/>
          <w:szCs w:val="24"/>
          <w:highlight w:val="none"/>
        </w:rPr>
        <w:t>32.</w:t>
      </w:r>
      <w:bookmarkEnd w:id="258"/>
      <w:r>
        <w:rPr>
          <w:rFonts w:hint="eastAsia" w:ascii="宋体" w:hAnsi="宋体" w:eastAsia="宋体" w:cs="宋体"/>
          <w:color w:val="auto"/>
          <w:sz w:val="24"/>
          <w:szCs w:val="24"/>
          <w:highlight w:val="none"/>
        </w:rPr>
        <w:t xml:space="preserve">  预付款</w:t>
      </w:r>
      <w:bookmarkEnd w:id="259"/>
    </w:p>
    <w:p w14:paraId="0E9BA07C">
      <w:pPr>
        <w:pStyle w:val="5"/>
        <w:pageBreakBefore w:val="0"/>
        <w:widowControl w:val="0"/>
        <w:kinsoku/>
        <w:wordWrap/>
        <w:overflowPunct/>
        <w:topLinePunct w:val="0"/>
        <w:bidi w:val="0"/>
        <w:snapToGrid/>
        <w:ind w:left="0" w:leftChars="0" w:firstLine="0" w:firstLineChars="0"/>
        <w:textAlignment w:val="auto"/>
        <w:rPr>
          <w:rFonts w:hint="eastAsia" w:ascii="宋体" w:hAnsi="宋体" w:eastAsia="宋体" w:cs="宋体"/>
          <w:color w:val="auto"/>
          <w:sz w:val="24"/>
          <w:szCs w:val="24"/>
          <w:highlight w:val="none"/>
          <w:lang w:val="en-US" w:eastAsia="zh-CN"/>
        </w:rPr>
      </w:pPr>
      <w:bookmarkStart w:id="266" w:name="_Toc62194334"/>
      <w:r>
        <w:rPr>
          <w:rFonts w:hint="eastAsia" w:ascii="宋体" w:hAnsi="宋体" w:eastAsia="宋体" w:cs="宋体"/>
          <w:color w:val="auto"/>
          <w:sz w:val="24"/>
          <w:szCs w:val="24"/>
          <w:highlight w:val="none"/>
          <w:lang w:val="en-US" w:eastAsia="zh-CN"/>
        </w:rPr>
        <w:t>32.1 见前附表</w:t>
      </w:r>
    </w:p>
    <w:p w14:paraId="73586B10">
      <w:pPr>
        <w:pStyle w:val="5"/>
        <w:pageBreakBefore w:val="0"/>
        <w:widowControl w:val="0"/>
        <w:kinsoku/>
        <w:wordWrap/>
        <w:overflowPunct/>
        <w:topLinePunct w:val="0"/>
        <w:bidi w:val="0"/>
        <w:snapToGrid/>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招标代理服务费</w:t>
      </w:r>
      <w:bookmarkEnd w:id="260"/>
      <w:bookmarkEnd w:id="266"/>
    </w:p>
    <w:p w14:paraId="6598E411">
      <w:pPr>
        <w:pageBreakBefore w:val="0"/>
        <w:widowControl w:val="0"/>
        <w:kinsoku/>
        <w:wordWrap/>
        <w:overflowPunct/>
        <w:topLinePunct w:val="0"/>
        <w:bidi w:val="0"/>
        <w:snapToGrid/>
        <w:spacing w:line="360" w:lineRule="auto"/>
        <w:ind w:left="0" w:leftChars="0" w:firstLine="240" w:firstLineChars="1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按照</w:t>
      </w:r>
      <w:r>
        <w:rPr>
          <w:rFonts w:hint="eastAsia" w:ascii="宋体" w:hAnsi="宋体" w:eastAsia="宋体" w:cs="宋体"/>
          <w:color w:val="auto"/>
          <w:sz w:val="24"/>
          <w:highlight w:val="none"/>
          <w:u w:val="single"/>
        </w:rPr>
        <w:t>投标人须知前附表</w:t>
      </w:r>
      <w:r>
        <w:rPr>
          <w:rFonts w:hint="eastAsia" w:ascii="宋体" w:hAnsi="宋体" w:eastAsia="宋体" w:cs="宋体"/>
          <w:color w:val="auto"/>
          <w:sz w:val="24"/>
          <w:highlight w:val="none"/>
        </w:rPr>
        <w:t>规定执行。</w:t>
      </w:r>
    </w:p>
    <w:p w14:paraId="2E66A9A3">
      <w:pPr>
        <w:pStyle w:val="5"/>
        <w:pageBreakBefore w:val="0"/>
        <w:widowControl w:val="0"/>
        <w:kinsoku/>
        <w:wordWrap/>
        <w:overflowPunct/>
        <w:topLinePunct w:val="0"/>
        <w:bidi w:val="0"/>
        <w:snapToGrid/>
        <w:ind w:left="0" w:leftChars="0" w:firstLine="0" w:firstLineChars="0"/>
        <w:textAlignment w:val="auto"/>
        <w:rPr>
          <w:rFonts w:hint="eastAsia" w:ascii="宋体" w:hAnsi="宋体" w:eastAsia="宋体" w:cs="宋体"/>
          <w:color w:val="auto"/>
          <w:sz w:val="24"/>
          <w:szCs w:val="24"/>
          <w:highlight w:val="none"/>
        </w:rPr>
      </w:pPr>
      <w:bookmarkStart w:id="267" w:name="_Toc518923099"/>
      <w:bookmarkStart w:id="268" w:name="_Toc2583660"/>
      <w:bookmarkStart w:id="269" w:name="_Toc62194335"/>
      <w:r>
        <w:rPr>
          <w:rFonts w:hint="eastAsia" w:ascii="宋体" w:hAnsi="宋体" w:eastAsia="宋体" w:cs="宋体"/>
          <w:color w:val="auto"/>
          <w:sz w:val="24"/>
          <w:szCs w:val="24"/>
          <w:highlight w:val="none"/>
        </w:rPr>
        <w:t>34. 政府采购信用担保</w:t>
      </w:r>
      <w:bookmarkEnd w:id="267"/>
      <w:bookmarkEnd w:id="268"/>
      <w:bookmarkEnd w:id="269"/>
      <w:r>
        <w:rPr>
          <w:rFonts w:hint="eastAsia" w:ascii="宋体" w:hAnsi="宋体" w:eastAsia="宋体" w:cs="宋体"/>
          <w:color w:val="auto"/>
          <w:sz w:val="24"/>
          <w:szCs w:val="24"/>
          <w:highlight w:val="none"/>
        </w:rPr>
        <w:t>及融资</w:t>
      </w:r>
    </w:p>
    <w:p w14:paraId="3955D211">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34.1 投标人递交的履约担保函应符合本招标文件的规定。</w:t>
      </w:r>
    </w:p>
    <w:p w14:paraId="2F6CE5E8">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34.2 为缓解中小企业融资困难，陕西省财政厅出台了《陕西省中小企业政府采购信用融资办法》（陕财办采﹝2018﹞23号），中标人如有融资需求，可登录“陕西省政府采购网-陕西省政府采购信用融资平台（http://www.ccgp-shaanxi.gov.cn/zcdservice/zcd/shanxi/）”了解详情。</w:t>
      </w:r>
    </w:p>
    <w:p w14:paraId="63BE5C8F">
      <w:pPr>
        <w:pStyle w:val="8"/>
        <w:pageBreakBefore w:val="0"/>
        <w:widowControl w:val="0"/>
        <w:kinsoku/>
        <w:wordWrap/>
        <w:overflowPunct/>
        <w:topLinePunct w:val="0"/>
        <w:bidi w:val="0"/>
        <w:snapToGrid/>
        <w:spacing w:line="360" w:lineRule="auto"/>
        <w:ind w:left="0" w:lef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413F316E">
      <w:pPr>
        <w:pStyle w:val="8"/>
        <w:pageBreakBefore w:val="0"/>
        <w:widowControl w:val="0"/>
        <w:kinsoku/>
        <w:wordWrap/>
        <w:overflowPunct/>
        <w:topLinePunct w:val="0"/>
        <w:bidi w:val="0"/>
        <w:snapToGrid/>
        <w:spacing w:line="360" w:lineRule="auto"/>
        <w:ind w:left="0" w:lef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325C59DF">
      <w:pPr>
        <w:pStyle w:val="8"/>
        <w:pageBreakBefore w:val="0"/>
        <w:widowControl w:val="0"/>
        <w:kinsoku/>
        <w:wordWrap/>
        <w:overflowPunct/>
        <w:topLinePunct w:val="0"/>
        <w:bidi w:val="0"/>
        <w:snapToGrid/>
        <w:spacing w:line="360" w:lineRule="auto"/>
        <w:ind w:left="0" w:lef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60A20761">
      <w:pPr>
        <w:pStyle w:val="8"/>
        <w:pageBreakBefore w:val="0"/>
        <w:widowControl w:val="0"/>
        <w:kinsoku/>
        <w:wordWrap/>
        <w:overflowPunct/>
        <w:topLinePunct w:val="0"/>
        <w:bidi w:val="0"/>
        <w:snapToGrid/>
        <w:spacing w:line="360" w:lineRule="auto"/>
        <w:ind w:left="0" w:lef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040A3EC2">
      <w:pPr>
        <w:pStyle w:val="8"/>
        <w:pageBreakBefore w:val="0"/>
        <w:widowControl w:val="0"/>
        <w:kinsoku/>
        <w:wordWrap/>
        <w:overflowPunct/>
        <w:topLinePunct w:val="0"/>
        <w:bidi w:val="0"/>
        <w:snapToGrid/>
        <w:spacing w:line="360" w:lineRule="auto"/>
        <w:ind w:left="0" w:lef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5854B18B">
      <w:pPr>
        <w:pStyle w:val="8"/>
        <w:spacing w:line="360" w:lineRule="auto"/>
        <w:ind w:left="840" w:leftChars="400"/>
        <w:rPr>
          <w:rFonts w:hint="eastAsia" w:ascii="宋体" w:hAnsi="宋体" w:eastAsia="宋体" w:cs="宋体"/>
          <w:color w:val="auto"/>
          <w:highlight w:val="none"/>
        </w:rPr>
      </w:pPr>
      <w:r>
        <w:rPr>
          <w:rFonts w:hint="eastAsia" w:ascii="宋体" w:hAnsi="宋体" w:eastAsia="宋体" w:cs="宋体"/>
          <w:color w:val="auto"/>
          <w:highlight w:val="none"/>
        </w:rPr>
        <w:t>业务流程简图如下：</w:t>
      </w:r>
    </w:p>
    <w:p w14:paraId="5E3AD901">
      <w:pPr>
        <w:pStyle w:val="8"/>
        <w:spacing w:line="360" w:lineRule="auto"/>
        <w:rPr>
          <w:rFonts w:hint="eastAsia" w:eastAsia="宋体" w:cs="宋体"/>
          <w:color w:val="auto"/>
          <w:highlight w:val="none"/>
        </w:rPr>
      </w:pPr>
      <w:r>
        <w:rPr>
          <w:rFonts w:hint="eastAsia" w:eastAsia="宋体" w:cs="宋体"/>
          <w:color w:val="auto"/>
          <w:highlight w:val="none"/>
        </w:rPr>
        <w:drawing>
          <wp:inline distT="0" distB="0" distL="114300" distR="114300">
            <wp:extent cx="5756275" cy="3310255"/>
            <wp:effectExtent l="0" t="0" r="15875" b="4445"/>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15"/>
                    <a:stretch>
                      <a:fillRect/>
                    </a:stretch>
                  </pic:blipFill>
                  <pic:spPr>
                    <a:xfrm>
                      <a:off x="0" y="0"/>
                      <a:ext cx="5756275" cy="3310255"/>
                    </a:xfrm>
                    <a:prstGeom prst="rect">
                      <a:avLst/>
                    </a:prstGeom>
                    <a:noFill/>
                    <a:ln>
                      <a:noFill/>
                    </a:ln>
                  </pic:spPr>
                </pic:pic>
              </a:graphicData>
            </a:graphic>
          </wp:inline>
        </w:drawing>
      </w:r>
    </w:p>
    <w:p w14:paraId="31E12599">
      <w:pPr>
        <w:pStyle w:val="8"/>
        <w:spacing w:line="360" w:lineRule="auto"/>
        <w:rPr>
          <w:rFonts w:hint="eastAsia" w:eastAsia="宋体" w:cs="宋体"/>
          <w:color w:val="auto"/>
          <w:highlight w:val="none"/>
        </w:rPr>
      </w:pPr>
      <w:r>
        <w:rPr>
          <w:rFonts w:hint="eastAsia" w:eastAsia="宋体" w:cs="宋体"/>
          <w:color w:val="auto"/>
          <w:highlight w:val="none"/>
        </w:rPr>
        <w:drawing>
          <wp:inline distT="0" distB="0" distL="114300" distR="114300">
            <wp:extent cx="5758815" cy="3242310"/>
            <wp:effectExtent l="0" t="0" r="13335" b="15240"/>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pic:cNvPicPr>
                      <a:picLocks noChangeAspect="1"/>
                    </pic:cNvPicPr>
                  </pic:nvPicPr>
                  <pic:blipFill>
                    <a:blip r:embed="rId16"/>
                    <a:stretch>
                      <a:fillRect/>
                    </a:stretch>
                  </pic:blipFill>
                  <pic:spPr>
                    <a:xfrm>
                      <a:off x="0" y="0"/>
                      <a:ext cx="5758815" cy="3242310"/>
                    </a:xfrm>
                    <a:prstGeom prst="rect">
                      <a:avLst/>
                    </a:prstGeom>
                    <a:noFill/>
                    <a:ln>
                      <a:noFill/>
                    </a:ln>
                  </pic:spPr>
                </pic:pic>
              </a:graphicData>
            </a:graphic>
          </wp:inline>
        </w:drawing>
      </w:r>
    </w:p>
    <w:p w14:paraId="596DE23D">
      <w:pPr>
        <w:pStyle w:val="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17E6E3DF">
      <w:pPr>
        <w:pStyle w:val="8"/>
        <w:rPr>
          <w:rFonts w:hint="eastAsia" w:ascii="宋体" w:hAnsi="宋体" w:eastAsia="宋体" w:cs="宋体"/>
          <w:color w:val="auto"/>
          <w:highlight w:val="none"/>
        </w:rPr>
      </w:pPr>
      <w:r>
        <w:rPr>
          <w:rFonts w:hint="eastAsia" w:ascii="宋体" w:hAnsi="宋体" w:eastAsia="宋体" w:cs="宋体"/>
          <w:color w:val="auto"/>
          <w:highlight w:val="none"/>
        </w:rPr>
        <w:t xml:space="preserve"> 省级政府采购项目贷款银行信息：</w:t>
      </w:r>
    </w:p>
    <w:p w14:paraId="73CE4F70">
      <w:pPr>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szCs w:val="21"/>
          <w:highlight w:val="none"/>
        </w:rPr>
        <w:t>一、陕西建行（E政通）</w:t>
      </w:r>
    </w:p>
    <w:p w14:paraId="2F218D07">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陕西省分行营业部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西安市南广济街38号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白玉皓</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13201603166</w:t>
      </w:r>
    </w:p>
    <w:p w14:paraId="51C02CC6">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西安莲湖路支行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西安市莲湖路35号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刘  冲</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17702902131</w:t>
      </w:r>
    </w:p>
    <w:p w14:paraId="65B08CD1">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西安曲江支行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西安市雁塔南路2216号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樊理君</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18691568151</w:t>
      </w:r>
    </w:p>
    <w:p w14:paraId="0E296E4A">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西安高新区支行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西安市高新路42号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卞斯超</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15191075651</w:t>
      </w:r>
    </w:p>
    <w:p w14:paraId="16325C18">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西安经开区支行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西安市未央路125号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惠  媛</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17792256100</w:t>
      </w:r>
    </w:p>
    <w:p w14:paraId="332BF44F">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西安南大街支行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西安市南大街15号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乔  鉴</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18089136919</w:t>
      </w:r>
    </w:p>
    <w:p w14:paraId="3206EF05">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西安和平路支行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西安市和平路101号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陈  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18691816821</w:t>
      </w:r>
    </w:p>
    <w:p w14:paraId="006AEF27">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西安兴庆路支行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西安市兴庆路61号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李  妍</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13892880386</w:t>
      </w:r>
    </w:p>
    <w:p w14:paraId="20EF4C1D">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西安新城支行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西安市南新街29号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朱子君</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18629286269</w:t>
      </w:r>
    </w:p>
    <w:p w14:paraId="28F56035">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西安长安区支行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西安市长安区青年街2号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王淑芸</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13572289603</w:t>
      </w:r>
    </w:p>
    <w:p w14:paraId="4A950967">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咸阳分行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咸阳市西兰路4号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邰  洋</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13299079906</w:t>
      </w:r>
    </w:p>
    <w:p w14:paraId="49A0DAAA">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宝鸡分行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宝鸡市红旗路36号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李  倩</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18629019817</w:t>
      </w:r>
    </w:p>
    <w:p w14:paraId="5489DCDC">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铜川分行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铜川市新区正阳路与长虹路十字</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张小波</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18691932636</w:t>
      </w:r>
    </w:p>
    <w:p w14:paraId="4AFCA9D1">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榆林分行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榆林市高新技术产业园区创业大厦</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张君君</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15991929275</w:t>
      </w:r>
    </w:p>
    <w:p w14:paraId="32E587F6">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延安分行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延安市宝塔区中心街</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陈进佃</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15609110557</w:t>
      </w:r>
    </w:p>
    <w:p w14:paraId="767AA593">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汉中分行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汉中市石灰巷21号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王晨旭</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15319375850</w:t>
      </w:r>
    </w:p>
    <w:p w14:paraId="0C1703E0">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安康分行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安康市育才路102号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张少帅</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13165762680</w:t>
      </w:r>
    </w:p>
    <w:p w14:paraId="441DFFCA">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商洛分行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商洛市名人街广电大楼下</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郭  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17809267188</w:t>
      </w:r>
    </w:p>
    <w:p w14:paraId="079DC80F">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二、北京银行（政府订单贷）</w:t>
      </w:r>
      <w:r>
        <w:rPr>
          <w:rFonts w:hint="eastAsia" w:ascii="宋体" w:hAnsi="宋体" w:eastAsia="宋体" w:cs="宋体"/>
          <w:b/>
          <w:color w:val="auto"/>
          <w:szCs w:val="21"/>
          <w:highlight w:val="none"/>
        </w:rPr>
        <w:tab/>
      </w:r>
      <w:r>
        <w:rPr>
          <w:rFonts w:hint="eastAsia" w:ascii="宋体" w:hAnsi="宋体" w:eastAsia="宋体" w:cs="宋体"/>
          <w:b/>
          <w:color w:val="auto"/>
          <w:szCs w:val="21"/>
          <w:highlight w:val="none"/>
        </w:rPr>
        <w:tab/>
      </w:r>
      <w:r>
        <w:rPr>
          <w:rFonts w:hint="eastAsia" w:ascii="宋体" w:hAnsi="宋体" w:eastAsia="宋体" w:cs="宋体"/>
          <w:b/>
          <w:color w:val="auto"/>
          <w:szCs w:val="21"/>
          <w:highlight w:val="none"/>
        </w:rPr>
        <w:tab/>
      </w:r>
      <w:r>
        <w:rPr>
          <w:rFonts w:hint="eastAsia" w:ascii="宋体" w:hAnsi="宋体" w:eastAsia="宋体" w:cs="宋体"/>
          <w:b/>
          <w:color w:val="auto"/>
          <w:szCs w:val="21"/>
          <w:highlight w:val="none"/>
        </w:rPr>
        <w:tab/>
      </w:r>
    </w:p>
    <w:p w14:paraId="77222B75">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西安分行营业部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刘晓伟</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总经理助理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029-61828763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18066630518</w:t>
      </w:r>
    </w:p>
    <w:p w14:paraId="5F73FD6D">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西安高新开发区支行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梁凡</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行长助理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029-61828531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18681945597</w:t>
      </w:r>
    </w:p>
    <w:p w14:paraId="2DD57314">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西安曲江文创支行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蒋超</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室经理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029-65667366</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15891737329</w:t>
      </w:r>
    </w:p>
    <w:p w14:paraId="00FA562C">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西安经济技术开发区支行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孟庆龙</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行长助理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029-61828272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13991990373</w:t>
      </w:r>
    </w:p>
    <w:p w14:paraId="228A26C1">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西安长缨路支行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范凯</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副行长</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029-68717760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13991315609</w:t>
      </w:r>
    </w:p>
    <w:p w14:paraId="65E75043">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长安区西长安街支行   </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陈明</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行长助理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029-85724301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18149209660</w:t>
      </w:r>
    </w:p>
    <w:p w14:paraId="63E81AB6">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泾渭工业园支行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杨奕</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室经理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029-68213773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15934802021</w:t>
      </w:r>
    </w:p>
    <w:p w14:paraId="096C180E">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北客站科技支行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周洁</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副行长</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029-61828129</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18629518636</w:t>
      </w:r>
    </w:p>
    <w:p w14:paraId="682B4334">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解放路支行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王莉</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行长助理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029-61828185</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15802966196</w:t>
      </w:r>
    </w:p>
    <w:p w14:paraId="669F0552">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延安分行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奥宝森</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室经理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0911-8076038</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15592925222</w:t>
      </w:r>
    </w:p>
    <w:p w14:paraId="3AB1ABF9">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三、工商银行（政采贷）</w:t>
      </w:r>
    </w:p>
    <w:p w14:paraId="17C3917B">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榆林分行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张岭</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客户经理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0912-6183827</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15353386777</w:t>
      </w:r>
    </w:p>
    <w:p w14:paraId="1C548F98">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宝鸡分行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郭进</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客户经理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0917-3238282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18991749262</w:t>
      </w:r>
    </w:p>
    <w:p w14:paraId="4CB20986">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安康分行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郑婕</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客户经理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0915-3236275</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15667856663</w:t>
      </w:r>
    </w:p>
    <w:p w14:paraId="4A262E47">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铜川分行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彭东东</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客户经理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0919-2151878</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17392898832</w:t>
      </w:r>
    </w:p>
    <w:p w14:paraId="47154F66">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延安分行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党莹</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经理助理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0911-2380826</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15291142933</w:t>
      </w:r>
    </w:p>
    <w:p w14:paraId="5297CF5C">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汉中分行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杨薇薇</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部门副经理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0916-2606773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18591607453</w:t>
      </w:r>
    </w:p>
    <w:p w14:paraId="4BD8D795">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渭南分行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张欢</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客户经理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09132095066</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15229730006</w:t>
      </w:r>
    </w:p>
    <w:p w14:paraId="0C4698D7">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咸阳分行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袁霖</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客户经理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029-33259370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18591006506</w:t>
      </w:r>
    </w:p>
    <w:p w14:paraId="47D51682">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商洛分行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张铮</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经理助理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0914-2310908</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18691410305</w:t>
      </w:r>
    </w:p>
    <w:p w14:paraId="4F5CACDF">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商洛分行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余勇博</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客户经理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0914-2310908</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18092802280</w:t>
      </w:r>
    </w:p>
    <w:p w14:paraId="4BE5B28F">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巩越</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客户经理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029-87609419</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18629450680</w:t>
      </w:r>
    </w:p>
    <w:p w14:paraId="23A83442">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四、中信银行 （政采e贷）</w:t>
      </w:r>
    </w:p>
    <w:p w14:paraId="24441D8F">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西安市朱雀大街中段1号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曹晓聪13759957407 魏敏18681897602</w:t>
      </w:r>
    </w:p>
    <w:p w14:paraId="04AFD6A6">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咸阳分行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秦皇中路绿苑大厦</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杭群13992016859</w:t>
      </w:r>
    </w:p>
    <w:p w14:paraId="3583566A">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宝鸡分行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宝鸡市高新大道50号财富大厦B座</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王尧13636762976</w:t>
      </w:r>
    </w:p>
    <w:p w14:paraId="2BD0EE06">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渭南分行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渭南市朝阳大街中段信达广场世纪明珠大厦</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杨阳</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18191815559</w:t>
      </w:r>
    </w:p>
    <w:p w14:paraId="5E0D6162">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榆林分行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榆林市高新区长兴路248号中信银行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刘洪巍</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13636885556</w:t>
      </w:r>
    </w:p>
    <w:p w14:paraId="723DB7FE">
      <w:pPr>
        <w:ind w:left="1680" w:leftChars="200" w:hanging="1260" w:hanging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汉中分行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汉中市汉台区西二环路与劳动西路东南汉中滨江•公园壹号（产业孵化区）3B号楼</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陈真</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18509165068</w:t>
      </w:r>
    </w:p>
    <w:p w14:paraId="3A1029B9">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五、中国光大银行（阳光政采贷）</w:t>
      </w:r>
      <w:r>
        <w:rPr>
          <w:rFonts w:hint="eastAsia" w:ascii="宋体" w:hAnsi="宋体" w:eastAsia="宋体" w:cs="宋体"/>
          <w:b/>
          <w:color w:val="auto"/>
          <w:szCs w:val="21"/>
          <w:highlight w:val="none"/>
        </w:rPr>
        <w:tab/>
      </w:r>
      <w:r>
        <w:rPr>
          <w:rFonts w:hint="eastAsia" w:ascii="宋体" w:hAnsi="宋体" w:eastAsia="宋体" w:cs="宋体"/>
          <w:b/>
          <w:color w:val="auto"/>
          <w:szCs w:val="21"/>
          <w:highlight w:val="none"/>
        </w:rPr>
        <w:tab/>
      </w:r>
      <w:r>
        <w:rPr>
          <w:rFonts w:hint="eastAsia" w:ascii="宋体" w:hAnsi="宋体" w:eastAsia="宋体" w:cs="宋体"/>
          <w:b/>
          <w:color w:val="auto"/>
          <w:szCs w:val="21"/>
          <w:highlight w:val="none"/>
        </w:rPr>
        <w:tab/>
      </w:r>
      <w:r>
        <w:rPr>
          <w:rFonts w:hint="eastAsia" w:ascii="宋体" w:hAnsi="宋体" w:eastAsia="宋体" w:cs="宋体"/>
          <w:b/>
          <w:color w:val="auto"/>
          <w:szCs w:val="21"/>
          <w:highlight w:val="none"/>
        </w:rPr>
        <w:tab/>
      </w:r>
    </w:p>
    <w:p w14:paraId="34B26875">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宝鸡分行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杨 欢</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0917-3451055</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18329677163</w:t>
      </w:r>
    </w:p>
    <w:p w14:paraId="71484F41">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榆林分行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尚云鹏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0912-3548019</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18690473126</w:t>
      </w:r>
    </w:p>
    <w:p w14:paraId="1B4CF2E4">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延安分行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汪昊田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0911-8011831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13509115500</w:t>
      </w:r>
    </w:p>
    <w:p w14:paraId="410CD497">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咸阳分行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侯 佳</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32100021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15229500088</w:t>
      </w:r>
    </w:p>
    <w:p w14:paraId="3E9F7461">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营销一部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李 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87236311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13772031109</w:t>
      </w:r>
    </w:p>
    <w:p w14:paraId="4B016221">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营销二部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朱翰辰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87236201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17791788078</w:t>
      </w:r>
    </w:p>
    <w:p w14:paraId="48465C3E">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营业部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张翔琮</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87236306</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18829235568</w:t>
      </w:r>
    </w:p>
    <w:p w14:paraId="577130D7">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电子城支行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张曼玉</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88247071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18009298787</w:t>
      </w:r>
    </w:p>
    <w:p w14:paraId="307F9AB3">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明德门支行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王 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85350770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13991249430</w:t>
      </w:r>
    </w:p>
    <w:p w14:paraId="053731EA">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东大街支行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刘 林</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87438914</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15029673754</w:t>
      </w:r>
    </w:p>
    <w:p w14:paraId="0B63AC91">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经济开发区支行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陆家俊</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86525176</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18629303397</w:t>
      </w:r>
    </w:p>
    <w:p w14:paraId="2E4DE608">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凤城九路支行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宋 宜</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89155022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18966911622</w:t>
      </w:r>
    </w:p>
    <w:p w14:paraId="22F01127">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兴庆路支行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司 洋</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83290033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18629251819</w:t>
      </w:r>
    </w:p>
    <w:p w14:paraId="7432586E">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长乐西路支行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张 超</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82566208</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15877390201</w:t>
      </w:r>
    </w:p>
    <w:p w14:paraId="1415FF2D">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友谊路支行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贠程敏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88422067</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18792795210</w:t>
      </w:r>
    </w:p>
    <w:p w14:paraId="6C0DCE04">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边家村支行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王 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85251673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15309223048</w:t>
      </w:r>
    </w:p>
    <w:p w14:paraId="38CB3C1D">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北关支行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菅新培</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86248203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18092169361</w:t>
      </w:r>
    </w:p>
    <w:p w14:paraId="4CB6A82D">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南郊支行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程 拓</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85265234</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13772491661</w:t>
      </w:r>
    </w:p>
    <w:p w14:paraId="385F8A0C">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西关正街</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马 瑜</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89548109</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13772337373</w:t>
      </w:r>
    </w:p>
    <w:p w14:paraId="16F9AC84">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丈八东路支行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杨筱凡</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81026910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15129044185</w:t>
      </w:r>
    </w:p>
    <w:p w14:paraId="247B2B25">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雁塔路支行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闫梓闶</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82222501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18691561524</w:t>
      </w:r>
    </w:p>
    <w:p w14:paraId="3180B862">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唐延路支行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尉二宝</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88329478</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13991930150</w:t>
      </w:r>
    </w:p>
    <w:p w14:paraId="13E538EE">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枫林绿洲支行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杨 嘉</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87302120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13609199490</w:t>
      </w:r>
    </w:p>
    <w:p w14:paraId="39171F93">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南关正街支行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郭 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85230722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18066610983</w:t>
      </w:r>
    </w:p>
    <w:p w14:paraId="1B10FB65">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南二环支行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刘 超</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88362861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18192080396</w:t>
      </w:r>
    </w:p>
    <w:p w14:paraId="5597AAB2">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曲江支行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田 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81205890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13991937977</w:t>
      </w:r>
    </w:p>
    <w:p w14:paraId="08EA3961">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太白路支行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马振林</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68912880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15353736656</w:t>
      </w:r>
    </w:p>
    <w:p w14:paraId="291B9B22">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明光路支行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刘二渭</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81623506</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13201793405</w:t>
      </w:r>
    </w:p>
    <w:p w14:paraId="14AD4EF0">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凤城二路支行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张 洋</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86680267</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13720423343</w:t>
      </w:r>
    </w:p>
    <w:p w14:paraId="183646F4">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昆明路支行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张 洁</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84592506</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13991821278</w:t>
      </w:r>
    </w:p>
    <w:p w14:paraId="724EF762">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丈八北路支行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郭 浩</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81875192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15667087662</w:t>
      </w:r>
    </w:p>
    <w:p w14:paraId="60A7D0D9">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新城支行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余振东</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87251680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18066617238</w:t>
      </w:r>
    </w:p>
    <w:p w14:paraId="4AB56D00">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六、浦发银行 （政采e贷）</w:t>
      </w:r>
    </w:p>
    <w:p w14:paraId="5E33AF0F">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吴晨雨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客户经理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029-63603803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15991724645</w:t>
      </w:r>
    </w:p>
    <w:p w14:paraId="3107BCBE">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陈福全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客户经理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029-63603441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17782511994</w:t>
      </w:r>
    </w:p>
    <w:p w14:paraId="75CBEEE0">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韩瑾</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客户经理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029-63603443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18202909790</w:t>
      </w:r>
    </w:p>
    <w:p w14:paraId="1A21642B">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李瑞雪</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客户经理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029-63603445</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18220862398</w:t>
      </w:r>
    </w:p>
    <w:p w14:paraId="13F7059C">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榆林分行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陈晓晓</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公司业务部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0912-2216068</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15691269965</w:t>
      </w:r>
    </w:p>
    <w:p w14:paraId="65B124A2">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榆林分行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郭小东</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公司业务部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0912-2216008</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15291820586</w:t>
      </w:r>
    </w:p>
    <w:p w14:paraId="13EA7C27">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宝鸡分行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张一岚</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公司业务部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0917-8662919 </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18690008816</w:t>
      </w:r>
    </w:p>
    <w:p w14:paraId="5DB2F609">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宝鸡分行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朱强</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公司业务部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0917-8662926 </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13909176381</w:t>
      </w:r>
    </w:p>
    <w:p w14:paraId="0BB58CAD">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渭南分行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王晓峰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公司业务部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0913-3357080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13992363166</w:t>
      </w:r>
    </w:p>
    <w:p w14:paraId="5A51C9EF">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咸阳分行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薛晗</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公司业务部</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029-32083788</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15109226216</w:t>
      </w:r>
    </w:p>
    <w:p w14:paraId="57FD8A9C">
      <w:pPr>
        <w:rPr>
          <w:rFonts w:hint="eastAsia" w:ascii="宋体" w:hAnsi="宋体" w:eastAsia="宋体" w:cs="宋体"/>
          <w:color w:val="auto"/>
          <w:szCs w:val="21"/>
          <w:highlight w:val="none"/>
        </w:rPr>
      </w:pPr>
    </w:p>
    <w:p w14:paraId="28E0F22D">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七、兴业银行（政采贷）</w:t>
      </w:r>
    </w:p>
    <w:p w14:paraId="6468D56E">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朱靖</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总监</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029-87482998</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13363979983</w:t>
      </w:r>
    </w:p>
    <w:p w14:paraId="3EED957C">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八、中国民生银行（政采贷）</w:t>
      </w:r>
    </w:p>
    <w:p w14:paraId="6784F7FE">
      <w:pPr>
        <w:ind w:left="2310" w:leftChars="200" w:hanging="1890" w:hangingChars="9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民生银行西安分行  联系人：陈经理 联系电话：61815275 /18821669199</w:t>
      </w:r>
    </w:p>
    <w:p w14:paraId="6CCDBA79">
      <w:pPr>
        <w:ind w:left="2310" w:leftChars="200" w:hanging="1890" w:hangingChars="9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联系人：王经理 联系电话：61815280 /18591953690 </w:t>
      </w:r>
    </w:p>
    <w:p w14:paraId="72155063">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九、浙商银行 （政采贷）</w:t>
      </w:r>
    </w:p>
    <w:p w14:paraId="6F8E431C">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西安分行</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西安市雁塔区科技路259号</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曹金辉</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18710993980</w:t>
      </w:r>
    </w:p>
    <w:p w14:paraId="32F04CEB">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十、 招商银行（政采贷） </w:t>
      </w:r>
    </w:p>
    <w:p w14:paraId="2E36437D">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招商银行西安分行   联系人：任瑾；85438988</w:t>
      </w:r>
    </w:p>
    <w:p w14:paraId="311CD38B">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十一、 长安银行（小微贷） </w:t>
      </w:r>
    </w:p>
    <w:p w14:paraId="4B0FAB5A">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长安银行西安曲江新区支行 地址：西安市曲江新区雁南一路3号  </w:t>
      </w:r>
    </w:p>
    <w:p w14:paraId="731AA9AE">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联系人：陈瑶 13629266833 </w:t>
      </w:r>
    </w:p>
    <w:p w14:paraId="08B1C402">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十二、网商银行（合同贷）</w:t>
      </w:r>
    </w:p>
    <w:p w14:paraId="7CFA88EC">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十三、中国邮政储蓄银行陕西省分行（政采贷）</w:t>
      </w:r>
    </w:p>
    <w:p w14:paraId="4565BD25">
      <w:pPr>
        <w:pStyle w:val="8"/>
        <w:rPr>
          <w:rFonts w:hint="eastAsia" w:ascii="宋体" w:hAnsi="宋体" w:eastAsia="宋体" w:cs="宋体"/>
          <w:color w:val="auto"/>
          <w:highlight w:val="none"/>
        </w:rPr>
      </w:pPr>
      <w:r>
        <w:rPr>
          <w:rFonts w:hint="eastAsia" w:ascii="宋体" w:hAnsi="宋体" w:eastAsia="宋体" w:cs="宋体"/>
          <w:color w:val="auto"/>
          <w:highlight w:val="none"/>
        </w:rPr>
        <w:t>渭南市政府采购贷款银行信息：</w:t>
      </w:r>
    </w:p>
    <w:tbl>
      <w:tblPr>
        <w:tblStyle w:val="15"/>
        <w:tblW w:w="4733" w:type="pct"/>
        <w:tblInd w:w="108" w:type="dxa"/>
        <w:tblLayout w:type="autofit"/>
        <w:tblCellMar>
          <w:top w:w="0" w:type="dxa"/>
          <w:left w:w="108" w:type="dxa"/>
          <w:bottom w:w="0" w:type="dxa"/>
          <w:right w:w="108" w:type="dxa"/>
        </w:tblCellMar>
      </w:tblPr>
      <w:tblGrid>
        <w:gridCol w:w="1221"/>
        <w:gridCol w:w="2208"/>
        <w:gridCol w:w="2873"/>
        <w:gridCol w:w="2488"/>
      </w:tblGrid>
      <w:tr w14:paraId="7060C0F7">
        <w:tblPrEx>
          <w:tblCellMar>
            <w:top w:w="0" w:type="dxa"/>
            <w:left w:w="108" w:type="dxa"/>
            <w:bottom w:w="0" w:type="dxa"/>
            <w:right w:w="108" w:type="dxa"/>
          </w:tblCellMar>
        </w:tblPrEx>
        <w:trPr>
          <w:trHeight w:val="558" w:hRule="atLeast"/>
        </w:trPr>
        <w:tc>
          <w:tcPr>
            <w:tcW w:w="695" w:type="pct"/>
            <w:tcBorders>
              <w:top w:val="single" w:color="000000" w:sz="4" w:space="0"/>
              <w:left w:val="single" w:color="000000" w:sz="4" w:space="0"/>
              <w:bottom w:val="single" w:color="000000" w:sz="4" w:space="0"/>
              <w:right w:val="single" w:color="000000" w:sz="4" w:space="0"/>
            </w:tcBorders>
            <w:noWrap/>
            <w:vAlign w:val="center"/>
          </w:tcPr>
          <w:p w14:paraId="7C51DFB5">
            <w:pPr>
              <w:widowControl/>
              <w:spacing w:line="240" w:lineRule="exact"/>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序号</w:t>
            </w:r>
          </w:p>
        </w:tc>
        <w:tc>
          <w:tcPr>
            <w:tcW w:w="1256" w:type="pct"/>
            <w:tcBorders>
              <w:top w:val="single" w:color="000000" w:sz="4" w:space="0"/>
              <w:left w:val="single" w:color="000000" w:sz="4" w:space="0"/>
              <w:bottom w:val="single" w:color="000000" w:sz="4" w:space="0"/>
              <w:right w:val="single" w:color="000000" w:sz="4" w:space="0"/>
            </w:tcBorders>
            <w:noWrap/>
            <w:vAlign w:val="center"/>
          </w:tcPr>
          <w:p w14:paraId="12A58462">
            <w:pPr>
              <w:widowControl/>
              <w:spacing w:line="240" w:lineRule="exact"/>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单位名称</w:t>
            </w:r>
          </w:p>
        </w:tc>
        <w:tc>
          <w:tcPr>
            <w:tcW w:w="1634" w:type="pct"/>
            <w:tcBorders>
              <w:top w:val="single" w:color="000000" w:sz="4" w:space="0"/>
              <w:left w:val="single" w:color="000000" w:sz="4" w:space="0"/>
              <w:bottom w:val="single" w:color="000000" w:sz="4" w:space="0"/>
              <w:right w:val="single" w:color="000000" w:sz="4" w:space="0"/>
            </w:tcBorders>
            <w:noWrap/>
            <w:vAlign w:val="center"/>
          </w:tcPr>
          <w:p w14:paraId="5215017E">
            <w:pPr>
              <w:widowControl/>
              <w:spacing w:line="240" w:lineRule="exact"/>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联系人</w:t>
            </w:r>
          </w:p>
        </w:tc>
        <w:tc>
          <w:tcPr>
            <w:tcW w:w="1415" w:type="pct"/>
            <w:tcBorders>
              <w:top w:val="single" w:color="000000" w:sz="4" w:space="0"/>
              <w:left w:val="single" w:color="000000" w:sz="4" w:space="0"/>
              <w:bottom w:val="single" w:color="000000" w:sz="4" w:space="0"/>
              <w:right w:val="single" w:color="000000" w:sz="4" w:space="0"/>
            </w:tcBorders>
            <w:noWrap/>
            <w:vAlign w:val="center"/>
          </w:tcPr>
          <w:p w14:paraId="1955A08D">
            <w:pPr>
              <w:widowControl/>
              <w:spacing w:line="240" w:lineRule="exact"/>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联系电话</w:t>
            </w:r>
          </w:p>
        </w:tc>
      </w:tr>
      <w:tr w14:paraId="1FE7CDC0">
        <w:tblPrEx>
          <w:tblCellMar>
            <w:top w:w="0" w:type="dxa"/>
            <w:left w:w="108" w:type="dxa"/>
            <w:bottom w:w="0" w:type="dxa"/>
            <w:right w:w="108" w:type="dxa"/>
          </w:tblCellMar>
        </w:tblPrEx>
        <w:trPr>
          <w:trHeight w:val="285" w:hRule="atLeast"/>
        </w:trPr>
        <w:tc>
          <w:tcPr>
            <w:tcW w:w="695" w:type="pct"/>
            <w:vMerge w:val="restart"/>
            <w:tcBorders>
              <w:top w:val="single" w:color="000000" w:sz="4" w:space="0"/>
              <w:left w:val="single" w:color="000000" w:sz="4" w:space="0"/>
              <w:bottom w:val="single" w:color="000000" w:sz="4" w:space="0"/>
              <w:right w:val="single" w:color="000000" w:sz="4" w:space="0"/>
            </w:tcBorders>
            <w:noWrap/>
            <w:vAlign w:val="center"/>
          </w:tcPr>
          <w:p w14:paraId="444EC274">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c>
          <w:tcPr>
            <w:tcW w:w="1256" w:type="pct"/>
            <w:vMerge w:val="restart"/>
            <w:tcBorders>
              <w:top w:val="single" w:color="000000" w:sz="4" w:space="0"/>
              <w:left w:val="single" w:color="000000" w:sz="4" w:space="0"/>
              <w:bottom w:val="single" w:color="000000" w:sz="4" w:space="0"/>
              <w:right w:val="single" w:color="000000" w:sz="4" w:space="0"/>
            </w:tcBorders>
            <w:noWrap/>
            <w:vAlign w:val="center"/>
          </w:tcPr>
          <w:p w14:paraId="4E9942AB">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建设银行</w:t>
            </w:r>
          </w:p>
        </w:tc>
        <w:tc>
          <w:tcPr>
            <w:tcW w:w="1634" w:type="pct"/>
            <w:vMerge w:val="restart"/>
            <w:tcBorders>
              <w:top w:val="single" w:color="000000" w:sz="4" w:space="0"/>
              <w:left w:val="single" w:color="000000" w:sz="4" w:space="0"/>
              <w:bottom w:val="single" w:color="000000" w:sz="4" w:space="0"/>
              <w:right w:val="single" w:color="000000" w:sz="4" w:space="0"/>
            </w:tcBorders>
            <w:noWrap w:val="0"/>
            <w:vAlign w:val="center"/>
          </w:tcPr>
          <w:p w14:paraId="19D63513">
            <w:pPr>
              <w:widowControl/>
              <w:spacing w:line="240" w:lineRule="exact"/>
              <w:jc w:val="center"/>
              <w:textAlignment w:val="top"/>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郭煜庆 田宇</w:t>
            </w:r>
          </w:p>
        </w:tc>
        <w:tc>
          <w:tcPr>
            <w:tcW w:w="1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61ABE90E">
            <w:pPr>
              <w:widowControl/>
              <w:spacing w:line="240" w:lineRule="exact"/>
              <w:jc w:val="center"/>
              <w:textAlignment w:val="top"/>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13892535580</w:t>
            </w:r>
          </w:p>
          <w:p w14:paraId="74DBF510">
            <w:pPr>
              <w:widowControl/>
              <w:spacing w:line="240" w:lineRule="exact"/>
              <w:jc w:val="center"/>
              <w:textAlignment w:val="top"/>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17797059890</w:t>
            </w:r>
          </w:p>
        </w:tc>
      </w:tr>
      <w:tr w14:paraId="441C1967">
        <w:tblPrEx>
          <w:tblCellMar>
            <w:top w:w="0" w:type="dxa"/>
            <w:left w:w="108" w:type="dxa"/>
            <w:bottom w:w="0" w:type="dxa"/>
            <w:right w:w="108" w:type="dxa"/>
          </w:tblCellMar>
        </w:tblPrEx>
        <w:trPr>
          <w:trHeight w:val="285" w:hRule="atLeast"/>
        </w:trPr>
        <w:tc>
          <w:tcPr>
            <w:tcW w:w="695" w:type="pct"/>
            <w:vMerge w:val="continue"/>
            <w:tcBorders>
              <w:top w:val="single" w:color="000000" w:sz="4" w:space="0"/>
              <w:left w:val="single" w:color="000000" w:sz="4" w:space="0"/>
              <w:bottom w:val="single" w:color="000000" w:sz="4" w:space="0"/>
              <w:right w:val="single" w:color="000000" w:sz="4" w:space="0"/>
            </w:tcBorders>
            <w:noWrap/>
            <w:vAlign w:val="center"/>
          </w:tcPr>
          <w:p w14:paraId="0846CB48">
            <w:pPr>
              <w:spacing w:line="240" w:lineRule="exact"/>
              <w:jc w:val="center"/>
              <w:rPr>
                <w:rFonts w:hint="eastAsia" w:ascii="宋体" w:hAnsi="宋体" w:eastAsia="宋体" w:cs="宋体"/>
                <w:color w:val="auto"/>
                <w:szCs w:val="21"/>
                <w:highlight w:val="none"/>
              </w:rPr>
            </w:pPr>
          </w:p>
        </w:tc>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2A2BC27B">
            <w:pPr>
              <w:spacing w:line="240" w:lineRule="exact"/>
              <w:jc w:val="center"/>
              <w:rPr>
                <w:rFonts w:hint="eastAsia" w:ascii="宋体" w:hAnsi="宋体" w:eastAsia="宋体" w:cs="宋体"/>
                <w:color w:val="auto"/>
                <w:szCs w:val="21"/>
                <w:highlight w:val="none"/>
              </w:rPr>
            </w:pPr>
          </w:p>
        </w:tc>
        <w:tc>
          <w:tcPr>
            <w:tcW w:w="163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6F690D">
            <w:pPr>
              <w:spacing w:line="240" w:lineRule="exact"/>
              <w:jc w:val="center"/>
              <w:rPr>
                <w:rFonts w:hint="eastAsia" w:ascii="宋体" w:hAnsi="宋体" w:eastAsia="宋体" w:cs="宋体"/>
                <w:color w:val="auto"/>
                <w:szCs w:val="21"/>
                <w:highlight w:val="none"/>
              </w:rPr>
            </w:pPr>
          </w:p>
        </w:tc>
        <w:tc>
          <w:tcPr>
            <w:tcW w:w="1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E18420">
            <w:pPr>
              <w:spacing w:line="240" w:lineRule="exact"/>
              <w:jc w:val="center"/>
              <w:rPr>
                <w:rFonts w:hint="eastAsia" w:ascii="宋体" w:hAnsi="宋体" w:eastAsia="宋体" w:cs="宋体"/>
                <w:color w:val="auto"/>
                <w:szCs w:val="21"/>
                <w:highlight w:val="none"/>
              </w:rPr>
            </w:pPr>
          </w:p>
        </w:tc>
      </w:tr>
      <w:tr w14:paraId="1D2A8F8B">
        <w:tblPrEx>
          <w:tblCellMar>
            <w:top w:w="0" w:type="dxa"/>
            <w:left w:w="108" w:type="dxa"/>
            <w:bottom w:w="0" w:type="dxa"/>
            <w:right w:w="108" w:type="dxa"/>
          </w:tblCellMar>
        </w:tblPrEx>
        <w:trPr>
          <w:trHeight w:val="285" w:hRule="atLeast"/>
        </w:trPr>
        <w:tc>
          <w:tcPr>
            <w:tcW w:w="695" w:type="pct"/>
            <w:vMerge w:val="restart"/>
            <w:tcBorders>
              <w:top w:val="single" w:color="000000" w:sz="4" w:space="0"/>
              <w:left w:val="single" w:color="000000" w:sz="4" w:space="0"/>
              <w:bottom w:val="single" w:color="000000" w:sz="4" w:space="0"/>
              <w:right w:val="single" w:color="000000" w:sz="4" w:space="0"/>
            </w:tcBorders>
            <w:noWrap/>
            <w:vAlign w:val="center"/>
          </w:tcPr>
          <w:p w14:paraId="1C3D3301">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1256" w:type="pct"/>
            <w:vMerge w:val="restart"/>
            <w:tcBorders>
              <w:top w:val="single" w:color="000000" w:sz="4" w:space="0"/>
              <w:left w:val="single" w:color="000000" w:sz="4" w:space="0"/>
              <w:bottom w:val="single" w:color="000000" w:sz="4" w:space="0"/>
              <w:right w:val="single" w:color="000000" w:sz="4" w:space="0"/>
            </w:tcBorders>
            <w:noWrap/>
            <w:vAlign w:val="center"/>
          </w:tcPr>
          <w:p w14:paraId="1540875D">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浦发银行</w:t>
            </w:r>
          </w:p>
        </w:tc>
        <w:tc>
          <w:tcPr>
            <w:tcW w:w="1634" w:type="pct"/>
            <w:vMerge w:val="restart"/>
            <w:tcBorders>
              <w:top w:val="single" w:color="000000" w:sz="4" w:space="0"/>
              <w:left w:val="single" w:color="000000" w:sz="4" w:space="0"/>
              <w:bottom w:val="single" w:color="000000" w:sz="4" w:space="0"/>
              <w:right w:val="single" w:color="000000" w:sz="4" w:space="0"/>
            </w:tcBorders>
            <w:noWrap w:val="0"/>
            <w:vAlign w:val="center"/>
          </w:tcPr>
          <w:p w14:paraId="764EAAA4">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孙哲龙 蒙波</w:t>
            </w:r>
          </w:p>
        </w:tc>
        <w:tc>
          <w:tcPr>
            <w:tcW w:w="1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50BEAF68">
            <w:pPr>
              <w:widowControl/>
              <w:spacing w:line="240" w:lineRule="exact"/>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13892383911</w:t>
            </w:r>
          </w:p>
          <w:p w14:paraId="0E4E9E25">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15249035320</w:t>
            </w:r>
          </w:p>
        </w:tc>
      </w:tr>
      <w:tr w14:paraId="10839CFE">
        <w:tblPrEx>
          <w:tblCellMar>
            <w:top w:w="0" w:type="dxa"/>
            <w:left w:w="108" w:type="dxa"/>
            <w:bottom w:w="0" w:type="dxa"/>
            <w:right w:w="108" w:type="dxa"/>
          </w:tblCellMar>
        </w:tblPrEx>
        <w:trPr>
          <w:trHeight w:val="285" w:hRule="atLeast"/>
        </w:trPr>
        <w:tc>
          <w:tcPr>
            <w:tcW w:w="695" w:type="pct"/>
            <w:vMerge w:val="continue"/>
            <w:tcBorders>
              <w:top w:val="single" w:color="000000" w:sz="4" w:space="0"/>
              <w:left w:val="single" w:color="000000" w:sz="4" w:space="0"/>
              <w:bottom w:val="single" w:color="000000" w:sz="4" w:space="0"/>
              <w:right w:val="single" w:color="000000" w:sz="4" w:space="0"/>
            </w:tcBorders>
            <w:noWrap/>
            <w:vAlign w:val="center"/>
          </w:tcPr>
          <w:p w14:paraId="75D58223">
            <w:pPr>
              <w:spacing w:line="240" w:lineRule="exact"/>
              <w:jc w:val="center"/>
              <w:rPr>
                <w:rFonts w:hint="eastAsia" w:ascii="宋体" w:hAnsi="宋体" w:eastAsia="宋体" w:cs="宋体"/>
                <w:color w:val="auto"/>
                <w:szCs w:val="21"/>
                <w:highlight w:val="none"/>
              </w:rPr>
            </w:pPr>
          </w:p>
        </w:tc>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0AD31F1B">
            <w:pPr>
              <w:spacing w:line="240" w:lineRule="exact"/>
              <w:jc w:val="center"/>
              <w:rPr>
                <w:rFonts w:hint="eastAsia" w:ascii="宋体" w:hAnsi="宋体" w:eastAsia="宋体" w:cs="宋体"/>
                <w:color w:val="auto"/>
                <w:szCs w:val="21"/>
                <w:highlight w:val="none"/>
              </w:rPr>
            </w:pPr>
          </w:p>
        </w:tc>
        <w:tc>
          <w:tcPr>
            <w:tcW w:w="163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9DCA20">
            <w:pPr>
              <w:spacing w:line="240" w:lineRule="exact"/>
              <w:jc w:val="center"/>
              <w:rPr>
                <w:rFonts w:hint="eastAsia" w:ascii="宋体" w:hAnsi="宋体" w:eastAsia="宋体" w:cs="宋体"/>
                <w:color w:val="auto"/>
                <w:szCs w:val="21"/>
                <w:highlight w:val="none"/>
              </w:rPr>
            </w:pPr>
          </w:p>
        </w:tc>
        <w:tc>
          <w:tcPr>
            <w:tcW w:w="1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078EE9">
            <w:pPr>
              <w:spacing w:line="240" w:lineRule="exact"/>
              <w:jc w:val="center"/>
              <w:rPr>
                <w:rFonts w:hint="eastAsia" w:ascii="宋体" w:hAnsi="宋体" w:eastAsia="宋体" w:cs="宋体"/>
                <w:color w:val="auto"/>
                <w:szCs w:val="21"/>
                <w:highlight w:val="none"/>
              </w:rPr>
            </w:pPr>
          </w:p>
        </w:tc>
      </w:tr>
      <w:tr w14:paraId="234333F2">
        <w:tblPrEx>
          <w:tblCellMar>
            <w:top w:w="0" w:type="dxa"/>
            <w:left w:w="108" w:type="dxa"/>
            <w:bottom w:w="0" w:type="dxa"/>
            <w:right w:w="108" w:type="dxa"/>
          </w:tblCellMar>
        </w:tblPrEx>
        <w:trPr>
          <w:trHeight w:val="285" w:hRule="atLeast"/>
        </w:trPr>
        <w:tc>
          <w:tcPr>
            <w:tcW w:w="695" w:type="pct"/>
            <w:vMerge w:val="restart"/>
            <w:tcBorders>
              <w:top w:val="single" w:color="000000" w:sz="4" w:space="0"/>
              <w:left w:val="single" w:color="000000" w:sz="4" w:space="0"/>
              <w:bottom w:val="single" w:color="000000" w:sz="4" w:space="0"/>
              <w:right w:val="single" w:color="000000" w:sz="4" w:space="0"/>
            </w:tcBorders>
            <w:noWrap/>
            <w:vAlign w:val="center"/>
          </w:tcPr>
          <w:p w14:paraId="554F225D">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w:t>
            </w:r>
          </w:p>
        </w:tc>
        <w:tc>
          <w:tcPr>
            <w:tcW w:w="1256" w:type="pct"/>
            <w:vMerge w:val="restart"/>
            <w:tcBorders>
              <w:top w:val="single" w:color="000000" w:sz="4" w:space="0"/>
              <w:left w:val="single" w:color="000000" w:sz="4" w:space="0"/>
              <w:bottom w:val="single" w:color="000000" w:sz="4" w:space="0"/>
              <w:right w:val="single" w:color="000000" w:sz="4" w:space="0"/>
            </w:tcBorders>
            <w:noWrap/>
            <w:vAlign w:val="center"/>
          </w:tcPr>
          <w:p w14:paraId="399AC597">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中信银行</w:t>
            </w:r>
          </w:p>
        </w:tc>
        <w:tc>
          <w:tcPr>
            <w:tcW w:w="1634" w:type="pct"/>
            <w:vMerge w:val="restart"/>
            <w:tcBorders>
              <w:top w:val="single" w:color="000000" w:sz="4" w:space="0"/>
              <w:left w:val="single" w:color="000000" w:sz="4" w:space="0"/>
              <w:bottom w:val="single" w:color="000000" w:sz="4" w:space="0"/>
              <w:right w:val="single" w:color="000000" w:sz="4" w:space="0"/>
            </w:tcBorders>
            <w:noWrap w:val="0"/>
            <w:vAlign w:val="center"/>
          </w:tcPr>
          <w:p w14:paraId="4EEE2A77">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杨洋 耿浩</w:t>
            </w:r>
          </w:p>
        </w:tc>
        <w:tc>
          <w:tcPr>
            <w:tcW w:w="1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0359F906">
            <w:pPr>
              <w:widowControl/>
              <w:spacing w:line="240" w:lineRule="exact"/>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18191815559</w:t>
            </w:r>
          </w:p>
          <w:p w14:paraId="1C138550">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13193388328</w:t>
            </w:r>
          </w:p>
        </w:tc>
      </w:tr>
      <w:tr w14:paraId="443E0DEC">
        <w:tblPrEx>
          <w:tblCellMar>
            <w:top w:w="0" w:type="dxa"/>
            <w:left w:w="108" w:type="dxa"/>
            <w:bottom w:w="0" w:type="dxa"/>
            <w:right w:w="108" w:type="dxa"/>
          </w:tblCellMar>
        </w:tblPrEx>
        <w:trPr>
          <w:trHeight w:val="285" w:hRule="atLeast"/>
        </w:trPr>
        <w:tc>
          <w:tcPr>
            <w:tcW w:w="695" w:type="pct"/>
            <w:vMerge w:val="continue"/>
            <w:tcBorders>
              <w:top w:val="single" w:color="000000" w:sz="4" w:space="0"/>
              <w:left w:val="single" w:color="000000" w:sz="4" w:space="0"/>
              <w:bottom w:val="single" w:color="000000" w:sz="4" w:space="0"/>
              <w:right w:val="single" w:color="000000" w:sz="4" w:space="0"/>
            </w:tcBorders>
            <w:noWrap/>
            <w:vAlign w:val="center"/>
          </w:tcPr>
          <w:p w14:paraId="5B27EA50">
            <w:pPr>
              <w:spacing w:line="240" w:lineRule="exact"/>
              <w:jc w:val="center"/>
              <w:rPr>
                <w:rFonts w:hint="eastAsia" w:ascii="宋体" w:hAnsi="宋体" w:eastAsia="宋体" w:cs="宋体"/>
                <w:color w:val="auto"/>
                <w:szCs w:val="21"/>
                <w:highlight w:val="none"/>
              </w:rPr>
            </w:pPr>
          </w:p>
        </w:tc>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1FC7531A">
            <w:pPr>
              <w:spacing w:line="240" w:lineRule="exact"/>
              <w:jc w:val="center"/>
              <w:rPr>
                <w:rFonts w:hint="eastAsia" w:ascii="宋体" w:hAnsi="宋体" w:eastAsia="宋体" w:cs="宋体"/>
                <w:color w:val="auto"/>
                <w:szCs w:val="21"/>
                <w:highlight w:val="none"/>
              </w:rPr>
            </w:pPr>
          </w:p>
        </w:tc>
        <w:tc>
          <w:tcPr>
            <w:tcW w:w="163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140848">
            <w:pPr>
              <w:spacing w:line="240" w:lineRule="exact"/>
              <w:jc w:val="center"/>
              <w:rPr>
                <w:rFonts w:hint="eastAsia" w:ascii="宋体" w:hAnsi="宋体" w:eastAsia="宋体" w:cs="宋体"/>
                <w:color w:val="auto"/>
                <w:szCs w:val="21"/>
                <w:highlight w:val="none"/>
              </w:rPr>
            </w:pPr>
          </w:p>
        </w:tc>
        <w:tc>
          <w:tcPr>
            <w:tcW w:w="1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1E4A7A">
            <w:pPr>
              <w:spacing w:line="240" w:lineRule="exact"/>
              <w:jc w:val="center"/>
              <w:rPr>
                <w:rFonts w:hint="eastAsia" w:ascii="宋体" w:hAnsi="宋体" w:eastAsia="宋体" w:cs="宋体"/>
                <w:color w:val="auto"/>
                <w:szCs w:val="21"/>
                <w:highlight w:val="none"/>
              </w:rPr>
            </w:pPr>
          </w:p>
        </w:tc>
      </w:tr>
      <w:tr w14:paraId="395E656B">
        <w:tblPrEx>
          <w:tblCellMar>
            <w:top w:w="0" w:type="dxa"/>
            <w:left w:w="108" w:type="dxa"/>
            <w:bottom w:w="0" w:type="dxa"/>
            <w:right w:w="108" w:type="dxa"/>
          </w:tblCellMar>
        </w:tblPrEx>
        <w:trPr>
          <w:trHeight w:val="285" w:hRule="atLeast"/>
        </w:trPr>
        <w:tc>
          <w:tcPr>
            <w:tcW w:w="695" w:type="pct"/>
            <w:vMerge w:val="restart"/>
            <w:tcBorders>
              <w:top w:val="single" w:color="000000" w:sz="4" w:space="0"/>
              <w:left w:val="single" w:color="000000" w:sz="4" w:space="0"/>
              <w:bottom w:val="single" w:color="000000" w:sz="4" w:space="0"/>
              <w:right w:val="single" w:color="000000" w:sz="4" w:space="0"/>
            </w:tcBorders>
            <w:noWrap/>
            <w:vAlign w:val="center"/>
          </w:tcPr>
          <w:p w14:paraId="00A98A7F">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4</w:t>
            </w:r>
          </w:p>
        </w:tc>
        <w:tc>
          <w:tcPr>
            <w:tcW w:w="1256" w:type="pct"/>
            <w:vMerge w:val="restart"/>
            <w:tcBorders>
              <w:top w:val="single" w:color="000000" w:sz="4" w:space="0"/>
              <w:left w:val="single" w:color="000000" w:sz="4" w:space="0"/>
              <w:bottom w:val="single" w:color="000000" w:sz="4" w:space="0"/>
              <w:right w:val="single" w:color="000000" w:sz="4" w:space="0"/>
            </w:tcBorders>
            <w:noWrap/>
            <w:vAlign w:val="center"/>
          </w:tcPr>
          <w:p w14:paraId="2CA2B464">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兴业银行</w:t>
            </w:r>
          </w:p>
        </w:tc>
        <w:tc>
          <w:tcPr>
            <w:tcW w:w="1634" w:type="pct"/>
            <w:vMerge w:val="restart"/>
            <w:tcBorders>
              <w:top w:val="single" w:color="000000" w:sz="4" w:space="0"/>
              <w:left w:val="single" w:color="000000" w:sz="4" w:space="0"/>
              <w:bottom w:val="single" w:color="000000" w:sz="4" w:space="0"/>
              <w:right w:val="single" w:color="000000" w:sz="4" w:space="0"/>
            </w:tcBorders>
            <w:noWrap/>
            <w:vAlign w:val="center"/>
          </w:tcPr>
          <w:p w14:paraId="3A574617">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权奥星</w:t>
            </w:r>
          </w:p>
        </w:tc>
        <w:tc>
          <w:tcPr>
            <w:tcW w:w="1415" w:type="pct"/>
            <w:vMerge w:val="restart"/>
            <w:tcBorders>
              <w:top w:val="single" w:color="000000" w:sz="4" w:space="0"/>
              <w:left w:val="single" w:color="000000" w:sz="4" w:space="0"/>
              <w:bottom w:val="single" w:color="000000" w:sz="4" w:space="0"/>
              <w:right w:val="single" w:color="000000" w:sz="4" w:space="0"/>
            </w:tcBorders>
            <w:noWrap/>
            <w:vAlign w:val="center"/>
          </w:tcPr>
          <w:p w14:paraId="413FCEDD">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15706090239</w:t>
            </w:r>
          </w:p>
        </w:tc>
      </w:tr>
      <w:tr w14:paraId="046504A6">
        <w:tblPrEx>
          <w:tblCellMar>
            <w:top w:w="0" w:type="dxa"/>
            <w:left w:w="108" w:type="dxa"/>
            <w:bottom w:w="0" w:type="dxa"/>
            <w:right w:w="108" w:type="dxa"/>
          </w:tblCellMar>
        </w:tblPrEx>
        <w:trPr>
          <w:trHeight w:val="285" w:hRule="atLeast"/>
        </w:trPr>
        <w:tc>
          <w:tcPr>
            <w:tcW w:w="695" w:type="pct"/>
            <w:vMerge w:val="continue"/>
            <w:tcBorders>
              <w:top w:val="single" w:color="000000" w:sz="4" w:space="0"/>
              <w:left w:val="single" w:color="000000" w:sz="4" w:space="0"/>
              <w:bottom w:val="single" w:color="000000" w:sz="4" w:space="0"/>
              <w:right w:val="single" w:color="000000" w:sz="4" w:space="0"/>
            </w:tcBorders>
            <w:noWrap/>
            <w:vAlign w:val="center"/>
          </w:tcPr>
          <w:p w14:paraId="59DE2EF0">
            <w:pPr>
              <w:spacing w:line="240" w:lineRule="exact"/>
              <w:jc w:val="center"/>
              <w:rPr>
                <w:rFonts w:hint="eastAsia" w:ascii="宋体" w:hAnsi="宋体" w:eastAsia="宋体" w:cs="宋体"/>
                <w:color w:val="auto"/>
                <w:szCs w:val="21"/>
                <w:highlight w:val="none"/>
              </w:rPr>
            </w:pPr>
          </w:p>
        </w:tc>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02197D9C">
            <w:pPr>
              <w:spacing w:line="240" w:lineRule="exact"/>
              <w:jc w:val="center"/>
              <w:rPr>
                <w:rFonts w:hint="eastAsia" w:ascii="宋体" w:hAnsi="宋体" w:eastAsia="宋体" w:cs="宋体"/>
                <w:color w:val="auto"/>
                <w:szCs w:val="21"/>
                <w:highlight w:val="none"/>
              </w:rPr>
            </w:pPr>
          </w:p>
        </w:tc>
        <w:tc>
          <w:tcPr>
            <w:tcW w:w="1634" w:type="pct"/>
            <w:vMerge w:val="continue"/>
            <w:tcBorders>
              <w:top w:val="single" w:color="000000" w:sz="4" w:space="0"/>
              <w:left w:val="single" w:color="000000" w:sz="4" w:space="0"/>
              <w:bottom w:val="single" w:color="000000" w:sz="4" w:space="0"/>
              <w:right w:val="single" w:color="000000" w:sz="4" w:space="0"/>
            </w:tcBorders>
            <w:noWrap/>
            <w:vAlign w:val="center"/>
          </w:tcPr>
          <w:p w14:paraId="38401F6E">
            <w:pPr>
              <w:spacing w:line="240" w:lineRule="exact"/>
              <w:jc w:val="center"/>
              <w:rPr>
                <w:rFonts w:hint="eastAsia" w:ascii="宋体" w:hAnsi="宋体" w:eastAsia="宋体" w:cs="宋体"/>
                <w:color w:val="auto"/>
                <w:szCs w:val="21"/>
                <w:highlight w:val="none"/>
              </w:rPr>
            </w:pPr>
          </w:p>
        </w:tc>
        <w:tc>
          <w:tcPr>
            <w:tcW w:w="1415" w:type="pct"/>
            <w:vMerge w:val="continue"/>
            <w:tcBorders>
              <w:top w:val="single" w:color="000000" w:sz="4" w:space="0"/>
              <w:left w:val="single" w:color="000000" w:sz="4" w:space="0"/>
              <w:bottom w:val="single" w:color="000000" w:sz="4" w:space="0"/>
              <w:right w:val="single" w:color="000000" w:sz="4" w:space="0"/>
            </w:tcBorders>
            <w:noWrap/>
            <w:vAlign w:val="center"/>
          </w:tcPr>
          <w:p w14:paraId="21C17B86">
            <w:pPr>
              <w:spacing w:line="240" w:lineRule="exact"/>
              <w:jc w:val="center"/>
              <w:rPr>
                <w:rFonts w:hint="eastAsia" w:ascii="宋体" w:hAnsi="宋体" w:eastAsia="宋体" w:cs="宋体"/>
                <w:color w:val="auto"/>
                <w:szCs w:val="21"/>
                <w:highlight w:val="none"/>
              </w:rPr>
            </w:pPr>
          </w:p>
        </w:tc>
      </w:tr>
      <w:tr w14:paraId="59FE0705">
        <w:tblPrEx>
          <w:tblCellMar>
            <w:top w:w="0" w:type="dxa"/>
            <w:left w:w="108" w:type="dxa"/>
            <w:bottom w:w="0" w:type="dxa"/>
            <w:right w:w="108" w:type="dxa"/>
          </w:tblCellMar>
        </w:tblPrEx>
        <w:trPr>
          <w:trHeight w:val="285" w:hRule="atLeast"/>
        </w:trPr>
        <w:tc>
          <w:tcPr>
            <w:tcW w:w="695" w:type="pct"/>
            <w:vMerge w:val="restart"/>
            <w:tcBorders>
              <w:top w:val="single" w:color="000000" w:sz="4" w:space="0"/>
              <w:left w:val="single" w:color="000000" w:sz="4" w:space="0"/>
              <w:bottom w:val="single" w:color="000000" w:sz="4" w:space="0"/>
              <w:right w:val="single" w:color="000000" w:sz="4" w:space="0"/>
            </w:tcBorders>
            <w:noWrap/>
            <w:vAlign w:val="center"/>
          </w:tcPr>
          <w:p w14:paraId="6E4DD7E2">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5</w:t>
            </w:r>
          </w:p>
        </w:tc>
        <w:tc>
          <w:tcPr>
            <w:tcW w:w="1256" w:type="pct"/>
            <w:vMerge w:val="restart"/>
            <w:tcBorders>
              <w:top w:val="single" w:color="000000" w:sz="4" w:space="0"/>
              <w:left w:val="single" w:color="000000" w:sz="4" w:space="0"/>
              <w:bottom w:val="single" w:color="000000" w:sz="4" w:space="0"/>
              <w:right w:val="single" w:color="000000" w:sz="4" w:space="0"/>
            </w:tcBorders>
            <w:noWrap/>
            <w:vAlign w:val="center"/>
          </w:tcPr>
          <w:p w14:paraId="4494B249">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工商银行</w:t>
            </w:r>
          </w:p>
        </w:tc>
        <w:tc>
          <w:tcPr>
            <w:tcW w:w="1634" w:type="pct"/>
            <w:vMerge w:val="restart"/>
            <w:tcBorders>
              <w:top w:val="single" w:color="000000" w:sz="4" w:space="0"/>
              <w:left w:val="single" w:color="000000" w:sz="4" w:space="0"/>
              <w:bottom w:val="single" w:color="000000" w:sz="4" w:space="0"/>
              <w:right w:val="single" w:color="000000" w:sz="4" w:space="0"/>
            </w:tcBorders>
            <w:noWrap w:val="0"/>
            <w:vAlign w:val="center"/>
          </w:tcPr>
          <w:p w14:paraId="2B035825">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张剑 张欢</w:t>
            </w:r>
          </w:p>
        </w:tc>
        <w:tc>
          <w:tcPr>
            <w:tcW w:w="1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6213B6B3">
            <w:pPr>
              <w:widowControl/>
              <w:spacing w:line="240" w:lineRule="exact"/>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18191356300</w:t>
            </w:r>
          </w:p>
          <w:p w14:paraId="0B3101BE">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15229730006</w:t>
            </w:r>
          </w:p>
        </w:tc>
      </w:tr>
      <w:tr w14:paraId="282670CB">
        <w:tblPrEx>
          <w:tblCellMar>
            <w:top w:w="0" w:type="dxa"/>
            <w:left w:w="108" w:type="dxa"/>
            <w:bottom w:w="0" w:type="dxa"/>
            <w:right w:w="108" w:type="dxa"/>
          </w:tblCellMar>
        </w:tblPrEx>
        <w:trPr>
          <w:trHeight w:val="285" w:hRule="atLeast"/>
        </w:trPr>
        <w:tc>
          <w:tcPr>
            <w:tcW w:w="695" w:type="pct"/>
            <w:vMerge w:val="continue"/>
            <w:tcBorders>
              <w:top w:val="single" w:color="000000" w:sz="4" w:space="0"/>
              <w:left w:val="single" w:color="000000" w:sz="4" w:space="0"/>
              <w:bottom w:val="single" w:color="000000" w:sz="4" w:space="0"/>
              <w:right w:val="single" w:color="000000" w:sz="4" w:space="0"/>
            </w:tcBorders>
            <w:noWrap/>
            <w:vAlign w:val="center"/>
          </w:tcPr>
          <w:p w14:paraId="4056EE21">
            <w:pPr>
              <w:spacing w:line="240" w:lineRule="exact"/>
              <w:jc w:val="center"/>
              <w:rPr>
                <w:rFonts w:hint="eastAsia" w:ascii="宋体" w:hAnsi="宋体" w:eastAsia="宋体" w:cs="宋体"/>
                <w:color w:val="auto"/>
                <w:szCs w:val="21"/>
                <w:highlight w:val="none"/>
              </w:rPr>
            </w:pPr>
          </w:p>
        </w:tc>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20592BC2">
            <w:pPr>
              <w:spacing w:line="240" w:lineRule="exact"/>
              <w:jc w:val="center"/>
              <w:rPr>
                <w:rFonts w:hint="eastAsia" w:ascii="宋体" w:hAnsi="宋体" w:eastAsia="宋体" w:cs="宋体"/>
                <w:color w:val="auto"/>
                <w:szCs w:val="21"/>
                <w:highlight w:val="none"/>
              </w:rPr>
            </w:pPr>
          </w:p>
        </w:tc>
        <w:tc>
          <w:tcPr>
            <w:tcW w:w="163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5A0419">
            <w:pPr>
              <w:spacing w:line="240" w:lineRule="exact"/>
              <w:jc w:val="center"/>
              <w:rPr>
                <w:rFonts w:hint="eastAsia" w:ascii="宋体" w:hAnsi="宋体" w:eastAsia="宋体" w:cs="宋体"/>
                <w:color w:val="auto"/>
                <w:szCs w:val="21"/>
                <w:highlight w:val="none"/>
              </w:rPr>
            </w:pPr>
          </w:p>
        </w:tc>
        <w:tc>
          <w:tcPr>
            <w:tcW w:w="1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3597D9">
            <w:pPr>
              <w:spacing w:line="240" w:lineRule="exact"/>
              <w:jc w:val="center"/>
              <w:rPr>
                <w:rFonts w:hint="eastAsia" w:ascii="宋体" w:hAnsi="宋体" w:eastAsia="宋体" w:cs="宋体"/>
                <w:color w:val="auto"/>
                <w:szCs w:val="21"/>
                <w:highlight w:val="none"/>
              </w:rPr>
            </w:pPr>
          </w:p>
        </w:tc>
      </w:tr>
      <w:tr w14:paraId="1123A814">
        <w:tblPrEx>
          <w:tblCellMar>
            <w:top w:w="0" w:type="dxa"/>
            <w:left w:w="108" w:type="dxa"/>
            <w:bottom w:w="0" w:type="dxa"/>
            <w:right w:w="108" w:type="dxa"/>
          </w:tblCellMar>
        </w:tblPrEx>
        <w:trPr>
          <w:trHeight w:val="285" w:hRule="atLeast"/>
        </w:trPr>
        <w:tc>
          <w:tcPr>
            <w:tcW w:w="695" w:type="pct"/>
            <w:vMerge w:val="restart"/>
            <w:tcBorders>
              <w:top w:val="single" w:color="000000" w:sz="4" w:space="0"/>
              <w:left w:val="single" w:color="000000" w:sz="4" w:space="0"/>
              <w:bottom w:val="single" w:color="000000" w:sz="4" w:space="0"/>
              <w:right w:val="single" w:color="000000" w:sz="4" w:space="0"/>
            </w:tcBorders>
            <w:noWrap/>
            <w:vAlign w:val="center"/>
          </w:tcPr>
          <w:p w14:paraId="196D99E9">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6</w:t>
            </w:r>
          </w:p>
        </w:tc>
        <w:tc>
          <w:tcPr>
            <w:tcW w:w="1256" w:type="pct"/>
            <w:vMerge w:val="restart"/>
            <w:tcBorders>
              <w:top w:val="single" w:color="000000" w:sz="4" w:space="0"/>
              <w:left w:val="single" w:color="000000" w:sz="4" w:space="0"/>
              <w:bottom w:val="single" w:color="000000" w:sz="4" w:space="0"/>
              <w:right w:val="single" w:color="000000" w:sz="4" w:space="0"/>
            </w:tcBorders>
            <w:noWrap/>
            <w:vAlign w:val="center"/>
          </w:tcPr>
          <w:p w14:paraId="0F2EC0BD">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长安银行</w:t>
            </w:r>
          </w:p>
        </w:tc>
        <w:tc>
          <w:tcPr>
            <w:tcW w:w="1634" w:type="pct"/>
            <w:vMerge w:val="restart"/>
            <w:tcBorders>
              <w:top w:val="single" w:color="000000" w:sz="4" w:space="0"/>
              <w:left w:val="single" w:color="000000" w:sz="4" w:space="0"/>
              <w:bottom w:val="single" w:color="000000" w:sz="4" w:space="0"/>
              <w:right w:val="single" w:color="000000" w:sz="4" w:space="0"/>
            </w:tcBorders>
            <w:noWrap/>
            <w:vAlign w:val="center"/>
          </w:tcPr>
          <w:p w14:paraId="10FB59D4">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李华</w:t>
            </w:r>
          </w:p>
        </w:tc>
        <w:tc>
          <w:tcPr>
            <w:tcW w:w="1415" w:type="pct"/>
            <w:vMerge w:val="restart"/>
            <w:tcBorders>
              <w:top w:val="single" w:color="000000" w:sz="4" w:space="0"/>
              <w:left w:val="single" w:color="000000" w:sz="4" w:space="0"/>
              <w:bottom w:val="single" w:color="000000" w:sz="4" w:space="0"/>
              <w:right w:val="single" w:color="000000" w:sz="4" w:space="0"/>
            </w:tcBorders>
            <w:noWrap/>
            <w:vAlign w:val="center"/>
          </w:tcPr>
          <w:p w14:paraId="05D300BC">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13335331958</w:t>
            </w:r>
          </w:p>
        </w:tc>
      </w:tr>
      <w:tr w14:paraId="2CD21073">
        <w:tblPrEx>
          <w:tblCellMar>
            <w:top w:w="0" w:type="dxa"/>
            <w:left w:w="108" w:type="dxa"/>
            <w:bottom w:w="0" w:type="dxa"/>
            <w:right w:w="108" w:type="dxa"/>
          </w:tblCellMar>
        </w:tblPrEx>
        <w:trPr>
          <w:trHeight w:val="312" w:hRule="atLeast"/>
        </w:trPr>
        <w:tc>
          <w:tcPr>
            <w:tcW w:w="695" w:type="pct"/>
            <w:vMerge w:val="continue"/>
            <w:tcBorders>
              <w:top w:val="single" w:color="000000" w:sz="4" w:space="0"/>
              <w:left w:val="single" w:color="000000" w:sz="4" w:space="0"/>
              <w:bottom w:val="single" w:color="000000" w:sz="4" w:space="0"/>
              <w:right w:val="single" w:color="000000" w:sz="4" w:space="0"/>
            </w:tcBorders>
            <w:noWrap/>
            <w:vAlign w:val="center"/>
          </w:tcPr>
          <w:p w14:paraId="221B98C0">
            <w:pPr>
              <w:spacing w:line="240" w:lineRule="exact"/>
              <w:jc w:val="center"/>
              <w:rPr>
                <w:rFonts w:hint="eastAsia" w:ascii="宋体" w:hAnsi="宋体" w:eastAsia="宋体" w:cs="宋体"/>
                <w:color w:val="auto"/>
                <w:szCs w:val="21"/>
                <w:highlight w:val="none"/>
              </w:rPr>
            </w:pPr>
          </w:p>
        </w:tc>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3440948E">
            <w:pPr>
              <w:spacing w:line="240" w:lineRule="exact"/>
              <w:jc w:val="center"/>
              <w:rPr>
                <w:rFonts w:hint="eastAsia" w:ascii="宋体" w:hAnsi="宋体" w:eastAsia="宋体" w:cs="宋体"/>
                <w:color w:val="auto"/>
                <w:szCs w:val="21"/>
                <w:highlight w:val="none"/>
              </w:rPr>
            </w:pPr>
          </w:p>
        </w:tc>
        <w:tc>
          <w:tcPr>
            <w:tcW w:w="1634" w:type="pct"/>
            <w:vMerge w:val="continue"/>
            <w:tcBorders>
              <w:top w:val="single" w:color="000000" w:sz="4" w:space="0"/>
              <w:left w:val="single" w:color="000000" w:sz="4" w:space="0"/>
              <w:bottom w:val="single" w:color="000000" w:sz="4" w:space="0"/>
              <w:right w:val="single" w:color="000000" w:sz="4" w:space="0"/>
            </w:tcBorders>
            <w:noWrap/>
            <w:vAlign w:val="center"/>
          </w:tcPr>
          <w:p w14:paraId="146960A7">
            <w:pPr>
              <w:spacing w:line="240" w:lineRule="exact"/>
              <w:jc w:val="center"/>
              <w:rPr>
                <w:rFonts w:hint="eastAsia" w:ascii="宋体" w:hAnsi="宋体" w:eastAsia="宋体" w:cs="宋体"/>
                <w:color w:val="auto"/>
                <w:szCs w:val="21"/>
                <w:highlight w:val="none"/>
              </w:rPr>
            </w:pPr>
          </w:p>
        </w:tc>
        <w:tc>
          <w:tcPr>
            <w:tcW w:w="1415" w:type="pct"/>
            <w:vMerge w:val="continue"/>
            <w:tcBorders>
              <w:top w:val="single" w:color="000000" w:sz="4" w:space="0"/>
              <w:left w:val="single" w:color="000000" w:sz="4" w:space="0"/>
              <w:bottom w:val="single" w:color="000000" w:sz="4" w:space="0"/>
              <w:right w:val="single" w:color="000000" w:sz="4" w:space="0"/>
            </w:tcBorders>
            <w:noWrap/>
            <w:vAlign w:val="center"/>
          </w:tcPr>
          <w:p w14:paraId="1E2E9012">
            <w:pPr>
              <w:spacing w:line="240" w:lineRule="exact"/>
              <w:jc w:val="center"/>
              <w:rPr>
                <w:rFonts w:hint="eastAsia" w:ascii="宋体" w:hAnsi="宋体" w:eastAsia="宋体" w:cs="宋体"/>
                <w:color w:val="auto"/>
                <w:szCs w:val="21"/>
                <w:highlight w:val="none"/>
              </w:rPr>
            </w:pPr>
          </w:p>
        </w:tc>
      </w:tr>
      <w:tr w14:paraId="0F2A22A4">
        <w:tblPrEx>
          <w:tblCellMar>
            <w:top w:w="0" w:type="dxa"/>
            <w:left w:w="108" w:type="dxa"/>
            <w:bottom w:w="0" w:type="dxa"/>
            <w:right w:w="108" w:type="dxa"/>
          </w:tblCellMar>
        </w:tblPrEx>
        <w:trPr>
          <w:trHeight w:val="570" w:hRule="atLeast"/>
        </w:trPr>
        <w:tc>
          <w:tcPr>
            <w:tcW w:w="695" w:type="pct"/>
            <w:tcBorders>
              <w:top w:val="single" w:color="000000" w:sz="4" w:space="0"/>
              <w:left w:val="single" w:color="000000" w:sz="4" w:space="0"/>
              <w:bottom w:val="single" w:color="000000" w:sz="4" w:space="0"/>
              <w:right w:val="single" w:color="000000" w:sz="4" w:space="0"/>
            </w:tcBorders>
            <w:noWrap/>
            <w:vAlign w:val="center"/>
          </w:tcPr>
          <w:p w14:paraId="5D0E758C">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7</w:t>
            </w:r>
          </w:p>
        </w:tc>
        <w:tc>
          <w:tcPr>
            <w:tcW w:w="1256" w:type="pct"/>
            <w:tcBorders>
              <w:top w:val="single" w:color="000000" w:sz="4" w:space="0"/>
              <w:left w:val="single" w:color="000000" w:sz="4" w:space="0"/>
              <w:bottom w:val="single" w:color="000000" w:sz="4" w:space="0"/>
              <w:right w:val="single" w:color="000000" w:sz="4" w:space="0"/>
            </w:tcBorders>
            <w:noWrap/>
            <w:vAlign w:val="center"/>
          </w:tcPr>
          <w:p w14:paraId="3496AF60">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邮储银行</w:t>
            </w:r>
          </w:p>
        </w:tc>
        <w:tc>
          <w:tcPr>
            <w:tcW w:w="1634" w:type="pct"/>
            <w:tcBorders>
              <w:top w:val="single" w:color="000000" w:sz="4" w:space="0"/>
              <w:left w:val="single" w:color="000000" w:sz="4" w:space="0"/>
              <w:bottom w:val="single" w:color="000000" w:sz="4" w:space="0"/>
              <w:right w:val="single" w:color="000000" w:sz="4" w:space="0"/>
            </w:tcBorders>
            <w:noWrap/>
            <w:vAlign w:val="center"/>
          </w:tcPr>
          <w:p w14:paraId="33A168D1">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张萱</w:t>
            </w:r>
          </w:p>
        </w:tc>
        <w:tc>
          <w:tcPr>
            <w:tcW w:w="1415" w:type="pct"/>
            <w:tcBorders>
              <w:top w:val="single" w:color="000000" w:sz="4" w:space="0"/>
              <w:left w:val="single" w:color="000000" w:sz="4" w:space="0"/>
              <w:bottom w:val="single" w:color="000000" w:sz="4" w:space="0"/>
              <w:right w:val="single" w:color="000000" w:sz="4" w:space="0"/>
            </w:tcBorders>
            <w:noWrap w:val="0"/>
            <w:vAlign w:val="center"/>
          </w:tcPr>
          <w:p w14:paraId="51092F70">
            <w:pPr>
              <w:widowControl/>
              <w:spacing w:line="240" w:lineRule="exact"/>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13028431555</w:t>
            </w:r>
          </w:p>
          <w:p w14:paraId="57E247C0">
            <w:pPr>
              <w:widowControl/>
              <w:spacing w:line="240" w:lineRule="exact"/>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18091365182</w:t>
            </w:r>
          </w:p>
        </w:tc>
      </w:tr>
    </w:tbl>
    <w:p w14:paraId="7D9AFA02">
      <w:pPr>
        <w:pStyle w:val="8"/>
        <w:rPr>
          <w:rFonts w:hint="eastAsia" w:ascii="宋体" w:hAnsi="宋体" w:eastAsia="宋体" w:cs="宋体"/>
          <w:color w:val="auto"/>
          <w:sz w:val="21"/>
          <w:szCs w:val="21"/>
          <w:highlight w:val="none"/>
        </w:rPr>
      </w:pPr>
    </w:p>
    <w:p w14:paraId="3CA186EE">
      <w:pPr>
        <w:pStyle w:val="8"/>
        <w:rPr>
          <w:rFonts w:hint="eastAsia" w:ascii="宋体" w:hAnsi="宋体" w:eastAsia="宋体" w:cs="宋体"/>
          <w:color w:val="auto"/>
          <w:highlight w:val="none"/>
        </w:rPr>
      </w:pPr>
      <w:r>
        <w:rPr>
          <w:rFonts w:hint="eastAsia" w:ascii="宋体" w:hAnsi="宋体" w:eastAsia="宋体" w:cs="宋体"/>
          <w:color w:val="auto"/>
          <w:highlight w:val="none"/>
        </w:rPr>
        <w:t>延安市政府采购贷款银行信息：</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058BB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noWrap w:val="0"/>
            <w:vAlign w:val="center"/>
          </w:tcPr>
          <w:p w14:paraId="655D36B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highlight w:val="none"/>
                <w:shd w:val="clear" w:color="auto" w:fill="FFFFFF"/>
                <w:vertAlign w:val="baseline"/>
                <w:lang w:val="en-US" w:eastAsia="zh-CN" w:bidi="ar-SA"/>
              </w:rPr>
              <w:t>序号</w:t>
            </w:r>
          </w:p>
        </w:tc>
        <w:tc>
          <w:tcPr>
            <w:tcW w:w="2041" w:type="dxa"/>
            <w:noWrap w:val="0"/>
            <w:vAlign w:val="center"/>
          </w:tcPr>
          <w:p w14:paraId="500CDC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highlight w:val="none"/>
                <w:shd w:val="clear" w:color="auto" w:fill="FFFFFF"/>
                <w:vertAlign w:val="baseline"/>
                <w:lang w:val="en-US" w:eastAsia="zh-CN" w:bidi="ar-SA"/>
              </w:rPr>
              <w:t>银行</w:t>
            </w:r>
          </w:p>
        </w:tc>
        <w:tc>
          <w:tcPr>
            <w:tcW w:w="3640" w:type="dxa"/>
            <w:noWrap w:val="0"/>
            <w:vAlign w:val="center"/>
          </w:tcPr>
          <w:p w14:paraId="6E85809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highlight w:val="none"/>
                <w:shd w:val="clear" w:color="auto" w:fill="FFFFFF"/>
                <w:vertAlign w:val="baseline"/>
                <w:lang w:val="en-US" w:eastAsia="zh-CN" w:bidi="ar-SA"/>
              </w:rPr>
              <w:t>地址</w:t>
            </w:r>
          </w:p>
        </w:tc>
        <w:tc>
          <w:tcPr>
            <w:tcW w:w="946" w:type="dxa"/>
            <w:noWrap w:val="0"/>
            <w:vAlign w:val="center"/>
          </w:tcPr>
          <w:p w14:paraId="6CD10C3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highlight w:val="none"/>
                <w:shd w:val="clear" w:color="auto" w:fill="FFFFFF"/>
                <w:vertAlign w:val="baseline"/>
                <w:lang w:val="en-US" w:eastAsia="zh-CN" w:bidi="ar-SA"/>
              </w:rPr>
              <w:t>联系人</w:t>
            </w:r>
          </w:p>
        </w:tc>
        <w:tc>
          <w:tcPr>
            <w:tcW w:w="1574" w:type="dxa"/>
            <w:noWrap w:val="0"/>
            <w:vAlign w:val="center"/>
          </w:tcPr>
          <w:p w14:paraId="3A362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highlight w:val="none"/>
                <w:shd w:val="clear" w:color="auto" w:fill="FFFFFF"/>
                <w:vertAlign w:val="baseline"/>
                <w:lang w:val="en-US" w:eastAsia="zh-CN" w:bidi="ar-SA"/>
              </w:rPr>
              <w:t>电话</w:t>
            </w:r>
          </w:p>
        </w:tc>
      </w:tr>
      <w:tr w14:paraId="4047C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4F5057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w:t>
            </w:r>
          </w:p>
        </w:tc>
        <w:tc>
          <w:tcPr>
            <w:tcW w:w="2041" w:type="dxa"/>
            <w:noWrap w:val="0"/>
            <w:vAlign w:val="center"/>
          </w:tcPr>
          <w:p w14:paraId="4612B6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lang w:val="en-US" w:eastAsia="zh-CN" w:bidi="ar-SA"/>
              </w:rPr>
              <w:t>中国建设银行延安分行</w:t>
            </w:r>
          </w:p>
        </w:tc>
        <w:tc>
          <w:tcPr>
            <w:tcW w:w="3640" w:type="dxa"/>
            <w:noWrap w:val="0"/>
            <w:vAlign w:val="center"/>
          </w:tcPr>
          <w:p w14:paraId="2DA4383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lang w:val="en-US" w:eastAsia="zh-CN" w:bidi="ar-SA"/>
              </w:rPr>
              <w:t>延安市宝塔区中心街</w:t>
            </w:r>
          </w:p>
        </w:tc>
        <w:tc>
          <w:tcPr>
            <w:tcW w:w="946" w:type="dxa"/>
            <w:noWrap w:val="0"/>
            <w:vAlign w:val="center"/>
          </w:tcPr>
          <w:p w14:paraId="679257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徐欣蕾</w:t>
            </w:r>
          </w:p>
        </w:tc>
        <w:tc>
          <w:tcPr>
            <w:tcW w:w="1574" w:type="dxa"/>
            <w:noWrap w:val="0"/>
            <w:vAlign w:val="center"/>
          </w:tcPr>
          <w:p w14:paraId="5BDBD6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15891686951</w:t>
            </w:r>
          </w:p>
        </w:tc>
      </w:tr>
      <w:tr w14:paraId="51C89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2D134C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2</w:t>
            </w:r>
          </w:p>
        </w:tc>
        <w:tc>
          <w:tcPr>
            <w:tcW w:w="2041" w:type="dxa"/>
            <w:noWrap w:val="0"/>
            <w:vAlign w:val="center"/>
          </w:tcPr>
          <w:p w14:paraId="34204EA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中国工商银行延安分行</w:t>
            </w:r>
          </w:p>
        </w:tc>
        <w:tc>
          <w:tcPr>
            <w:tcW w:w="3640" w:type="dxa"/>
            <w:noWrap w:val="0"/>
            <w:vAlign w:val="center"/>
          </w:tcPr>
          <w:p w14:paraId="0CD1EE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延安市宝塔区师范路</w:t>
            </w:r>
          </w:p>
        </w:tc>
        <w:tc>
          <w:tcPr>
            <w:tcW w:w="946" w:type="dxa"/>
            <w:noWrap w:val="0"/>
            <w:vAlign w:val="center"/>
          </w:tcPr>
          <w:p w14:paraId="2A42C58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姬悦</w:t>
            </w:r>
          </w:p>
        </w:tc>
        <w:tc>
          <w:tcPr>
            <w:tcW w:w="1574" w:type="dxa"/>
            <w:noWrap w:val="0"/>
            <w:vAlign w:val="center"/>
          </w:tcPr>
          <w:p w14:paraId="67ADC57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18391156580</w:t>
            </w:r>
          </w:p>
        </w:tc>
      </w:tr>
      <w:tr w14:paraId="015CE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437975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3</w:t>
            </w:r>
          </w:p>
        </w:tc>
        <w:tc>
          <w:tcPr>
            <w:tcW w:w="2041" w:type="dxa"/>
            <w:noWrap w:val="0"/>
            <w:vAlign w:val="center"/>
          </w:tcPr>
          <w:p w14:paraId="1B40AB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北京银行延安分行</w:t>
            </w:r>
          </w:p>
        </w:tc>
        <w:tc>
          <w:tcPr>
            <w:tcW w:w="3640" w:type="dxa"/>
            <w:noWrap w:val="0"/>
            <w:vAlign w:val="center"/>
          </w:tcPr>
          <w:p w14:paraId="30A050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延安市宝塔区双拥大道</w:t>
            </w:r>
          </w:p>
        </w:tc>
        <w:tc>
          <w:tcPr>
            <w:tcW w:w="946" w:type="dxa"/>
            <w:noWrap w:val="0"/>
            <w:vAlign w:val="center"/>
          </w:tcPr>
          <w:p w14:paraId="4A934E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奥宝森</w:t>
            </w:r>
          </w:p>
        </w:tc>
        <w:tc>
          <w:tcPr>
            <w:tcW w:w="1574" w:type="dxa"/>
            <w:noWrap w:val="0"/>
            <w:vAlign w:val="center"/>
          </w:tcPr>
          <w:p w14:paraId="4453EAD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15592925222</w:t>
            </w:r>
          </w:p>
        </w:tc>
      </w:tr>
      <w:tr w14:paraId="32443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2CE6BB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4</w:t>
            </w:r>
          </w:p>
        </w:tc>
        <w:tc>
          <w:tcPr>
            <w:tcW w:w="2041" w:type="dxa"/>
            <w:noWrap w:val="0"/>
            <w:vAlign w:val="center"/>
          </w:tcPr>
          <w:p w14:paraId="482AB02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邮储银行延安分行</w:t>
            </w:r>
          </w:p>
        </w:tc>
        <w:tc>
          <w:tcPr>
            <w:tcW w:w="3640" w:type="dxa"/>
            <w:noWrap w:val="0"/>
            <w:vAlign w:val="center"/>
          </w:tcPr>
          <w:p w14:paraId="204747F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宝塔区枣园路志丹大厦</w:t>
            </w:r>
          </w:p>
        </w:tc>
        <w:tc>
          <w:tcPr>
            <w:tcW w:w="946" w:type="dxa"/>
            <w:noWrap w:val="0"/>
            <w:vAlign w:val="center"/>
          </w:tcPr>
          <w:p w14:paraId="0C9B68C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刘凯</w:t>
            </w:r>
          </w:p>
        </w:tc>
        <w:tc>
          <w:tcPr>
            <w:tcW w:w="1574" w:type="dxa"/>
            <w:noWrap w:val="0"/>
            <w:vAlign w:val="center"/>
          </w:tcPr>
          <w:p w14:paraId="01C7B55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18691114222</w:t>
            </w:r>
          </w:p>
        </w:tc>
      </w:tr>
      <w:tr w14:paraId="2A814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5A1A94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5</w:t>
            </w:r>
          </w:p>
        </w:tc>
        <w:tc>
          <w:tcPr>
            <w:tcW w:w="2041" w:type="dxa"/>
            <w:noWrap w:val="0"/>
            <w:vAlign w:val="center"/>
          </w:tcPr>
          <w:p w14:paraId="3DD6C49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光大银行延安分行</w:t>
            </w:r>
          </w:p>
        </w:tc>
        <w:tc>
          <w:tcPr>
            <w:tcW w:w="3640" w:type="dxa"/>
            <w:noWrap w:val="0"/>
            <w:vAlign w:val="center"/>
          </w:tcPr>
          <w:p w14:paraId="524DEB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宝塔区卷烟厂东信时代一、二层</w:t>
            </w:r>
          </w:p>
        </w:tc>
        <w:tc>
          <w:tcPr>
            <w:tcW w:w="946" w:type="dxa"/>
            <w:noWrap w:val="0"/>
            <w:vAlign w:val="center"/>
          </w:tcPr>
          <w:p w14:paraId="415FA8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汪昊田</w:t>
            </w:r>
          </w:p>
        </w:tc>
        <w:tc>
          <w:tcPr>
            <w:tcW w:w="1574" w:type="dxa"/>
            <w:noWrap w:val="0"/>
            <w:vAlign w:val="center"/>
          </w:tcPr>
          <w:p w14:paraId="268560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13509115500</w:t>
            </w:r>
          </w:p>
        </w:tc>
      </w:tr>
      <w:tr w14:paraId="31764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3576B1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6</w:t>
            </w:r>
          </w:p>
        </w:tc>
        <w:tc>
          <w:tcPr>
            <w:tcW w:w="2041" w:type="dxa"/>
            <w:noWrap w:val="0"/>
            <w:vAlign w:val="center"/>
          </w:tcPr>
          <w:p w14:paraId="61CA5B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交通银行延安分行</w:t>
            </w:r>
          </w:p>
        </w:tc>
        <w:tc>
          <w:tcPr>
            <w:tcW w:w="3640" w:type="dxa"/>
            <w:noWrap w:val="0"/>
            <w:vAlign w:val="center"/>
          </w:tcPr>
          <w:p w14:paraId="5073D12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延安市宝塔区北大街95号</w:t>
            </w:r>
          </w:p>
        </w:tc>
        <w:tc>
          <w:tcPr>
            <w:tcW w:w="946" w:type="dxa"/>
            <w:noWrap w:val="0"/>
            <w:vAlign w:val="center"/>
          </w:tcPr>
          <w:p w14:paraId="3E32C6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王瑶</w:t>
            </w:r>
          </w:p>
        </w:tc>
        <w:tc>
          <w:tcPr>
            <w:tcW w:w="1574" w:type="dxa"/>
            <w:noWrap w:val="0"/>
            <w:vAlign w:val="center"/>
          </w:tcPr>
          <w:p w14:paraId="79C924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13389119518</w:t>
            </w:r>
          </w:p>
        </w:tc>
      </w:tr>
      <w:tr w14:paraId="6B938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7A8416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7</w:t>
            </w:r>
          </w:p>
        </w:tc>
        <w:tc>
          <w:tcPr>
            <w:tcW w:w="2041" w:type="dxa"/>
            <w:noWrap w:val="0"/>
            <w:vAlign w:val="center"/>
          </w:tcPr>
          <w:p w14:paraId="1B537AE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延安农商行</w:t>
            </w:r>
          </w:p>
        </w:tc>
        <w:tc>
          <w:tcPr>
            <w:tcW w:w="3640" w:type="dxa"/>
            <w:noWrap w:val="0"/>
            <w:vAlign w:val="center"/>
          </w:tcPr>
          <w:p w14:paraId="20BCCC1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延安市宝塔区百米大道永兴路农商银行大厦</w:t>
            </w:r>
          </w:p>
        </w:tc>
        <w:tc>
          <w:tcPr>
            <w:tcW w:w="946" w:type="dxa"/>
            <w:noWrap w:val="0"/>
            <w:vAlign w:val="center"/>
          </w:tcPr>
          <w:p w14:paraId="6909923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段田瑞</w:t>
            </w:r>
          </w:p>
        </w:tc>
        <w:tc>
          <w:tcPr>
            <w:tcW w:w="1574" w:type="dxa"/>
            <w:noWrap w:val="0"/>
            <w:vAlign w:val="center"/>
          </w:tcPr>
          <w:p w14:paraId="62AB56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18700166012</w:t>
            </w:r>
          </w:p>
        </w:tc>
      </w:tr>
      <w:tr w14:paraId="325A1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65F85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8</w:t>
            </w:r>
          </w:p>
        </w:tc>
        <w:tc>
          <w:tcPr>
            <w:tcW w:w="2041" w:type="dxa"/>
            <w:noWrap w:val="0"/>
            <w:vAlign w:val="center"/>
          </w:tcPr>
          <w:p w14:paraId="550B4E2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甘泉农商行</w:t>
            </w:r>
          </w:p>
        </w:tc>
        <w:tc>
          <w:tcPr>
            <w:tcW w:w="3640" w:type="dxa"/>
            <w:noWrap w:val="0"/>
            <w:vAlign w:val="center"/>
          </w:tcPr>
          <w:p w14:paraId="6D977A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甘泉县中心街019号</w:t>
            </w:r>
          </w:p>
        </w:tc>
        <w:tc>
          <w:tcPr>
            <w:tcW w:w="946" w:type="dxa"/>
            <w:noWrap w:val="0"/>
            <w:vAlign w:val="center"/>
          </w:tcPr>
          <w:p w14:paraId="7724075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白晶晶</w:t>
            </w:r>
          </w:p>
        </w:tc>
        <w:tc>
          <w:tcPr>
            <w:tcW w:w="1574" w:type="dxa"/>
            <w:noWrap w:val="0"/>
            <w:vAlign w:val="center"/>
          </w:tcPr>
          <w:p w14:paraId="16CDAA7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15129872940</w:t>
            </w:r>
          </w:p>
        </w:tc>
      </w:tr>
      <w:tr w14:paraId="69648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0B501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9</w:t>
            </w:r>
          </w:p>
        </w:tc>
        <w:tc>
          <w:tcPr>
            <w:tcW w:w="2041" w:type="dxa"/>
            <w:noWrap w:val="0"/>
            <w:vAlign w:val="center"/>
          </w:tcPr>
          <w:p w14:paraId="53E74B5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延长联社</w:t>
            </w:r>
          </w:p>
        </w:tc>
        <w:tc>
          <w:tcPr>
            <w:tcW w:w="3640" w:type="dxa"/>
            <w:noWrap w:val="0"/>
            <w:vAlign w:val="center"/>
          </w:tcPr>
          <w:p w14:paraId="1D722F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延长县七里村镇街道城区中街</w:t>
            </w:r>
          </w:p>
        </w:tc>
        <w:tc>
          <w:tcPr>
            <w:tcW w:w="946" w:type="dxa"/>
            <w:noWrap w:val="0"/>
            <w:vAlign w:val="center"/>
          </w:tcPr>
          <w:p w14:paraId="48A049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白永卿</w:t>
            </w:r>
          </w:p>
        </w:tc>
        <w:tc>
          <w:tcPr>
            <w:tcW w:w="1574" w:type="dxa"/>
            <w:noWrap w:val="0"/>
            <w:vAlign w:val="center"/>
          </w:tcPr>
          <w:p w14:paraId="40BF26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18109119635</w:t>
            </w:r>
          </w:p>
        </w:tc>
      </w:tr>
      <w:tr w14:paraId="71740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E3F49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10</w:t>
            </w:r>
          </w:p>
        </w:tc>
        <w:tc>
          <w:tcPr>
            <w:tcW w:w="2041" w:type="dxa"/>
            <w:noWrap w:val="0"/>
            <w:vAlign w:val="center"/>
          </w:tcPr>
          <w:p w14:paraId="235B93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延川联社</w:t>
            </w:r>
          </w:p>
        </w:tc>
        <w:tc>
          <w:tcPr>
            <w:tcW w:w="3640" w:type="dxa"/>
            <w:noWrap w:val="0"/>
            <w:vAlign w:val="center"/>
          </w:tcPr>
          <w:p w14:paraId="05DD50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延川县大禹街道北关信用合作联社</w:t>
            </w:r>
          </w:p>
        </w:tc>
        <w:tc>
          <w:tcPr>
            <w:tcW w:w="946" w:type="dxa"/>
            <w:noWrap w:val="0"/>
            <w:vAlign w:val="center"/>
          </w:tcPr>
          <w:p w14:paraId="5E92E3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张沛兴</w:t>
            </w:r>
          </w:p>
        </w:tc>
        <w:tc>
          <w:tcPr>
            <w:tcW w:w="1574" w:type="dxa"/>
            <w:noWrap w:val="0"/>
            <w:vAlign w:val="center"/>
          </w:tcPr>
          <w:p w14:paraId="32A940A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15129756920</w:t>
            </w:r>
          </w:p>
        </w:tc>
      </w:tr>
      <w:tr w14:paraId="1DFD7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A131EC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11</w:t>
            </w:r>
          </w:p>
        </w:tc>
        <w:tc>
          <w:tcPr>
            <w:tcW w:w="2041" w:type="dxa"/>
            <w:noWrap w:val="0"/>
            <w:vAlign w:val="center"/>
          </w:tcPr>
          <w:p w14:paraId="6D3A01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子长农商行</w:t>
            </w:r>
          </w:p>
        </w:tc>
        <w:tc>
          <w:tcPr>
            <w:tcW w:w="3640" w:type="dxa"/>
            <w:noWrap w:val="0"/>
            <w:vAlign w:val="center"/>
          </w:tcPr>
          <w:p w14:paraId="0F9675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子长市长兴街</w:t>
            </w:r>
          </w:p>
        </w:tc>
        <w:tc>
          <w:tcPr>
            <w:tcW w:w="946" w:type="dxa"/>
            <w:noWrap w:val="0"/>
            <w:vAlign w:val="center"/>
          </w:tcPr>
          <w:p w14:paraId="630349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王莉</w:t>
            </w:r>
          </w:p>
        </w:tc>
        <w:tc>
          <w:tcPr>
            <w:tcW w:w="1574" w:type="dxa"/>
            <w:noWrap w:val="0"/>
            <w:vAlign w:val="center"/>
          </w:tcPr>
          <w:p w14:paraId="22F45C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13992153010</w:t>
            </w:r>
          </w:p>
        </w:tc>
      </w:tr>
      <w:tr w14:paraId="127E5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7" w:hRule="atLeast"/>
        </w:trPr>
        <w:tc>
          <w:tcPr>
            <w:tcW w:w="755" w:type="dxa"/>
            <w:noWrap w:val="0"/>
            <w:vAlign w:val="center"/>
          </w:tcPr>
          <w:p w14:paraId="35E401F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12</w:t>
            </w:r>
          </w:p>
        </w:tc>
        <w:tc>
          <w:tcPr>
            <w:tcW w:w="2041" w:type="dxa"/>
            <w:noWrap w:val="0"/>
            <w:vAlign w:val="center"/>
          </w:tcPr>
          <w:p w14:paraId="4C24EB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安塞农商行</w:t>
            </w:r>
          </w:p>
        </w:tc>
        <w:tc>
          <w:tcPr>
            <w:tcW w:w="3640" w:type="dxa"/>
            <w:noWrap w:val="0"/>
            <w:vAlign w:val="center"/>
          </w:tcPr>
          <w:p w14:paraId="50005F7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延安市安塞区富民街22号</w:t>
            </w:r>
          </w:p>
        </w:tc>
        <w:tc>
          <w:tcPr>
            <w:tcW w:w="946" w:type="dxa"/>
            <w:noWrap w:val="0"/>
            <w:vAlign w:val="center"/>
          </w:tcPr>
          <w:p w14:paraId="1F2D5EC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王平</w:t>
            </w:r>
          </w:p>
        </w:tc>
        <w:tc>
          <w:tcPr>
            <w:tcW w:w="1574" w:type="dxa"/>
            <w:noWrap w:val="0"/>
            <w:vAlign w:val="center"/>
          </w:tcPr>
          <w:p w14:paraId="5D7C49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15991569027</w:t>
            </w:r>
          </w:p>
        </w:tc>
      </w:tr>
      <w:tr w14:paraId="416F3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5E1ED60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13</w:t>
            </w:r>
          </w:p>
        </w:tc>
        <w:tc>
          <w:tcPr>
            <w:tcW w:w="2041" w:type="dxa"/>
            <w:noWrap w:val="0"/>
            <w:vAlign w:val="center"/>
          </w:tcPr>
          <w:p w14:paraId="2DEBE21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志丹联社</w:t>
            </w:r>
          </w:p>
        </w:tc>
        <w:tc>
          <w:tcPr>
            <w:tcW w:w="3640" w:type="dxa"/>
            <w:noWrap w:val="0"/>
            <w:vAlign w:val="center"/>
          </w:tcPr>
          <w:p w14:paraId="354C356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延安市志丹县保安街134号信合大厦</w:t>
            </w:r>
          </w:p>
        </w:tc>
        <w:tc>
          <w:tcPr>
            <w:tcW w:w="946" w:type="dxa"/>
            <w:noWrap w:val="0"/>
            <w:vAlign w:val="center"/>
          </w:tcPr>
          <w:p w14:paraId="562F9CA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李倩</w:t>
            </w:r>
          </w:p>
        </w:tc>
        <w:tc>
          <w:tcPr>
            <w:tcW w:w="1574" w:type="dxa"/>
            <w:noWrap w:val="0"/>
            <w:vAlign w:val="center"/>
          </w:tcPr>
          <w:p w14:paraId="6B2130A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18792408171</w:t>
            </w:r>
          </w:p>
        </w:tc>
      </w:tr>
      <w:tr w14:paraId="16DFF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4B75B7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14</w:t>
            </w:r>
          </w:p>
        </w:tc>
        <w:tc>
          <w:tcPr>
            <w:tcW w:w="2041" w:type="dxa"/>
            <w:noWrap w:val="0"/>
            <w:vAlign w:val="center"/>
          </w:tcPr>
          <w:p w14:paraId="71DD55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吴起农合行</w:t>
            </w:r>
          </w:p>
        </w:tc>
        <w:tc>
          <w:tcPr>
            <w:tcW w:w="3640" w:type="dxa"/>
            <w:noWrap w:val="0"/>
            <w:vAlign w:val="center"/>
          </w:tcPr>
          <w:p w14:paraId="3C5BC1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陕西省延安市吴起县北苑东路26号</w:t>
            </w:r>
          </w:p>
        </w:tc>
        <w:tc>
          <w:tcPr>
            <w:tcW w:w="946" w:type="dxa"/>
            <w:noWrap w:val="0"/>
            <w:vAlign w:val="center"/>
          </w:tcPr>
          <w:p w14:paraId="350E859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李娜玲</w:t>
            </w:r>
          </w:p>
        </w:tc>
        <w:tc>
          <w:tcPr>
            <w:tcW w:w="1574" w:type="dxa"/>
            <w:noWrap w:val="0"/>
            <w:vAlign w:val="center"/>
          </w:tcPr>
          <w:p w14:paraId="06ABC2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15591103321</w:t>
            </w:r>
          </w:p>
        </w:tc>
      </w:tr>
      <w:tr w14:paraId="19F86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390AB9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15</w:t>
            </w:r>
          </w:p>
        </w:tc>
        <w:tc>
          <w:tcPr>
            <w:tcW w:w="2041" w:type="dxa"/>
            <w:noWrap w:val="0"/>
            <w:vAlign w:val="center"/>
          </w:tcPr>
          <w:p w14:paraId="229E24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洛川农商行</w:t>
            </w:r>
          </w:p>
        </w:tc>
        <w:tc>
          <w:tcPr>
            <w:tcW w:w="3640" w:type="dxa"/>
            <w:noWrap w:val="0"/>
            <w:vAlign w:val="center"/>
          </w:tcPr>
          <w:p w14:paraId="383A21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陕西省延安市洛川县中心街</w:t>
            </w:r>
          </w:p>
        </w:tc>
        <w:tc>
          <w:tcPr>
            <w:tcW w:w="946" w:type="dxa"/>
            <w:noWrap w:val="0"/>
            <w:vAlign w:val="center"/>
          </w:tcPr>
          <w:p w14:paraId="7671E13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史云云</w:t>
            </w:r>
          </w:p>
        </w:tc>
        <w:tc>
          <w:tcPr>
            <w:tcW w:w="1574" w:type="dxa"/>
            <w:noWrap w:val="0"/>
            <w:vAlign w:val="center"/>
          </w:tcPr>
          <w:p w14:paraId="1F2091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15291172848</w:t>
            </w:r>
          </w:p>
        </w:tc>
      </w:tr>
      <w:tr w14:paraId="4A8FC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735344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16</w:t>
            </w:r>
          </w:p>
        </w:tc>
        <w:tc>
          <w:tcPr>
            <w:tcW w:w="2041" w:type="dxa"/>
            <w:noWrap w:val="0"/>
            <w:vAlign w:val="center"/>
          </w:tcPr>
          <w:p w14:paraId="21EF71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富县农合行</w:t>
            </w:r>
          </w:p>
        </w:tc>
        <w:tc>
          <w:tcPr>
            <w:tcW w:w="3640" w:type="dxa"/>
            <w:noWrap w:val="0"/>
            <w:vAlign w:val="center"/>
          </w:tcPr>
          <w:p w14:paraId="0E1CA10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富县富城镇正街8号</w:t>
            </w:r>
          </w:p>
        </w:tc>
        <w:tc>
          <w:tcPr>
            <w:tcW w:w="946" w:type="dxa"/>
            <w:noWrap w:val="0"/>
            <w:vAlign w:val="center"/>
          </w:tcPr>
          <w:p w14:paraId="28A3B16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逯其玲</w:t>
            </w:r>
          </w:p>
        </w:tc>
        <w:tc>
          <w:tcPr>
            <w:tcW w:w="1574" w:type="dxa"/>
            <w:noWrap w:val="0"/>
            <w:vAlign w:val="center"/>
          </w:tcPr>
          <w:p w14:paraId="0647C29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18091126065</w:t>
            </w:r>
          </w:p>
        </w:tc>
      </w:tr>
      <w:tr w14:paraId="245A4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0D44C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17</w:t>
            </w:r>
          </w:p>
        </w:tc>
        <w:tc>
          <w:tcPr>
            <w:tcW w:w="2041" w:type="dxa"/>
            <w:noWrap w:val="0"/>
            <w:vAlign w:val="center"/>
          </w:tcPr>
          <w:p w14:paraId="0DBD4B9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黄陵联社</w:t>
            </w:r>
          </w:p>
        </w:tc>
        <w:tc>
          <w:tcPr>
            <w:tcW w:w="3640" w:type="dxa"/>
            <w:noWrap w:val="0"/>
            <w:vAlign w:val="center"/>
          </w:tcPr>
          <w:p w14:paraId="5E83FFD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黄陵县桥山大厦</w:t>
            </w:r>
          </w:p>
        </w:tc>
        <w:tc>
          <w:tcPr>
            <w:tcW w:w="946" w:type="dxa"/>
            <w:noWrap w:val="0"/>
            <w:vAlign w:val="center"/>
          </w:tcPr>
          <w:p w14:paraId="7F88B9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曹涛</w:t>
            </w:r>
          </w:p>
        </w:tc>
        <w:tc>
          <w:tcPr>
            <w:tcW w:w="1574" w:type="dxa"/>
            <w:noWrap w:val="0"/>
            <w:vAlign w:val="center"/>
          </w:tcPr>
          <w:p w14:paraId="2E008F1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13772255164</w:t>
            </w:r>
          </w:p>
        </w:tc>
      </w:tr>
      <w:tr w14:paraId="65C62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6103C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18</w:t>
            </w:r>
          </w:p>
        </w:tc>
        <w:tc>
          <w:tcPr>
            <w:tcW w:w="2041" w:type="dxa"/>
            <w:noWrap w:val="0"/>
            <w:vAlign w:val="center"/>
          </w:tcPr>
          <w:p w14:paraId="1403C1F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宜川联社</w:t>
            </w:r>
          </w:p>
        </w:tc>
        <w:tc>
          <w:tcPr>
            <w:tcW w:w="3640" w:type="dxa"/>
            <w:noWrap w:val="0"/>
            <w:vAlign w:val="center"/>
          </w:tcPr>
          <w:p w14:paraId="070C22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宜川县党湾街65号</w:t>
            </w:r>
          </w:p>
        </w:tc>
        <w:tc>
          <w:tcPr>
            <w:tcW w:w="946" w:type="dxa"/>
            <w:noWrap w:val="0"/>
            <w:vAlign w:val="center"/>
          </w:tcPr>
          <w:p w14:paraId="7E8F4C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毛永良</w:t>
            </w:r>
          </w:p>
        </w:tc>
        <w:tc>
          <w:tcPr>
            <w:tcW w:w="1574" w:type="dxa"/>
            <w:noWrap w:val="0"/>
            <w:vAlign w:val="center"/>
          </w:tcPr>
          <w:p w14:paraId="7FF37CA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15009118628</w:t>
            </w:r>
          </w:p>
        </w:tc>
      </w:tr>
      <w:tr w14:paraId="5B1FF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5BC0AD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19</w:t>
            </w:r>
          </w:p>
        </w:tc>
        <w:tc>
          <w:tcPr>
            <w:tcW w:w="2041" w:type="dxa"/>
            <w:noWrap w:val="0"/>
            <w:vAlign w:val="center"/>
          </w:tcPr>
          <w:p w14:paraId="5BA96A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黄龙联社</w:t>
            </w:r>
          </w:p>
        </w:tc>
        <w:tc>
          <w:tcPr>
            <w:tcW w:w="3640" w:type="dxa"/>
            <w:noWrap w:val="0"/>
            <w:vAlign w:val="center"/>
          </w:tcPr>
          <w:p w14:paraId="16019B4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黄龙县石堡镇广场大街40号</w:t>
            </w:r>
          </w:p>
        </w:tc>
        <w:tc>
          <w:tcPr>
            <w:tcW w:w="946" w:type="dxa"/>
            <w:noWrap w:val="0"/>
            <w:vAlign w:val="center"/>
          </w:tcPr>
          <w:p w14:paraId="2A39CC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郑国强</w:t>
            </w:r>
          </w:p>
        </w:tc>
        <w:tc>
          <w:tcPr>
            <w:tcW w:w="1574" w:type="dxa"/>
            <w:noWrap w:val="0"/>
            <w:vAlign w:val="center"/>
          </w:tcPr>
          <w:p w14:paraId="585E82B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pPr>
            <w:r>
              <w:rPr>
                <w:rFonts w:hint="eastAsia" w:ascii="宋体" w:hAnsi="宋体" w:eastAsia="宋体" w:cs="宋体"/>
                <w:i w:val="0"/>
                <w:caps w:val="0"/>
                <w:color w:val="auto"/>
                <w:spacing w:val="0"/>
                <w:kern w:val="0"/>
                <w:sz w:val="18"/>
                <w:szCs w:val="18"/>
                <w:highlight w:val="none"/>
                <w:shd w:val="clear" w:color="auto" w:fill="FFFFFF"/>
                <w:vertAlign w:val="baseline"/>
                <w:lang w:val="en-US" w:eastAsia="zh-CN" w:bidi="ar-SA"/>
              </w:rPr>
              <w:t>15991595662</w:t>
            </w:r>
          </w:p>
        </w:tc>
      </w:tr>
    </w:tbl>
    <w:p w14:paraId="08097253">
      <w:pPr>
        <w:pStyle w:val="5"/>
        <w:keepNext/>
        <w:keepLines/>
        <w:pageBreakBefore w:val="0"/>
        <w:widowControl w:val="0"/>
        <w:kinsoku/>
        <w:wordWrap/>
        <w:overflowPunct/>
        <w:topLinePunct w:val="0"/>
        <w:autoSpaceDE w:val="0"/>
        <w:autoSpaceDN w:val="0"/>
        <w:bidi w:val="0"/>
        <w:adjustRightInd w:val="0"/>
        <w:snapToGrid/>
        <w:spacing w:before="157" w:beforeLines="50"/>
        <w:ind w:firstLine="0" w:firstLineChars="0"/>
        <w:textAlignment w:val="auto"/>
        <w:rPr>
          <w:rFonts w:hint="eastAsia" w:ascii="宋体" w:hAnsi="宋体" w:eastAsia="宋体" w:cs="宋体"/>
          <w:color w:val="auto"/>
          <w:sz w:val="24"/>
          <w:szCs w:val="24"/>
          <w:highlight w:val="none"/>
        </w:rPr>
      </w:pPr>
      <w:bookmarkStart w:id="270" w:name="_Toc518923100"/>
      <w:bookmarkStart w:id="271" w:name="_Toc62194336"/>
      <w:bookmarkStart w:id="272" w:name="_Toc2583661"/>
      <w:r>
        <w:rPr>
          <w:rFonts w:hint="eastAsia" w:ascii="宋体" w:hAnsi="宋体" w:eastAsia="宋体" w:cs="宋体"/>
          <w:color w:val="auto"/>
          <w:sz w:val="24"/>
          <w:szCs w:val="24"/>
          <w:highlight w:val="none"/>
        </w:rPr>
        <w:t>35. 廉洁自律规定</w:t>
      </w:r>
      <w:bookmarkEnd w:id="270"/>
      <w:bookmarkEnd w:id="271"/>
      <w:bookmarkEnd w:id="272"/>
    </w:p>
    <w:p w14:paraId="45BC3790">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35.1 采购代理机构工作人员不得以不正当手段获取政府采购代理业务，不得与采购人、投标人恶意串通。</w:t>
      </w:r>
    </w:p>
    <w:p w14:paraId="18A5AA2A">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35.2 采购代理机构工作人员不得接受采购人或者投标人组织的宴请、旅游、娱乐，不得收受礼品、现金、有价证券等，不得向采购人或者投标人报销应当由个人承担的费用。</w:t>
      </w:r>
    </w:p>
    <w:p w14:paraId="6937F41D">
      <w:pPr>
        <w:pStyle w:val="5"/>
        <w:pageBreakBefore w:val="0"/>
        <w:widowControl w:val="0"/>
        <w:kinsoku/>
        <w:wordWrap/>
        <w:overflowPunct/>
        <w:topLinePunct w:val="0"/>
        <w:bidi w:val="0"/>
        <w:snapToGrid/>
        <w:ind w:left="0" w:leftChars="0" w:firstLine="0" w:firstLineChars="0"/>
        <w:textAlignment w:val="auto"/>
        <w:rPr>
          <w:rFonts w:hint="eastAsia" w:ascii="宋体" w:hAnsi="宋体" w:eastAsia="宋体" w:cs="宋体"/>
          <w:color w:val="auto"/>
          <w:sz w:val="24"/>
          <w:szCs w:val="24"/>
          <w:highlight w:val="none"/>
        </w:rPr>
      </w:pPr>
      <w:bookmarkStart w:id="273" w:name="_Toc518923101"/>
      <w:bookmarkStart w:id="274" w:name="_Toc62194337"/>
      <w:bookmarkStart w:id="275" w:name="_Toc2583662"/>
      <w:r>
        <w:rPr>
          <w:rFonts w:hint="eastAsia" w:ascii="宋体" w:hAnsi="宋体" w:eastAsia="宋体" w:cs="宋体"/>
          <w:color w:val="auto"/>
          <w:sz w:val="24"/>
          <w:szCs w:val="24"/>
          <w:highlight w:val="none"/>
        </w:rPr>
        <w:t>36. 人员回避</w:t>
      </w:r>
      <w:bookmarkEnd w:id="273"/>
      <w:bookmarkEnd w:id="274"/>
      <w:bookmarkEnd w:id="275"/>
    </w:p>
    <w:p w14:paraId="6D7D668B">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潜在投标人认为招标文件使自己的权益受到损害的，投标人认为采购人员及其相关人员有法律法规所列与其他投标人有利害关系的，均可以向采购人或采购代理机构书面提出回避申请，并说明理由。</w:t>
      </w:r>
    </w:p>
    <w:p w14:paraId="1EA98985">
      <w:pPr>
        <w:pStyle w:val="5"/>
        <w:pageBreakBefore w:val="0"/>
        <w:widowControl w:val="0"/>
        <w:kinsoku/>
        <w:wordWrap/>
        <w:overflowPunct/>
        <w:topLinePunct w:val="0"/>
        <w:bidi w:val="0"/>
        <w:snapToGrid/>
        <w:ind w:left="0" w:leftChars="0" w:firstLine="0" w:firstLineChars="0"/>
        <w:textAlignment w:val="auto"/>
        <w:rPr>
          <w:rFonts w:hint="eastAsia" w:ascii="宋体" w:hAnsi="宋体" w:eastAsia="宋体" w:cs="宋体"/>
          <w:color w:val="auto"/>
          <w:sz w:val="24"/>
          <w:szCs w:val="24"/>
          <w:highlight w:val="none"/>
        </w:rPr>
      </w:pPr>
      <w:bookmarkStart w:id="276" w:name="_Toc518923102"/>
      <w:bookmarkStart w:id="277" w:name="_Toc62194338"/>
      <w:bookmarkStart w:id="278" w:name="_Toc2583663"/>
      <w:r>
        <w:rPr>
          <w:rFonts w:hint="eastAsia" w:ascii="宋体" w:hAnsi="宋体" w:eastAsia="宋体" w:cs="宋体"/>
          <w:color w:val="auto"/>
          <w:sz w:val="24"/>
          <w:szCs w:val="24"/>
          <w:highlight w:val="none"/>
        </w:rPr>
        <w:t>37. 质疑的提出与接收</w:t>
      </w:r>
      <w:bookmarkEnd w:id="276"/>
      <w:bookmarkEnd w:id="277"/>
      <w:bookmarkEnd w:id="278"/>
    </w:p>
    <w:p w14:paraId="0B474B24">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37.1 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207D59C4">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37.2 </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人应按照财政部制定的《政府采购质疑函范本》格式（可从</w:t>
      </w:r>
      <w:r>
        <w:rPr>
          <w:rFonts w:hint="eastAsia" w:ascii="宋体" w:hAnsi="宋体" w:eastAsia="宋体" w:cs="宋体"/>
          <w:color w:val="auto"/>
          <w:sz w:val="24"/>
          <w:highlight w:val="none"/>
          <w:lang w:val="en-US" w:eastAsia="zh-CN"/>
        </w:rPr>
        <w:t>中国政府采购网首页下载专区</w:t>
      </w:r>
      <w:r>
        <w:rPr>
          <w:rFonts w:hint="eastAsia" w:ascii="宋体" w:hAnsi="宋体" w:eastAsia="宋体" w:cs="宋体"/>
          <w:color w:val="auto"/>
          <w:sz w:val="24"/>
          <w:highlight w:val="none"/>
        </w:rPr>
        <w:t>下载）和《政府采购质疑和投诉办法》的要求，在法定质疑期内以书面形式提出质疑，针对同一采购程序环节的质疑应一次性提出。</w:t>
      </w:r>
    </w:p>
    <w:p w14:paraId="60D83C47">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超出法定质疑期提交的质疑将被拒绝。</w:t>
      </w:r>
    </w:p>
    <w:p w14:paraId="7106B231">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重复或分次提出的、内容或形式不符合《政府采购质疑和投诉办法》的，质疑投标人将依法承担不利后果。</w:t>
      </w:r>
    </w:p>
    <w:p w14:paraId="3198E256">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37.3 投标人提交质疑函的要求</w:t>
      </w:r>
    </w:p>
    <w:p w14:paraId="7330EA05">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37.3.1投标人提出质疑时，应提交质疑函和必要的证明材料。</w:t>
      </w:r>
    </w:p>
    <w:p w14:paraId="613256AF">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37.3.2质疑投标人若委托代理人进行质疑的，质疑函应按要求列明“授权代表”的有关内容，并在附件中提交由质疑投标人签署的授权委托书。授权委托书应载明代理人的姓名、代理事项、具体权限、期限和相关事项。</w:t>
      </w:r>
    </w:p>
    <w:p w14:paraId="11B99BD1">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37.3.3质疑投标人若对项目的某一分包进行质疑，质疑函中应列明具体分包号。</w:t>
      </w:r>
    </w:p>
    <w:p w14:paraId="14E4DA5A">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37.3.4质疑函的质疑请求应与质疑事项相关。</w:t>
      </w:r>
    </w:p>
    <w:p w14:paraId="0EB630EE">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37.3.5质疑函的质疑事项应具体、明确，并有必要的事实依据。</w:t>
      </w:r>
    </w:p>
    <w:p w14:paraId="7D511CEF">
      <w:pPr>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37.3.6质疑投标人为自然人的，质疑函应由本人签字，质疑投标人为法人或其他组织的，质疑函应由法定代表人、主要负责人，或者其授权代表签字或盖章，并加盖公章。授权代表签字的需提供相应的授权书。</w:t>
      </w:r>
    </w:p>
    <w:p w14:paraId="16B96FDA">
      <w:pPr>
        <w:pStyle w:val="13"/>
        <w:shd w:val="clear" w:color="auto" w:fill="auto"/>
        <w:wordWrap w:val="0"/>
        <w:spacing w:beforeAutospacing="0" w:afterAutospacing="0" w:line="360" w:lineRule="auto"/>
        <w:ind w:firstLine="384"/>
        <w:jc w:val="both"/>
        <w:rPr>
          <w:rFonts w:hint="eastAsia" w:eastAsia="宋体"/>
          <w:color w:val="auto"/>
          <w:sz w:val="24"/>
          <w:highlight w:val="none"/>
        </w:rPr>
      </w:pPr>
      <w:r>
        <w:rPr>
          <w:rFonts w:hint="eastAsia" w:eastAsia="宋体"/>
          <w:color w:val="auto"/>
          <w:sz w:val="24"/>
          <w:highlight w:val="none"/>
        </w:rPr>
        <w:t>37.4 质疑函接收联系电话和通讯地址</w:t>
      </w:r>
      <w:r>
        <w:rPr>
          <w:rFonts w:hint="eastAsia" w:eastAsia="宋体"/>
          <w:color w:val="auto"/>
          <w:sz w:val="24"/>
          <w:highlight w:val="none"/>
          <w:lang w:eastAsia="zh-CN"/>
        </w:rPr>
        <w:t>：</w:t>
      </w:r>
      <w:r>
        <w:rPr>
          <w:rFonts w:hint="eastAsia" w:eastAsia="宋体"/>
          <w:color w:val="auto"/>
          <w:sz w:val="24"/>
          <w:highlight w:val="none"/>
        </w:rPr>
        <w:t xml:space="preserve"> </w:t>
      </w:r>
      <w:bookmarkEnd w:id="261"/>
      <w:bookmarkEnd w:id="262"/>
      <w:bookmarkEnd w:id="263"/>
      <w:bookmarkEnd w:id="264"/>
      <w:bookmarkEnd w:id="265"/>
      <w:bookmarkStart w:id="279" w:name="_Toc62194339"/>
    </w:p>
    <w:p w14:paraId="03F333B5">
      <w:pPr>
        <w:pStyle w:val="13"/>
        <w:shd w:val="clear" w:color="auto" w:fill="auto"/>
        <w:wordWrap w:val="0"/>
        <w:spacing w:beforeAutospacing="0" w:afterAutospacing="0" w:line="360" w:lineRule="auto"/>
        <w:ind w:firstLine="384"/>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采购代理机构：红昕国际项目管理有限公司</w:t>
      </w:r>
    </w:p>
    <w:p w14:paraId="760C3118">
      <w:pPr>
        <w:pStyle w:val="13"/>
        <w:shd w:val="clear" w:color="auto" w:fill="auto"/>
        <w:wordWrap w:val="0"/>
        <w:spacing w:beforeAutospacing="0" w:afterAutospacing="0" w:line="360" w:lineRule="auto"/>
        <w:ind w:firstLine="384"/>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地址：陕西省西安市国家民用航天产业基地航天城中心广场2幢1单元12002-12006室</w:t>
      </w:r>
    </w:p>
    <w:p w14:paraId="755E7CF7">
      <w:pPr>
        <w:pStyle w:val="13"/>
        <w:shd w:val="clear" w:color="auto" w:fill="auto"/>
        <w:wordWrap w:val="0"/>
        <w:spacing w:beforeAutospacing="0" w:afterAutospacing="0" w:line="360" w:lineRule="auto"/>
        <w:ind w:firstLine="384"/>
        <w:jc w:val="both"/>
        <w:rPr>
          <w:rFonts w:hint="eastAsia" w:eastAsia="宋体"/>
          <w:color w:val="auto"/>
          <w:sz w:val="24"/>
          <w:highlight w:val="none"/>
          <w:u w:val="single"/>
        </w:rPr>
        <w:sectPr>
          <w:footerReference r:id="rId5" w:type="default"/>
          <w:pgSz w:w="11906" w:h="16838"/>
          <w:pgMar w:top="1418" w:right="1418" w:bottom="1418" w:left="1418" w:header="851" w:footer="992" w:gutter="0"/>
          <w:pgBorders>
            <w:top w:val="none" w:sz="0" w:space="0"/>
            <w:left w:val="none" w:sz="0" w:space="0"/>
            <w:bottom w:val="none" w:sz="0" w:space="0"/>
            <w:right w:val="none" w:sz="0" w:space="0"/>
          </w:pgBorders>
          <w:pgNumType w:start="1"/>
          <w:cols w:space="720" w:num="1"/>
          <w:docGrid w:type="linesAndChars" w:linePitch="312" w:charSpace="0"/>
        </w:sectPr>
      </w:pPr>
      <w:r>
        <w:rPr>
          <w:rFonts w:hint="eastAsia" w:ascii="宋体" w:hAnsi="宋体" w:eastAsia="宋体" w:cs="宋体"/>
          <w:color w:val="auto"/>
          <w:sz w:val="24"/>
          <w:highlight w:val="none"/>
        </w:rPr>
        <w:t>联系方式：</w:t>
      </w:r>
      <w:r>
        <w:rPr>
          <w:rFonts w:hint="eastAsia" w:cs="宋体"/>
          <w:color w:val="auto"/>
          <w:sz w:val="24"/>
          <w:highlight w:val="none"/>
          <w:lang w:val="en-US" w:eastAsia="zh-CN"/>
        </w:rPr>
        <w:t>17809152673</w:t>
      </w:r>
    </w:p>
    <w:bookmarkEnd w:id="279"/>
    <w:p w14:paraId="3432F14B">
      <w:pPr>
        <w:pStyle w:val="14"/>
        <w:jc w:val="center"/>
        <w:rPr>
          <w:rFonts w:hint="eastAsia" w:ascii="宋体" w:hAnsi="宋体" w:eastAsia="宋体" w:cs="宋体"/>
          <w:color w:val="auto"/>
          <w:highlight w:val="none"/>
        </w:rPr>
      </w:pPr>
      <w:bookmarkStart w:id="280" w:name="_Toc532473756"/>
      <w:bookmarkStart w:id="281" w:name="_Toc32647"/>
      <w:bookmarkStart w:id="282" w:name="_Toc515647832"/>
      <w:bookmarkStart w:id="283" w:name="_Toc62194341"/>
      <w:bookmarkStart w:id="284" w:name="_Toc7971"/>
      <w:bookmarkStart w:id="285" w:name="_Toc532044540"/>
      <w:bookmarkStart w:id="286" w:name="_Toc507399907"/>
      <w:bookmarkStart w:id="287" w:name="_Toc532473493"/>
      <w:bookmarkStart w:id="288" w:name="_Toc515647802"/>
      <w:bookmarkStart w:id="289" w:name="_Toc728"/>
      <w:bookmarkStart w:id="290" w:name="_Toc216582812"/>
      <w:bookmarkStart w:id="291" w:name="_Toc702"/>
      <w:r>
        <w:rPr>
          <w:rFonts w:hint="eastAsia" w:ascii="宋体" w:hAnsi="宋体" w:eastAsia="宋体" w:cs="宋体"/>
          <w:color w:val="auto"/>
          <w:highlight w:val="none"/>
        </w:rPr>
        <w:t>第三章  评标方法和标准</w:t>
      </w:r>
      <w:bookmarkEnd w:id="280"/>
      <w:bookmarkEnd w:id="281"/>
      <w:bookmarkEnd w:id="282"/>
      <w:bookmarkEnd w:id="283"/>
      <w:bookmarkEnd w:id="284"/>
      <w:bookmarkEnd w:id="285"/>
      <w:bookmarkEnd w:id="286"/>
    </w:p>
    <w:p w14:paraId="575BD2EA">
      <w:pPr>
        <w:pStyle w:val="8"/>
        <w:tabs>
          <w:tab w:val="clear" w:pos="567"/>
        </w:tabs>
        <w:spacing w:before="0" w:line="360" w:lineRule="auto"/>
        <w:ind w:firstLine="540" w:firstLineChars="225"/>
        <w:rPr>
          <w:rFonts w:hint="eastAsia" w:ascii="宋体" w:hAnsi="宋体" w:eastAsia="宋体" w:cs="宋体"/>
          <w:color w:val="auto"/>
          <w:highlight w:val="none"/>
        </w:rPr>
      </w:pPr>
      <w:r>
        <w:rPr>
          <w:rFonts w:hint="eastAsia" w:ascii="宋体" w:hAnsi="宋体" w:eastAsia="宋体" w:cs="宋体"/>
          <w:color w:val="auto"/>
          <w:highlight w:val="none"/>
        </w:rPr>
        <w:t>采购人委托采购代理机构负责组织本项目的评标工作。资格审查由采购人或者采购代理机构负责，评标工作由评标委员会负责。工作程序如下：</w:t>
      </w:r>
    </w:p>
    <w:p w14:paraId="594C7CB1">
      <w:pPr>
        <w:pStyle w:val="8"/>
        <w:tabs>
          <w:tab w:val="clear" w:pos="567"/>
        </w:tabs>
        <w:spacing w:before="0" w:line="360" w:lineRule="auto"/>
        <w:ind w:firstLine="540" w:firstLineChars="225"/>
        <w:outlineLvl w:val="1"/>
        <w:rPr>
          <w:rFonts w:hint="eastAsia" w:ascii="宋体" w:hAnsi="宋体" w:eastAsia="宋体" w:cs="宋体"/>
          <w:color w:val="auto"/>
          <w:highlight w:val="none"/>
        </w:rPr>
      </w:pPr>
      <w:r>
        <w:rPr>
          <w:rFonts w:hint="eastAsia" w:ascii="宋体" w:hAnsi="宋体" w:eastAsia="宋体" w:cs="宋体"/>
          <w:color w:val="auto"/>
          <w:highlight w:val="none"/>
        </w:rPr>
        <w:t>一、由</w:t>
      </w:r>
      <w:r>
        <w:rPr>
          <w:rFonts w:hint="eastAsia" w:ascii="宋体" w:hAnsi="宋体" w:eastAsia="宋体" w:cs="宋体"/>
          <w:b/>
          <w:color w:val="auto"/>
          <w:highlight w:val="none"/>
        </w:rPr>
        <w:t>采购人</w:t>
      </w:r>
      <w:r>
        <w:rPr>
          <w:rFonts w:hint="eastAsia" w:ascii="宋体" w:hAnsi="宋体" w:eastAsia="宋体" w:cs="宋体"/>
          <w:color w:val="auto"/>
          <w:highlight w:val="none"/>
        </w:rPr>
        <w:t>负责资格审查工作。资格审查标准见本章附表一。</w:t>
      </w:r>
    </w:p>
    <w:p w14:paraId="4B9D49FA">
      <w:pPr>
        <w:pStyle w:val="8"/>
        <w:tabs>
          <w:tab w:val="clear" w:pos="567"/>
        </w:tabs>
        <w:spacing w:before="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投标文件中的资格证明文件出现下列情况者（但不限于），按无效投标处理：</w:t>
      </w:r>
    </w:p>
    <w:p w14:paraId="5303381E">
      <w:pPr>
        <w:autoSpaceDE w:val="0"/>
        <w:autoSpaceDN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1、投标人资格证明文件的完整性、有效性或符合性不符合要求的。</w:t>
      </w:r>
    </w:p>
    <w:p w14:paraId="33A224E7">
      <w:pPr>
        <w:autoSpaceDE w:val="0"/>
        <w:autoSpaceDN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2、投标人法定代表人授权书的完整性、有效性、符合性不符合要求的。</w:t>
      </w:r>
    </w:p>
    <w:p w14:paraId="485095A6">
      <w:pPr>
        <w:pStyle w:val="8"/>
        <w:tabs>
          <w:tab w:val="clear" w:pos="567"/>
        </w:tabs>
        <w:spacing w:before="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3、信用查询不符合要求的。</w:t>
      </w:r>
    </w:p>
    <w:p w14:paraId="6D2D22E5">
      <w:pPr>
        <w:pStyle w:val="8"/>
        <w:tabs>
          <w:tab w:val="clear" w:pos="567"/>
        </w:tabs>
        <w:spacing w:before="0" w:line="360" w:lineRule="auto"/>
        <w:ind w:firstLine="480" w:firstLineChars="200"/>
        <w:outlineLvl w:val="1"/>
        <w:rPr>
          <w:rFonts w:hint="eastAsia" w:ascii="宋体" w:hAnsi="宋体" w:eastAsia="宋体" w:cs="宋体"/>
          <w:color w:val="auto"/>
          <w:highlight w:val="none"/>
        </w:rPr>
      </w:pPr>
      <w:r>
        <w:rPr>
          <w:rFonts w:hint="eastAsia" w:ascii="宋体" w:hAnsi="宋体" w:eastAsia="宋体" w:cs="宋体"/>
          <w:color w:val="auto"/>
          <w:highlight w:val="none"/>
        </w:rPr>
        <w:t>二、由</w:t>
      </w:r>
      <w:r>
        <w:rPr>
          <w:rFonts w:hint="eastAsia" w:ascii="宋体" w:hAnsi="宋体" w:eastAsia="宋体" w:cs="宋体"/>
          <w:b/>
          <w:color w:val="auto"/>
          <w:highlight w:val="none"/>
        </w:rPr>
        <w:t>评标委员会</w:t>
      </w:r>
      <w:r>
        <w:rPr>
          <w:rFonts w:hint="eastAsia" w:ascii="宋体" w:hAnsi="宋体" w:eastAsia="宋体" w:cs="宋体"/>
          <w:color w:val="auto"/>
          <w:highlight w:val="none"/>
        </w:rPr>
        <w:t>负责的审查评审工作。</w:t>
      </w:r>
    </w:p>
    <w:p w14:paraId="25CDFB01">
      <w:pPr>
        <w:pStyle w:val="8"/>
        <w:tabs>
          <w:tab w:val="clear" w:pos="567"/>
        </w:tabs>
        <w:spacing w:before="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符合性审查是指评标委员会依据招标文件的规定，从商务和技术角度对投标文件的有效性和完整性进行审查，以确定是否对招标文件的实质性要求做出响应。符合性审查标准见本章附表二。出现下列情况者（但不限于），按无效投标处理。</w:t>
      </w:r>
    </w:p>
    <w:p w14:paraId="2F64A271">
      <w:pPr>
        <w:autoSpaceDE w:val="0"/>
        <w:autoSpaceDN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 投标文件未按招标文件要求签署、盖章的。</w:t>
      </w:r>
    </w:p>
    <w:p w14:paraId="1DF2F9E3">
      <w:pPr>
        <w:autoSpaceDE w:val="0"/>
        <w:autoSpaceDN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 投标人投标报价超出采购预算或最高限价的。</w:t>
      </w:r>
    </w:p>
    <w:p w14:paraId="543BB36B">
      <w:pPr>
        <w:autoSpaceDE w:val="0"/>
        <w:autoSpaceDN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 投标人的报价明显低于其他通过符合性审查投标人的报价，有可能影响产品质量或者不能诚信履约的，且投标人不能证明其报价合理性的。</w:t>
      </w:r>
    </w:p>
    <w:p w14:paraId="23CC5055">
      <w:pPr>
        <w:autoSpaceDE w:val="0"/>
        <w:autoSpaceDN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 投标保证金未提交或金额、形式不符合招标文件要求的。</w:t>
      </w:r>
    </w:p>
    <w:p w14:paraId="02F59387">
      <w:pPr>
        <w:autoSpaceDE w:val="0"/>
        <w:autoSpaceDN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 投标内容出现漏项或数量与要求不符或投标内容的技术指标达不到招标文件要求，造成采购档次降低或影响采购性能、功能。</w:t>
      </w:r>
    </w:p>
    <w:p w14:paraId="7CE52B90">
      <w:pPr>
        <w:pStyle w:val="8"/>
        <w:tabs>
          <w:tab w:val="clear" w:pos="567"/>
        </w:tabs>
        <w:spacing w:before="0" w:line="360" w:lineRule="auto"/>
        <w:ind w:firstLine="360" w:firstLineChars="150"/>
        <w:rPr>
          <w:rFonts w:hint="eastAsia" w:ascii="宋体" w:hAnsi="宋体" w:eastAsia="宋体" w:cs="宋体"/>
          <w:color w:val="auto"/>
          <w:highlight w:val="none"/>
        </w:rPr>
      </w:pPr>
      <w:r>
        <w:rPr>
          <w:rFonts w:hint="eastAsia" w:ascii="宋体" w:hAnsi="宋体" w:eastAsia="宋体" w:cs="宋体"/>
          <w:color w:val="auto"/>
          <w:highlight w:val="none"/>
        </w:rPr>
        <w:t>2、如有必要，要求投标人对投标文件有关事项作出书面澄清或者说明。</w:t>
      </w:r>
    </w:p>
    <w:p w14:paraId="78B322DC">
      <w:pPr>
        <w:pStyle w:val="8"/>
        <w:tabs>
          <w:tab w:val="clear" w:pos="567"/>
        </w:tabs>
        <w:spacing w:before="0" w:line="360" w:lineRule="auto"/>
        <w:ind w:left="120" w:firstLine="240" w:firstLineChars="100"/>
        <w:rPr>
          <w:rFonts w:hint="eastAsia" w:ascii="宋体" w:hAnsi="宋体" w:eastAsia="宋体" w:cs="宋体"/>
          <w:color w:val="auto"/>
          <w:highlight w:val="none"/>
        </w:rPr>
      </w:pPr>
      <w:r>
        <w:rPr>
          <w:rFonts w:hint="eastAsia" w:ascii="宋体" w:hAnsi="宋体" w:eastAsia="宋体" w:cs="宋体"/>
          <w:color w:val="auto"/>
          <w:highlight w:val="none"/>
        </w:rPr>
        <w:t>3、对投标文件进行比较和评价。评审要素和标准见本章附表三。</w:t>
      </w:r>
    </w:p>
    <w:p w14:paraId="4B433E66">
      <w:pPr>
        <w:pStyle w:val="8"/>
        <w:tabs>
          <w:tab w:val="clear" w:pos="567"/>
        </w:tabs>
        <w:spacing w:before="0" w:line="360" w:lineRule="auto"/>
        <w:ind w:firstLine="360" w:firstLineChars="150"/>
        <w:rPr>
          <w:rFonts w:hint="eastAsia" w:ascii="宋体" w:hAnsi="宋体" w:eastAsia="宋体" w:cs="宋体"/>
          <w:color w:val="auto"/>
          <w:highlight w:val="none"/>
        </w:rPr>
      </w:pPr>
      <w:r>
        <w:rPr>
          <w:rFonts w:hint="eastAsia" w:ascii="宋体" w:hAnsi="宋体" w:eastAsia="宋体" w:cs="宋体"/>
          <w:color w:val="auto"/>
          <w:highlight w:val="none"/>
        </w:rPr>
        <w:t>3.1 如本项目评标方法为最低评标价法，评标委员会在审查投标文件满足招标文件全部实质性要求后，按投标报价从低到高顺序确定中标候选人。</w:t>
      </w:r>
    </w:p>
    <w:p w14:paraId="046198CE">
      <w:pPr>
        <w:pStyle w:val="8"/>
        <w:tabs>
          <w:tab w:val="clear" w:pos="567"/>
        </w:tabs>
        <w:spacing w:before="0" w:line="360" w:lineRule="auto"/>
        <w:ind w:firstLine="540" w:firstLineChars="225"/>
        <w:rPr>
          <w:rFonts w:hint="eastAsia" w:ascii="宋体" w:hAnsi="宋体" w:eastAsia="宋体" w:cs="宋体"/>
          <w:color w:val="auto"/>
          <w:highlight w:val="none"/>
        </w:rPr>
      </w:pPr>
      <w:r>
        <w:rPr>
          <w:rFonts w:hint="eastAsia" w:ascii="宋体" w:hAnsi="宋体" w:eastAsia="宋体" w:cs="宋体"/>
          <w:color w:val="auto"/>
          <w:highlight w:val="none"/>
        </w:rPr>
        <w:t>除了算术修正和落实政府采购政策需进行的价格扣除外，不得对投标人的投标价格进行任何调整。</w:t>
      </w:r>
    </w:p>
    <w:p w14:paraId="322FFCC5">
      <w:pPr>
        <w:pStyle w:val="8"/>
        <w:tabs>
          <w:tab w:val="clear" w:pos="567"/>
        </w:tabs>
        <w:spacing w:before="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3.2 如本项目评标方法为综合评分法，评标委员会对满足招标文件全部实质性要求的投标文件，按照招标文件规定的评审因素的量化指标进行评审打分，以评审得分从高到低顺序确定中标候选人。</w:t>
      </w:r>
    </w:p>
    <w:p w14:paraId="518FE2BA">
      <w:pPr>
        <w:pStyle w:val="8"/>
        <w:tabs>
          <w:tab w:val="clear" w:pos="567"/>
        </w:tabs>
        <w:spacing w:before="0" w:line="360" w:lineRule="auto"/>
        <w:ind w:firstLine="540" w:firstLineChars="225"/>
        <w:rPr>
          <w:rFonts w:hint="eastAsia" w:ascii="宋体" w:hAnsi="宋体" w:eastAsia="宋体" w:cs="宋体"/>
          <w:color w:val="auto"/>
          <w:highlight w:val="none"/>
        </w:rPr>
      </w:pPr>
      <w:r>
        <w:rPr>
          <w:rFonts w:hint="eastAsia" w:ascii="宋体" w:hAnsi="宋体" w:eastAsia="宋体" w:cs="宋体"/>
          <w:color w:val="auto"/>
          <w:highlight w:val="none"/>
        </w:rPr>
        <w:t>评标委员会每位成员独立对每个有效投标人的投标文件进行评价、打分；然后汇总每个投</w:t>
      </w:r>
    </w:p>
    <w:p w14:paraId="18B9A8C4">
      <w:pPr>
        <w:pStyle w:val="8"/>
        <w:tabs>
          <w:tab w:val="clear" w:pos="567"/>
        </w:tabs>
        <w:spacing w:before="0" w:line="360" w:lineRule="auto"/>
        <w:ind w:firstLine="540" w:firstLineChars="225"/>
        <w:rPr>
          <w:rFonts w:hint="eastAsia" w:ascii="宋体" w:hAnsi="宋体" w:eastAsia="宋体" w:cs="宋体"/>
          <w:color w:val="auto"/>
          <w:highlight w:val="none"/>
        </w:rPr>
      </w:pPr>
    </w:p>
    <w:p w14:paraId="0CAA82BB">
      <w:pPr>
        <w:pStyle w:val="8"/>
        <w:tabs>
          <w:tab w:val="clear" w:pos="567"/>
        </w:tabs>
        <w:spacing w:before="0" w:line="360" w:lineRule="auto"/>
        <w:rPr>
          <w:rFonts w:hint="eastAsia" w:ascii="宋体" w:hAnsi="宋体" w:eastAsia="宋体" w:cs="宋体"/>
          <w:color w:val="auto"/>
          <w:highlight w:val="none"/>
        </w:rPr>
      </w:pPr>
      <w:r>
        <w:rPr>
          <w:rFonts w:hint="eastAsia" w:ascii="宋体" w:hAnsi="宋体" w:eastAsia="宋体" w:cs="宋体"/>
          <w:color w:val="auto"/>
          <w:highlight w:val="none"/>
        </w:rPr>
        <w:t>标人的得分，计算得分平均值，以平均值由高到低进行排序，按排序顺序推荐中标候选人。分值计算保留小数点后</w:t>
      </w:r>
      <w:r>
        <w:rPr>
          <w:rFonts w:hint="eastAsia" w:ascii="宋体" w:hAnsi="宋体" w:eastAsia="宋体" w:cs="宋体"/>
          <w:color w:val="auto"/>
          <w:highlight w:val="none"/>
          <w:lang w:val="en-US" w:eastAsia="zh-CN"/>
        </w:rPr>
        <w:t>两</w:t>
      </w:r>
      <w:r>
        <w:rPr>
          <w:rFonts w:hint="eastAsia" w:ascii="宋体" w:hAnsi="宋体" w:eastAsia="宋体" w:cs="宋体"/>
          <w:color w:val="auto"/>
          <w:highlight w:val="none"/>
        </w:rPr>
        <w:t>位，第二位四舍五入。</w:t>
      </w:r>
    </w:p>
    <w:p w14:paraId="3A84B5B9">
      <w:pPr>
        <w:pStyle w:val="8"/>
        <w:tabs>
          <w:tab w:val="clear" w:pos="567"/>
        </w:tabs>
        <w:spacing w:before="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4、推荐中标候选人名单，或者根据采购人委托直接确定中标人。</w:t>
      </w:r>
    </w:p>
    <w:p w14:paraId="161E994A">
      <w:pPr>
        <w:pStyle w:val="8"/>
        <w:tabs>
          <w:tab w:val="clear" w:pos="567"/>
        </w:tabs>
        <w:spacing w:before="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5、采购代理机构</w:t>
      </w:r>
      <w:r>
        <w:rPr>
          <w:rFonts w:hint="eastAsia" w:ascii="宋体" w:hAnsi="宋体" w:eastAsia="宋体" w:cs="宋体"/>
          <w:color w:val="auto"/>
          <w:highlight w:val="none"/>
          <w:lang w:val="en-US" w:eastAsia="zh-CN"/>
        </w:rPr>
        <w:t>复核评标报告</w:t>
      </w:r>
      <w:r>
        <w:rPr>
          <w:rFonts w:hint="eastAsia" w:ascii="宋体" w:hAnsi="宋体" w:eastAsia="宋体" w:cs="宋体"/>
          <w:color w:val="auto"/>
          <w:highlight w:val="none"/>
        </w:rPr>
        <w:t>。</w:t>
      </w:r>
    </w:p>
    <w:p w14:paraId="4F77E235">
      <w:pPr>
        <w:pStyle w:val="8"/>
        <w:tabs>
          <w:tab w:val="clear" w:pos="567"/>
        </w:tabs>
        <w:spacing w:before="0" w:line="360" w:lineRule="auto"/>
        <w:ind w:firstLine="480" w:firstLineChars="200"/>
        <w:outlineLvl w:val="1"/>
        <w:rPr>
          <w:rFonts w:hint="eastAsia" w:ascii="宋体" w:hAnsi="宋体" w:eastAsia="宋体" w:cs="宋体"/>
          <w:color w:val="auto"/>
          <w:highlight w:val="none"/>
        </w:rPr>
      </w:pPr>
      <w:r>
        <w:rPr>
          <w:rFonts w:hint="eastAsia" w:ascii="宋体" w:hAnsi="宋体" w:eastAsia="宋体" w:cs="宋体"/>
          <w:color w:val="auto"/>
          <w:highlight w:val="none"/>
        </w:rPr>
        <w:t>三、评审标准中应</w:t>
      </w:r>
      <w:r>
        <w:rPr>
          <w:rFonts w:hint="eastAsia" w:ascii="宋体" w:hAnsi="宋体" w:eastAsia="宋体" w:cs="宋体"/>
          <w:color w:val="auto"/>
          <w:highlight w:val="none"/>
          <w:lang w:val="en-US" w:eastAsia="zh-CN"/>
        </w:rPr>
        <w:t>落实的政府采购政策及应</w:t>
      </w:r>
      <w:r>
        <w:rPr>
          <w:rFonts w:hint="eastAsia" w:ascii="宋体" w:hAnsi="宋体" w:eastAsia="宋体" w:cs="宋体"/>
          <w:color w:val="auto"/>
          <w:highlight w:val="none"/>
        </w:rPr>
        <w:t>考虑因素</w:t>
      </w:r>
    </w:p>
    <w:p w14:paraId="126149D5">
      <w:pPr>
        <w:pStyle w:val="8"/>
        <w:tabs>
          <w:tab w:val="clear" w:pos="567"/>
        </w:tabs>
        <w:spacing w:before="0" w:line="360" w:lineRule="auto"/>
        <w:ind w:firstLine="540" w:firstLineChars="225"/>
        <w:rPr>
          <w:rFonts w:hint="eastAsia" w:ascii="宋体" w:hAnsi="宋体" w:eastAsia="宋体" w:cs="宋体"/>
          <w:color w:val="auto"/>
          <w:highlight w:val="none"/>
        </w:rPr>
      </w:pPr>
      <w:r>
        <w:rPr>
          <w:rFonts w:hint="eastAsia" w:ascii="宋体" w:hAnsi="宋体" w:eastAsia="宋体" w:cs="宋体"/>
          <w:color w:val="auto"/>
          <w:highlight w:val="none"/>
        </w:rPr>
        <w:t>1、根据《关于进一步加大政府采购支持中小企业力度的通知》（财库〔2022〕19号）、《政府采购促进中小企业发展管理办法》（财库〔2020〕46号）、《财政部 司法部关于政府采购支持监狱企业发展有关问题的通知》（财库〔2014〕68号）和《财政部 民政部 中国残疾人联合会关于促进残疾人就业政府采购政策的通知》（财库〔2017〕141号）的规定，对满足价格扣除条件且在投标文件中提交了《中小企业声明函》、《残疾人福利性单位声明函》或省级以上监狱管理局、戒毒管理局（含新疆生产建设兵团）出具的属于监狱企业的证明文件的投标人，其投标报价扣除</w:t>
      </w:r>
      <w:r>
        <w:rPr>
          <w:rFonts w:hint="eastAsia" w:ascii="宋体" w:hAnsi="宋体" w:eastAsia="宋体" w:cs="宋体"/>
          <w:color w:val="auto"/>
          <w:highlight w:val="none"/>
          <w:u w:val="single"/>
        </w:rPr>
        <w:t xml:space="preserve"> </w:t>
      </w:r>
      <w:r>
        <w:rPr>
          <w:rFonts w:hint="eastAsia" w:ascii="宋体" w:hAnsi="宋体" w:eastAsia="宋体" w:cs="宋体"/>
          <w:i/>
          <w:color w:val="auto"/>
          <w:highlight w:val="none"/>
          <w:u w:val="single"/>
        </w:rPr>
        <w:t>10%</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后参与评审。对于同时属于小微企业、监狱企业或残疾人福利性单位的，不重复进行投标报价扣除。</w:t>
      </w:r>
    </w:p>
    <w:p w14:paraId="393E7787">
      <w:pPr>
        <w:pStyle w:val="8"/>
        <w:tabs>
          <w:tab w:val="clear" w:pos="567"/>
        </w:tabs>
        <w:spacing w:before="0" w:line="360" w:lineRule="auto"/>
        <w:ind w:firstLine="540" w:firstLineChars="225"/>
        <w:rPr>
          <w:rFonts w:hint="eastAsia" w:ascii="宋体" w:hAnsi="宋体" w:eastAsia="宋体" w:cs="宋体"/>
          <w:color w:val="auto"/>
          <w:highlight w:val="none"/>
        </w:rPr>
      </w:pPr>
      <w:r>
        <w:rPr>
          <w:rFonts w:hint="eastAsia" w:ascii="宋体" w:hAnsi="宋体" w:eastAsia="宋体" w:cs="宋体"/>
          <w:color w:val="auto"/>
          <w:highlight w:val="none"/>
        </w:rPr>
        <w:t>如项目专门面向中小企业采购，则不再进行价格扣除。</w:t>
      </w:r>
    </w:p>
    <w:p w14:paraId="3EB3C760">
      <w:pPr>
        <w:pStyle w:val="8"/>
        <w:tabs>
          <w:tab w:val="clear" w:pos="567"/>
        </w:tabs>
        <w:spacing w:before="0" w:line="360" w:lineRule="auto"/>
        <w:ind w:firstLine="540" w:firstLineChars="225"/>
        <w:rPr>
          <w:rFonts w:hint="eastAsia" w:ascii="宋体" w:hAnsi="宋体" w:eastAsia="宋体" w:cs="宋体"/>
          <w:color w:val="auto"/>
          <w:highlight w:val="none"/>
        </w:rPr>
      </w:pPr>
      <w:r>
        <w:rPr>
          <w:rFonts w:hint="eastAsia" w:ascii="宋体" w:hAnsi="宋体" w:eastAsia="宋体" w:cs="宋体"/>
          <w:color w:val="auto"/>
          <w:highlight w:val="none"/>
        </w:rPr>
        <w:t>2、联合协议或分包意向协议（如有）中约定，小型、微型企业的合同金额占到合同总金额30%以上的，可给予联合体</w:t>
      </w:r>
      <w:r>
        <w:rPr>
          <w:rFonts w:hint="eastAsia" w:ascii="宋体" w:hAnsi="宋体" w:eastAsia="宋体" w:cs="宋体"/>
          <w:color w:val="auto"/>
          <w:highlight w:val="none"/>
          <w:u w:val="single"/>
        </w:rPr>
        <w:t>4%</w:t>
      </w:r>
      <w:r>
        <w:rPr>
          <w:rFonts w:hint="eastAsia" w:ascii="宋体" w:hAnsi="宋体" w:eastAsia="宋体" w:cs="宋体"/>
          <w:color w:val="auto"/>
          <w:highlight w:val="none"/>
        </w:rPr>
        <w:t>的价格扣除。</w:t>
      </w:r>
    </w:p>
    <w:p w14:paraId="716988C8">
      <w:pPr>
        <w:pStyle w:val="8"/>
        <w:tabs>
          <w:tab w:val="clear" w:pos="567"/>
        </w:tabs>
        <w:spacing w:before="0" w:line="360" w:lineRule="auto"/>
        <w:ind w:firstLine="540" w:firstLineChars="225"/>
        <w:rPr>
          <w:rFonts w:hint="eastAsia" w:ascii="宋体" w:hAnsi="宋体" w:eastAsia="宋体" w:cs="宋体"/>
          <w:color w:val="auto"/>
          <w:highlight w:val="none"/>
        </w:rPr>
      </w:pPr>
      <w:r>
        <w:rPr>
          <w:rFonts w:hint="eastAsia" w:ascii="宋体" w:hAnsi="宋体" w:eastAsia="宋体" w:cs="宋体"/>
          <w:color w:val="auto"/>
          <w:highlight w:val="none"/>
        </w:rPr>
        <w:t>联合体各方均为小型、微型企业和监狱企业的，联合体视同为小型、微型企业和监狱企业。</w:t>
      </w:r>
    </w:p>
    <w:p w14:paraId="2C5F2B91">
      <w:pPr>
        <w:pStyle w:val="8"/>
        <w:tabs>
          <w:tab w:val="clear" w:pos="567"/>
        </w:tabs>
        <w:spacing w:before="0" w:line="360" w:lineRule="auto"/>
        <w:ind w:firstLine="540" w:firstLineChars="225"/>
        <w:rPr>
          <w:rFonts w:hint="eastAsia" w:ascii="宋体" w:hAnsi="宋体" w:eastAsia="宋体" w:cs="宋体"/>
          <w:color w:val="auto"/>
          <w:highlight w:val="none"/>
        </w:rPr>
      </w:pPr>
      <w:r>
        <w:rPr>
          <w:rFonts w:hint="eastAsia" w:ascii="宋体" w:hAnsi="宋体" w:eastAsia="宋体" w:cs="宋体"/>
          <w:color w:val="auto"/>
          <w:highlight w:val="none"/>
        </w:rPr>
        <w:t>3、根据《关于调整优化节能产品、环境标志产品政府采购执行机制的通知》（财库〔2019〕9号）的规定，投标人</w:t>
      </w:r>
      <w:r>
        <w:rPr>
          <w:rFonts w:hint="eastAsia" w:ascii="宋体" w:hAnsi="宋体" w:eastAsia="宋体" w:cs="宋体"/>
          <w:color w:val="auto"/>
          <w:highlight w:val="none"/>
          <w:lang w:val="en-US" w:eastAsia="zh-CN"/>
        </w:rPr>
        <w:t>所投产品</w:t>
      </w:r>
      <w:r>
        <w:rPr>
          <w:rFonts w:hint="eastAsia" w:ascii="宋体" w:hAnsi="宋体" w:eastAsia="宋体" w:cs="宋体"/>
          <w:color w:val="auto"/>
          <w:highlight w:val="none"/>
        </w:rPr>
        <w:t>属于节能产品、环境标志产品品目清单范围内，且投标人所投产品具有有效期内的产品认证证书，在评标时予以优先采购，具体见评审因素和指标内容。</w:t>
      </w:r>
    </w:p>
    <w:p w14:paraId="283D1B42">
      <w:pPr>
        <w:pStyle w:val="8"/>
        <w:tabs>
          <w:tab w:val="clear" w:pos="567"/>
        </w:tabs>
        <w:spacing w:before="0" w:line="360" w:lineRule="auto"/>
        <w:ind w:firstLine="540" w:firstLineChars="225"/>
        <w:rPr>
          <w:rFonts w:hint="eastAsia" w:ascii="宋体" w:hAnsi="宋体" w:eastAsia="宋体" w:cs="宋体"/>
          <w:color w:val="auto"/>
          <w:highlight w:val="none"/>
        </w:rPr>
      </w:pPr>
      <w:r>
        <w:rPr>
          <w:rFonts w:hint="eastAsia" w:ascii="宋体" w:hAnsi="宋体" w:eastAsia="宋体" w:cs="宋体"/>
          <w:color w:val="auto"/>
          <w:highlight w:val="none"/>
        </w:rPr>
        <w:t>4、如投标人</w:t>
      </w:r>
      <w:r>
        <w:rPr>
          <w:rFonts w:hint="eastAsia" w:ascii="宋体" w:hAnsi="宋体" w:eastAsia="宋体" w:cs="宋体"/>
          <w:color w:val="auto"/>
          <w:highlight w:val="none"/>
          <w:lang w:val="en-US" w:eastAsia="zh-CN"/>
        </w:rPr>
        <w:t>所投产品</w:t>
      </w:r>
      <w:r>
        <w:rPr>
          <w:rFonts w:hint="eastAsia" w:ascii="宋体" w:hAnsi="宋体" w:eastAsia="宋体" w:cs="宋体"/>
          <w:color w:val="auto"/>
          <w:highlight w:val="none"/>
        </w:rPr>
        <w:t>为政府强制采购的节能产品，投标人应提供有效期内的认证证书或相关证明，否则其投标将被认定为投标无效。</w:t>
      </w:r>
    </w:p>
    <w:p w14:paraId="146F6F7B">
      <w:pPr>
        <w:pStyle w:val="8"/>
        <w:tabs>
          <w:tab w:val="clear" w:pos="567"/>
        </w:tabs>
        <w:spacing w:before="0" w:line="360" w:lineRule="auto"/>
        <w:ind w:firstLine="540" w:firstLineChars="225"/>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如投标人所投产品属于网络关键设备和网络安全专用产品的，投标人所投产品应为经具备资格的机构安全认证合格或者安全检测符合要求的产品。投标人应提供相关证明，否则其投标将被认定为投标无效。</w:t>
      </w:r>
    </w:p>
    <w:p w14:paraId="16B5E708">
      <w:pPr>
        <w:pStyle w:val="8"/>
        <w:tabs>
          <w:tab w:val="clear" w:pos="567"/>
        </w:tabs>
        <w:spacing w:before="0" w:line="360" w:lineRule="auto"/>
        <w:ind w:firstLine="540" w:firstLineChars="22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w:t>
      </w:r>
      <w:r>
        <w:rPr>
          <w:rFonts w:hint="eastAsia" w:eastAsia="宋体" w:cs="宋体"/>
          <w:color w:val="auto"/>
          <w:sz w:val="24"/>
          <w:highlight w:val="none"/>
          <w:lang w:eastAsia="zh-CN"/>
        </w:rPr>
        <w:t>政府采购货物项目和服务项目中涉及的货物，</w:t>
      </w:r>
      <w:r>
        <w:rPr>
          <w:rFonts w:hint="eastAsia" w:ascii="宋体" w:hAnsi="宋体" w:eastAsia="宋体" w:cs="宋体"/>
          <w:color w:val="auto"/>
          <w:highlight w:val="none"/>
          <w:lang w:val="en-US" w:eastAsia="zh-CN"/>
        </w:rPr>
        <w:t>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754BDF33">
      <w:pPr>
        <w:pStyle w:val="8"/>
        <w:spacing w:line="360" w:lineRule="auto"/>
        <w:ind w:firstLine="540" w:firstLineChars="225"/>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、采用最低评标价法的采购项目，提供相同品牌产品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单一产品或核心产品品牌相同。核心产品超过一种产品的，核心产品中只要有一种产品为相同品牌，即认定为核心产品为相同品牌</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157F61F2">
      <w:pPr>
        <w:pStyle w:val="8"/>
        <w:tabs>
          <w:tab w:val="clear" w:pos="567"/>
        </w:tabs>
        <w:spacing w:before="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使用综合评分法的采购项目，提供相同品牌产品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单一产品或核心产品品牌相同。核心产品超过一种产品的，核心产品中只要有一种产品为相同品牌，即认定为核心产品为相同品牌</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且通过资格审查、符合性审查的不同投标人参加同一合同项下投标的，按一家投标人计算，评审后得分最高的同品牌投标人获得中标人推荐资格；评审得分相同的，评审得分相同的，投标报价得分高者获得中标单位推荐资格；若投标报价得分相同，技术得分高者获得中标单位推荐资格。若上述两项得分相同，则由全体评标委员会成员无记名投票，得票高者获得中标单位推荐资格，其他同品牌供应商不作为中标候选人。</w:t>
      </w:r>
    </w:p>
    <w:p w14:paraId="6030B3B3">
      <w:pPr>
        <w:pStyle w:val="8"/>
        <w:tabs>
          <w:tab w:val="clear" w:pos="567"/>
        </w:tabs>
        <w:spacing w:before="0" w:line="360" w:lineRule="auto"/>
        <w:ind w:left="-181" w:leftChars="-86" w:firstLine="660" w:firstLineChars="275"/>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、中标候选人并列时的处理方式</w:t>
      </w:r>
    </w:p>
    <w:p w14:paraId="07B92792">
      <w:pPr>
        <w:autoSpaceDE w:val="0"/>
        <w:autoSpaceDN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如采用最低评标办法，则：在全部满足以上实质性要求前提下，依据统一的价格要素评定最低报价，以提出最低报价的投标人作为排名第一的中标候选人。投标报价相同的，按照技术指标优劣排序。</w:t>
      </w:r>
    </w:p>
    <w:p w14:paraId="08F259D1">
      <w:pPr>
        <w:pStyle w:val="8"/>
        <w:tabs>
          <w:tab w:val="clear" w:pos="567"/>
        </w:tabs>
        <w:spacing w:before="0" w:line="360" w:lineRule="auto"/>
        <w:ind w:left="-181" w:leftChars="-86" w:firstLine="660" w:firstLineChars="275"/>
        <w:rPr>
          <w:rFonts w:hint="eastAsia" w:ascii="宋体" w:hAnsi="宋体" w:eastAsia="宋体" w:cs="宋体"/>
          <w:color w:val="auto"/>
          <w:highlight w:val="none"/>
        </w:rPr>
      </w:pPr>
      <w:r>
        <w:rPr>
          <w:rFonts w:hint="eastAsia" w:ascii="宋体" w:hAnsi="宋体" w:eastAsia="宋体" w:cs="宋体"/>
          <w:color w:val="auto"/>
          <w:highlight w:val="none"/>
        </w:rPr>
        <w:t>如采用综合评分法，则：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3C5BDD9">
      <w:pPr>
        <w:pStyle w:val="8"/>
        <w:tabs>
          <w:tab w:val="clear" w:pos="567"/>
        </w:tabs>
        <w:spacing w:before="0" w:line="360" w:lineRule="auto"/>
        <w:jc w:val="center"/>
        <w:outlineLvl w:val="1"/>
        <w:rPr>
          <w:rFonts w:hint="eastAsia" w:ascii="宋体" w:hAnsi="宋体" w:eastAsia="宋体" w:cs="宋体"/>
          <w:b/>
          <w:color w:val="auto"/>
          <w:sz w:val="32"/>
          <w:szCs w:val="32"/>
          <w:highlight w:val="none"/>
        </w:rPr>
      </w:pPr>
      <w:r>
        <w:rPr>
          <w:rFonts w:hint="eastAsia" w:ascii="宋体" w:hAnsi="宋体" w:eastAsia="宋体" w:cs="宋体"/>
          <w:color w:val="auto"/>
          <w:highlight w:val="none"/>
        </w:rPr>
        <w:br w:type="page"/>
      </w:r>
      <w:r>
        <w:rPr>
          <w:rFonts w:hint="eastAsia" w:ascii="宋体" w:hAnsi="宋体" w:eastAsia="宋体" w:cs="宋体"/>
          <w:b/>
          <w:color w:val="auto"/>
          <w:sz w:val="32"/>
          <w:szCs w:val="32"/>
          <w:highlight w:val="none"/>
        </w:rPr>
        <w:t>附表一  资格审查标准</w:t>
      </w:r>
    </w:p>
    <w:tbl>
      <w:tblPr>
        <w:tblStyle w:val="21"/>
        <w:tblW w:w="9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1862"/>
        <w:gridCol w:w="5668"/>
        <w:gridCol w:w="801"/>
      </w:tblGrid>
      <w:tr w14:paraId="457FE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9" w:hRule="atLeast"/>
          <w:tblHeader/>
        </w:trPr>
        <w:tc>
          <w:tcPr>
            <w:tcW w:w="708" w:type="dxa"/>
            <w:noWrap w:val="0"/>
            <w:vAlign w:val="center"/>
          </w:tcPr>
          <w:p w14:paraId="58E2E5EF">
            <w:pPr>
              <w:pStyle w:val="20"/>
              <w:keepNext w:val="0"/>
              <w:keepLines w:val="0"/>
              <w:pageBreakBefore w:val="0"/>
              <w:widowControl w:val="0"/>
              <w:kinsoku/>
              <w:wordWrap/>
              <w:overflowPunct/>
              <w:topLinePunct w:val="0"/>
              <w:autoSpaceDE/>
              <w:autoSpaceDN/>
              <w:bidi w:val="0"/>
              <w:adjustRightInd/>
              <w:snapToGrid/>
              <w:spacing w:line="240" w:lineRule="auto"/>
              <w:ind w:left="117" w:right="111" w:firstLine="17"/>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17"/>
                <w:sz w:val="24"/>
                <w:szCs w:val="24"/>
                <w:highlight w:val="none"/>
                <w:lang w:val="en-US" w:eastAsia="zh-CN"/>
              </w:rPr>
              <w:t>序号</w:t>
            </w:r>
          </w:p>
        </w:tc>
        <w:tc>
          <w:tcPr>
            <w:tcW w:w="1862" w:type="dxa"/>
            <w:noWrap w:val="0"/>
            <w:vAlign w:val="center"/>
          </w:tcPr>
          <w:p w14:paraId="03F27C1D">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审查要素</w:t>
            </w:r>
          </w:p>
        </w:tc>
        <w:tc>
          <w:tcPr>
            <w:tcW w:w="5668" w:type="dxa"/>
            <w:noWrap w:val="0"/>
            <w:vAlign w:val="center"/>
          </w:tcPr>
          <w:p w14:paraId="4395942E">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审查</w:t>
            </w:r>
            <w:r>
              <w:rPr>
                <w:rFonts w:hint="eastAsia" w:ascii="宋体" w:hAnsi="宋体" w:eastAsia="宋体" w:cs="宋体"/>
                <w:b/>
                <w:bCs/>
                <w:color w:val="auto"/>
                <w:spacing w:val="-4"/>
                <w:sz w:val="24"/>
                <w:szCs w:val="24"/>
                <w:highlight w:val="none"/>
              </w:rPr>
              <w:t>标准</w:t>
            </w:r>
          </w:p>
        </w:tc>
        <w:tc>
          <w:tcPr>
            <w:tcW w:w="801" w:type="dxa"/>
            <w:noWrap w:val="0"/>
            <w:vAlign w:val="center"/>
          </w:tcPr>
          <w:p w14:paraId="2EF3CA08">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审查结果</w:t>
            </w:r>
          </w:p>
        </w:tc>
      </w:tr>
      <w:tr w14:paraId="5F406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9" w:hRule="atLeast"/>
        </w:trPr>
        <w:tc>
          <w:tcPr>
            <w:tcW w:w="708" w:type="dxa"/>
            <w:noWrap w:val="0"/>
            <w:vAlign w:val="center"/>
          </w:tcPr>
          <w:p w14:paraId="3DEE5AD9">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862" w:type="dxa"/>
            <w:noWrap w:val="0"/>
            <w:vAlign w:val="center"/>
          </w:tcPr>
          <w:p w14:paraId="6CC18E95">
            <w:pPr>
              <w:pStyle w:val="20"/>
              <w:keepNext w:val="0"/>
              <w:keepLines w:val="0"/>
              <w:pageBreakBefore w:val="0"/>
              <w:widowControl w:val="0"/>
              <w:kinsoku/>
              <w:wordWrap/>
              <w:overflowPunct/>
              <w:topLinePunct w:val="0"/>
              <w:autoSpaceDE/>
              <w:autoSpaceDN/>
              <w:bidi w:val="0"/>
              <w:adjustRightInd/>
              <w:snapToGrid/>
              <w:spacing w:line="240" w:lineRule="auto"/>
              <w:ind w:right="279"/>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有效的主体资格</w:t>
            </w:r>
          </w:p>
        </w:tc>
        <w:tc>
          <w:tcPr>
            <w:tcW w:w="5668" w:type="dxa"/>
            <w:noWrap w:val="0"/>
            <w:vAlign w:val="top"/>
          </w:tcPr>
          <w:p w14:paraId="4B14BC8C">
            <w:pPr>
              <w:pStyle w:val="20"/>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具有独立承担民事责任的能力，提供营业执照、税务登记证、组织机构代码证或登载有统一社会信用代码的营业执照（或《事业单位法人证书》或其他合法组织登记证书、自然人只须提交身份证）；</w:t>
            </w:r>
          </w:p>
        </w:tc>
        <w:tc>
          <w:tcPr>
            <w:tcW w:w="801" w:type="dxa"/>
            <w:noWrap w:val="0"/>
            <w:vAlign w:val="top"/>
          </w:tcPr>
          <w:p w14:paraId="3A4F7FC4">
            <w:pPr>
              <w:pStyle w:val="20"/>
              <w:keepNext w:val="0"/>
              <w:keepLines w:val="0"/>
              <w:pageBreakBefore w:val="0"/>
              <w:widowControl w:val="0"/>
              <w:kinsoku/>
              <w:wordWrap/>
              <w:overflowPunct/>
              <w:topLinePunct w:val="0"/>
              <w:autoSpaceDE/>
              <w:autoSpaceDN/>
              <w:bidi w:val="0"/>
              <w:adjustRightInd/>
              <w:snapToGrid/>
              <w:spacing w:line="240" w:lineRule="auto"/>
              <w:ind w:left="531" w:right="239" w:hanging="409"/>
              <w:textAlignment w:val="auto"/>
              <w:rPr>
                <w:rFonts w:hint="eastAsia" w:ascii="宋体" w:hAnsi="宋体" w:eastAsia="宋体" w:cs="宋体"/>
                <w:color w:val="auto"/>
                <w:spacing w:val="0"/>
                <w:position w:val="-5"/>
                <w:sz w:val="24"/>
                <w:szCs w:val="24"/>
                <w:highlight w:val="none"/>
              </w:rPr>
            </w:pPr>
          </w:p>
        </w:tc>
      </w:tr>
      <w:tr w14:paraId="565D0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atLeast"/>
        </w:trPr>
        <w:tc>
          <w:tcPr>
            <w:tcW w:w="708" w:type="dxa"/>
            <w:noWrap w:val="0"/>
            <w:vAlign w:val="center"/>
          </w:tcPr>
          <w:p w14:paraId="0B5179FB">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862" w:type="dxa"/>
            <w:noWrap w:val="0"/>
            <w:vAlign w:val="center"/>
          </w:tcPr>
          <w:p w14:paraId="47AA17C9">
            <w:pPr>
              <w:pStyle w:val="20"/>
              <w:keepNext w:val="0"/>
              <w:keepLines w:val="0"/>
              <w:pageBreakBefore w:val="0"/>
              <w:widowControl w:val="0"/>
              <w:kinsoku/>
              <w:wordWrap/>
              <w:overflowPunct/>
              <w:topLinePunct w:val="0"/>
              <w:autoSpaceDE/>
              <w:autoSpaceDN/>
              <w:bidi w:val="0"/>
              <w:adjustRightInd/>
              <w:snapToGrid/>
              <w:spacing w:line="240" w:lineRule="auto"/>
              <w:ind w:right="279"/>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法定代表人委托授权书</w:t>
            </w:r>
          </w:p>
        </w:tc>
        <w:tc>
          <w:tcPr>
            <w:tcW w:w="5668" w:type="dxa"/>
            <w:noWrap w:val="0"/>
            <w:vAlign w:val="top"/>
          </w:tcPr>
          <w:p w14:paraId="3A62F9DB">
            <w:pPr>
              <w:pStyle w:val="20"/>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法定代表人委托授权书（法定代表人参加不需提供，但需要提供法定代表人身份证）及被授权人身份证；</w:t>
            </w:r>
          </w:p>
        </w:tc>
        <w:tc>
          <w:tcPr>
            <w:tcW w:w="801" w:type="dxa"/>
            <w:noWrap w:val="0"/>
            <w:vAlign w:val="top"/>
          </w:tcPr>
          <w:p w14:paraId="10DAA243">
            <w:pPr>
              <w:pStyle w:val="20"/>
              <w:keepNext w:val="0"/>
              <w:keepLines w:val="0"/>
              <w:pageBreakBefore w:val="0"/>
              <w:widowControl w:val="0"/>
              <w:kinsoku/>
              <w:wordWrap/>
              <w:overflowPunct/>
              <w:topLinePunct w:val="0"/>
              <w:autoSpaceDE/>
              <w:autoSpaceDN/>
              <w:bidi w:val="0"/>
              <w:adjustRightInd/>
              <w:snapToGrid/>
              <w:spacing w:line="240" w:lineRule="auto"/>
              <w:ind w:left="533" w:right="238" w:hanging="408"/>
              <w:jc w:val="both"/>
              <w:textAlignment w:val="auto"/>
              <w:rPr>
                <w:rFonts w:hint="eastAsia" w:ascii="宋体" w:hAnsi="宋体" w:eastAsia="宋体" w:cs="宋体"/>
                <w:color w:val="auto"/>
                <w:spacing w:val="0"/>
                <w:position w:val="-5"/>
                <w:sz w:val="24"/>
                <w:szCs w:val="24"/>
                <w:highlight w:val="none"/>
              </w:rPr>
            </w:pPr>
          </w:p>
        </w:tc>
      </w:tr>
      <w:tr w14:paraId="3DF51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3" w:hRule="atLeast"/>
        </w:trPr>
        <w:tc>
          <w:tcPr>
            <w:tcW w:w="708" w:type="dxa"/>
            <w:noWrap w:val="0"/>
            <w:vAlign w:val="center"/>
          </w:tcPr>
          <w:p w14:paraId="1300B137">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3</w:t>
            </w:r>
          </w:p>
        </w:tc>
        <w:tc>
          <w:tcPr>
            <w:tcW w:w="1862" w:type="dxa"/>
            <w:noWrap w:val="0"/>
            <w:vAlign w:val="center"/>
          </w:tcPr>
          <w:p w14:paraId="753A58F6">
            <w:pPr>
              <w:pStyle w:val="20"/>
              <w:keepNext w:val="0"/>
              <w:keepLines w:val="0"/>
              <w:pageBreakBefore w:val="0"/>
              <w:widowControl w:val="0"/>
              <w:kinsoku/>
              <w:wordWrap/>
              <w:overflowPunct/>
              <w:topLinePunct w:val="0"/>
              <w:autoSpaceDE/>
              <w:autoSpaceDN/>
              <w:bidi w:val="0"/>
              <w:adjustRightInd/>
              <w:snapToGrid/>
              <w:spacing w:line="240" w:lineRule="auto"/>
              <w:ind w:right="279"/>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主体信用查询记录</w:t>
            </w:r>
          </w:p>
        </w:tc>
        <w:tc>
          <w:tcPr>
            <w:tcW w:w="5668" w:type="dxa"/>
            <w:noWrap w:val="0"/>
            <w:vAlign w:val="top"/>
          </w:tcPr>
          <w:p w14:paraId="3DEC3E04">
            <w:pPr>
              <w:pStyle w:val="20"/>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在递交投标文件截止时间前被“信用中国”网站（www.creditchina.gov.cn）和中国政府采购网（www.ccgp.gov.cn）上被列入失信被执行人、重大税收违法案件当事人名单、政府采购严重违法失信行为记录名单的，不得参加投标；</w:t>
            </w:r>
          </w:p>
        </w:tc>
        <w:tc>
          <w:tcPr>
            <w:tcW w:w="801" w:type="dxa"/>
            <w:noWrap w:val="0"/>
            <w:vAlign w:val="top"/>
          </w:tcPr>
          <w:p w14:paraId="30E880A7">
            <w:pPr>
              <w:pStyle w:val="20"/>
              <w:keepNext w:val="0"/>
              <w:keepLines w:val="0"/>
              <w:pageBreakBefore w:val="0"/>
              <w:widowControl w:val="0"/>
              <w:kinsoku/>
              <w:wordWrap/>
              <w:overflowPunct/>
              <w:topLinePunct w:val="0"/>
              <w:autoSpaceDE/>
              <w:autoSpaceDN/>
              <w:bidi w:val="0"/>
              <w:adjustRightInd/>
              <w:snapToGrid/>
              <w:spacing w:line="240" w:lineRule="auto"/>
              <w:ind w:left="110" w:right="179" w:firstLine="2"/>
              <w:textAlignment w:val="auto"/>
              <w:rPr>
                <w:rFonts w:hint="eastAsia" w:ascii="宋体" w:hAnsi="宋体" w:eastAsia="宋体" w:cs="宋体"/>
                <w:color w:val="auto"/>
                <w:spacing w:val="0"/>
                <w:sz w:val="24"/>
                <w:szCs w:val="24"/>
                <w:highlight w:val="none"/>
              </w:rPr>
            </w:pPr>
          </w:p>
        </w:tc>
      </w:tr>
      <w:tr w14:paraId="4F4F9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6" w:hRule="atLeast"/>
        </w:trPr>
        <w:tc>
          <w:tcPr>
            <w:tcW w:w="708" w:type="dxa"/>
            <w:noWrap w:val="0"/>
            <w:vAlign w:val="center"/>
          </w:tcPr>
          <w:p w14:paraId="3686C079">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4</w:t>
            </w:r>
          </w:p>
        </w:tc>
        <w:tc>
          <w:tcPr>
            <w:tcW w:w="1862" w:type="dxa"/>
            <w:noWrap w:val="0"/>
            <w:vAlign w:val="center"/>
          </w:tcPr>
          <w:p w14:paraId="3C691784">
            <w:pPr>
              <w:pStyle w:val="20"/>
              <w:keepNext w:val="0"/>
              <w:keepLines w:val="0"/>
              <w:pageBreakBefore w:val="0"/>
              <w:widowControl w:val="0"/>
              <w:kinsoku/>
              <w:wordWrap/>
              <w:overflowPunct/>
              <w:topLinePunct w:val="0"/>
              <w:autoSpaceDE/>
              <w:autoSpaceDN/>
              <w:bidi w:val="0"/>
              <w:adjustRightInd/>
              <w:snapToGrid/>
              <w:spacing w:line="240" w:lineRule="auto"/>
              <w:ind w:right="279"/>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财务状况报告</w:t>
            </w:r>
          </w:p>
        </w:tc>
        <w:tc>
          <w:tcPr>
            <w:tcW w:w="5668" w:type="dxa"/>
            <w:noWrap w:val="0"/>
            <w:vAlign w:val="top"/>
          </w:tcPr>
          <w:p w14:paraId="24B6BE1E">
            <w:pPr>
              <w:pStyle w:val="20"/>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提供2024年或2025年财务审计报告或投标截止时间前六个月内基本开户银行出具的资信证明（成立时间至提交响应文件截止时间不足一年的可提供成立后任意时段的资产负债表）；</w:t>
            </w:r>
          </w:p>
        </w:tc>
        <w:tc>
          <w:tcPr>
            <w:tcW w:w="801" w:type="dxa"/>
            <w:noWrap w:val="0"/>
            <w:vAlign w:val="top"/>
          </w:tcPr>
          <w:p w14:paraId="76959B47">
            <w:pPr>
              <w:pStyle w:val="20"/>
              <w:keepNext w:val="0"/>
              <w:keepLines w:val="0"/>
              <w:pageBreakBefore w:val="0"/>
              <w:widowControl w:val="0"/>
              <w:kinsoku/>
              <w:wordWrap/>
              <w:overflowPunct/>
              <w:topLinePunct w:val="0"/>
              <w:autoSpaceDE/>
              <w:autoSpaceDN/>
              <w:bidi w:val="0"/>
              <w:adjustRightInd/>
              <w:snapToGrid/>
              <w:spacing w:line="240" w:lineRule="auto"/>
              <w:ind w:left="113" w:right="179"/>
              <w:textAlignment w:val="auto"/>
              <w:rPr>
                <w:rFonts w:hint="eastAsia" w:ascii="宋体" w:hAnsi="宋体" w:eastAsia="宋体" w:cs="宋体"/>
                <w:color w:val="auto"/>
                <w:spacing w:val="0"/>
                <w:sz w:val="24"/>
                <w:szCs w:val="24"/>
                <w:highlight w:val="none"/>
              </w:rPr>
            </w:pPr>
          </w:p>
        </w:tc>
      </w:tr>
      <w:tr w14:paraId="63846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708" w:type="dxa"/>
            <w:noWrap w:val="0"/>
            <w:vAlign w:val="center"/>
          </w:tcPr>
          <w:p w14:paraId="2F2BCE24">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5</w:t>
            </w:r>
          </w:p>
        </w:tc>
        <w:tc>
          <w:tcPr>
            <w:tcW w:w="1862" w:type="dxa"/>
            <w:noWrap w:val="0"/>
            <w:vAlign w:val="center"/>
          </w:tcPr>
          <w:p w14:paraId="0E54FB0D">
            <w:pPr>
              <w:pStyle w:val="20"/>
              <w:keepNext w:val="0"/>
              <w:keepLines w:val="0"/>
              <w:pageBreakBefore w:val="0"/>
              <w:widowControl w:val="0"/>
              <w:kinsoku/>
              <w:wordWrap/>
              <w:overflowPunct/>
              <w:topLinePunct w:val="0"/>
              <w:autoSpaceDE/>
              <w:autoSpaceDN/>
              <w:bidi w:val="0"/>
              <w:adjustRightInd/>
              <w:snapToGrid/>
              <w:spacing w:line="240" w:lineRule="auto"/>
              <w:ind w:right="279"/>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税收缴纳证明</w:t>
            </w:r>
          </w:p>
        </w:tc>
        <w:tc>
          <w:tcPr>
            <w:tcW w:w="5668" w:type="dxa"/>
            <w:noWrap w:val="0"/>
            <w:vAlign w:val="center"/>
          </w:tcPr>
          <w:p w14:paraId="6C5C2D83">
            <w:pPr>
              <w:pStyle w:val="20"/>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提供投标截止日前一年内已缴纳的至少1个月的纳税证明或完税证明（任意税种），依法免税的单位应提供相关证明材料；</w:t>
            </w:r>
          </w:p>
        </w:tc>
        <w:tc>
          <w:tcPr>
            <w:tcW w:w="801" w:type="dxa"/>
            <w:noWrap w:val="0"/>
            <w:vAlign w:val="center"/>
          </w:tcPr>
          <w:p w14:paraId="55F0B00B">
            <w:pPr>
              <w:pStyle w:val="20"/>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eastAsia" w:ascii="宋体" w:hAnsi="宋体" w:eastAsia="宋体" w:cs="宋体"/>
                <w:color w:val="auto"/>
                <w:spacing w:val="0"/>
                <w:sz w:val="24"/>
                <w:szCs w:val="24"/>
                <w:highlight w:val="none"/>
              </w:rPr>
            </w:pPr>
          </w:p>
        </w:tc>
      </w:tr>
      <w:tr w14:paraId="6A240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708" w:type="dxa"/>
            <w:noWrap w:val="0"/>
            <w:vAlign w:val="center"/>
          </w:tcPr>
          <w:p w14:paraId="7C2CC233">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6</w:t>
            </w:r>
          </w:p>
        </w:tc>
        <w:tc>
          <w:tcPr>
            <w:tcW w:w="1862" w:type="dxa"/>
            <w:noWrap w:val="0"/>
            <w:vAlign w:val="center"/>
          </w:tcPr>
          <w:p w14:paraId="63DD942B">
            <w:pPr>
              <w:pStyle w:val="20"/>
              <w:keepNext w:val="0"/>
              <w:keepLines w:val="0"/>
              <w:pageBreakBefore w:val="0"/>
              <w:widowControl w:val="0"/>
              <w:kinsoku/>
              <w:wordWrap/>
              <w:overflowPunct/>
              <w:topLinePunct w:val="0"/>
              <w:autoSpaceDE/>
              <w:autoSpaceDN/>
              <w:bidi w:val="0"/>
              <w:adjustRightInd/>
              <w:snapToGrid/>
              <w:spacing w:line="240" w:lineRule="auto"/>
              <w:ind w:right="279"/>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社会保障资金缴纳证明</w:t>
            </w:r>
          </w:p>
        </w:tc>
        <w:tc>
          <w:tcPr>
            <w:tcW w:w="5668" w:type="dxa"/>
            <w:noWrap w:val="0"/>
            <w:vAlign w:val="center"/>
          </w:tcPr>
          <w:p w14:paraId="34E4617E">
            <w:pPr>
              <w:pStyle w:val="20"/>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提供投标截止日前一年内已缴存的至少1个月的社会保障资金缴存单据或社保机构开具的社会保险参保缴费情况证明，依法不需要缴纳社会保障资金的单位应提供相关证明材料；</w:t>
            </w:r>
          </w:p>
        </w:tc>
        <w:tc>
          <w:tcPr>
            <w:tcW w:w="801" w:type="dxa"/>
            <w:noWrap w:val="0"/>
            <w:vAlign w:val="center"/>
          </w:tcPr>
          <w:p w14:paraId="580BBBC9">
            <w:pPr>
              <w:pStyle w:val="20"/>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eastAsia" w:ascii="宋体" w:hAnsi="宋体" w:eastAsia="宋体" w:cs="宋体"/>
                <w:color w:val="auto"/>
                <w:spacing w:val="0"/>
                <w:sz w:val="24"/>
                <w:szCs w:val="24"/>
                <w:highlight w:val="none"/>
              </w:rPr>
            </w:pPr>
          </w:p>
        </w:tc>
      </w:tr>
      <w:tr w14:paraId="4EBEC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708" w:type="dxa"/>
            <w:noWrap w:val="0"/>
            <w:vAlign w:val="center"/>
          </w:tcPr>
          <w:p w14:paraId="1E0BD58A">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7</w:t>
            </w:r>
          </w:p>
        </w:tc>
        <w:tc>
          <w:tcPr>
            <w:tcW w:w="1862" w:type="dxa"/>
            <w:noWrap w:val="0"/>
            <w:vAlign w:val="center"/>
          </w:tcPr>
          <w:p w14:paraId="5E4C8AAB">
            <w:pPr>
              <w:pStyle w:val="20"/>
              <w:keepNext w:val="0"/>
              <w:keepLines w:val="0"/>
              <w:pageBreakBefore w:val="0"/>
              <w:widowControl w:val="0"/>
              <w:kinsoku/>
              <w:wordWrap/>
              <w:overflowPunct/>
              <w:topLinePunct w:val="0"/>
              <w:autoSpaceDE/>
              <w:autoSpaceDN/>
              <w:bidi w:val="0"/>
              <w:adjustRightInd/>
              <w:snapToGrid/>
              <w:spacing w:line="240" w:lineRule="auto"/>
              <w:ind w:right="279"/>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无</w:t>
            </w:r>
            <w:r>
              <w:rPr>
                <w:rFonts w:hint="eastAsia" w:ascii="宋体" w:hAnsi="宋体" w:eastAsia="宋体" w:cs="宋体"/>
                <w:color w:val="auto"/>
                <w:sz w:val="24"/>
                <w:szCs w:val="24"/>
                <w:highlight w:val="none"/>
              </w:rPr>
              <w:t>重大违法记录书面声明</w:t>
            </w:r>
          </w:p>
        </w:tc>
        <w:tc>
          <w:tcPr>
            <w:tcW w:w="5668" w:type="dxa"/>
            <w:noWrap w:val="0"/>
            <w:vAlign w:val="top"/>
          </w:tcPr>
          <w:p w14:paraId="579C36FB">
            <w:pPr>
              <w:pStyle w:val="20"/>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提供参加政府采购活动前三年内，在经营活动中没有重大违法记录书面声明；</w:t>
            </w:r>
          </w:p>
        </w:tc>
        <w:tc>
          <w:tcPr>
            <w:tcW w:w="801" w:type="dxa"/>
            <w:noWrap w:val="0"/>
            <w:vAlign w:val="top"/>
          </w:tcPr>
          <w:p w14:paraId="739E84C3">
            <w:pPr>
              <w:pStyle w:val="20"/>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宋体" w:hAnsi="宋体" w:eastAsia="宋体" w:cs="宋体"/>
                <w:color w:val="auto"/>
                <w:spacing w:val="0"/>
                <w:sz w:val="24"/>
                <w:szCs w:val="24"/>
                <w:highlight w:val="none"/>
              </w:rPr>
            </w:pPr>
          </w:p>
        </w:tc>
      </w:tr>
      <w:tr w14:paraId="573F1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708" w:type="dxa"/>
            <w:noWrap w:val="0"/>
            <w:vAlign w:val="center"/>
          </w:tcPr>
          <w:p w14:paraId="7193ACC0">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8</w:t>
            </w:r>
          </w:p>
        </w:tc>
        <w:tc>
          <w:tcPr>
            <w:tcW w:w="1862" w:type="dxa"/>
            <w:noWrap w:val="0"/>
            <w:vAlign w:val="center"/>
          </w:tcPr>
          <w:p w14:paraId="731C9B5F">
            <w:pPr>
              <w:pStyle w:val="20"/>
              <w:keepNext w:val="0"/>
              <w:keepLines w:val="0"/>
              <w:pageBreakBefore w:val="0"/>
              <w:widowControl w:val="0"/>
              <w:kinsoku/>
              <w:wordWrap/>
              <w:overflowPunct/>
              <w:topLinePunct w:val="0"/>
              <w:autoSpaceDE/>
              <w:autoSpaceDN/>
              <w:bidi w:val="0"/>
              <w:adjustRightInd/>
              <w:snapToGrid/>
              <w:spacing w:line="240" w:lineRule="auto"/>
              <w:ind w:right="279"/>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供应商资格</w:t>
            </w:r>
          </w:p>
        </w:tc>
        <w:tc>
          <w:tcPr>
            <w:tcW w:w="5668" w:type="dxa"/>
            <w:noWrap w:val="0"/>
            <w:vAlign w:val="center"/>
          </w:tcPr>
          <w:p w14:paraId="5716E11C">
            <w:pPr>
              <w:pStyle w:val="20"/>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提供医疗器械经营许可证、生产企业许可证、产品注册证、营业执照；</w:t>
            </w:r>
          </w:p>
        </w:tc>
        <w:tc>
          <w:tcPr>
            <w:tcW w:w="801" w:type="dxa"/>
            <w:noWrap w:val="0"/>
            <w:vAlign w:val="center"/>
          </w:tcPr>
          <w:p w14:paraId="42CF812F">
            <w:pPr>
              <w:pStyle w:val="20"/>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宋体" w:hAnsi="宋体" w:eastAsia="宋体" w:cs="宋体"/>
                <w:color w:val="auto"/>
                <w:spacing w:val="0"/>
                <w:sz w:val="24"/>
                <w:szCs w:val="24"/>
                <w:highlight w:val="none"/>
              </w:rPr>
            </w:pPr>
          </w:p>
        </w:tc>
      </w:tr>
      <w:tr w14:paraId="17FFB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0" w:hRule="atLeast"/>
        </w:trPr>
        <w:tc>
          <w:tcPr>
            <w:tcW w:w="708" w:type="dxa"/>
            <w:noWrap w:val="0"/>
            <w:vAlign w:val="center"/>
          </w:tcPr>
          <w:p w14:paraId="6FDB3A5B">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9</w:t>
            </w:r>
          </w:p>
        </w:tc>
        <w:tc>
          <w:tcPr>
            <w:tcW w:w="1862" w:type="dxa"/>
            <w:noWrap w:val="0"/>
            <w:vAlign w:val="center"/>
          </w:tcPr>
          <w:p w14:paraId="75ABF08B">
            <w:pPr>
              <w:pStyle w:val="20"/>
              <w:keepNext w:val="0"/>
              <w:keepLines w:val="0"/>
              <w:pageBreakBefore w:val="0"/>
              <w:widowControl w:val="0"/>
              <w:kinsoku/>
              <w:wordWrap/>
              <w:overflowPunct/>
              <w:topLinePunct w:val="0"/>
              <w:autoSpaceDE/>
              <w:autoSpaceDN/>
              <w:bidi w:val="0"/>
              <w:adjustRightInd/>
              <w:snapToGrid/>
              <w:spacing w:line="240" w:lineRule="auto"/>
              <w:ind w:right="279"/>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提供唯一标识信息</w:t>
            </w:r>
          </w:p>
        </w:tc>
        <w:tc>
          <w:tcPr>
            <w:tcW w:w="5668" w:type="dxa"/>
            <w:noWrap w:val="0"/>
            <w:vAlign w:val="center"/>
          </w:tcPr>
          <w:p w14:paraId="6DDDD695">
            <w:pPr>
              <w:pStyle w:val="20"/>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投标人所供第三类医疗器械和部分第二类医疗器械（国家药监局、国家卫生健康委、国家医保局第三批实施医疗器械唯一标识的产品目录2023年第22号）须提供唯一标识信息；</w:t>
            </w:r>
          </w:p>
        </w:tc>
        <w:tc>
          <w:tcPr>
            <w:tcW w:w="801" w:type="dxa"/>
            <w:noWrap w:val="0"/>
            <w:vAlign w:val="center"/>
          </w:tcPr>
          <w:p w14:paraId="19D1A36D">
            <w:pPr>
              <w:pStyle w:val="20"/>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宋体" w:hAnsi="宋体" w:eastAsia="宋体" w:cs="宋体"/>
                <w:color w:val="auto"/>
                <w:spacing w:val="0"/>
                <w:sz w:val="24"/>
                <w:szCs w:val="24"/>
                <w:highlight w:val="none"/>
              </w:rPr>
            </w:pPr>
          </w:p>
        </w:tc>
      </w:tr>
      <w:tr w14:paraId="21A9C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708" w:type="dxa"/>
            <w:noWrap w:val="0"/>
            <w:vAlign w:val="center"/>
          </w:tcPr>
          <w:p w14:paraId="5B5F01C4">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10</w:t>
            </w:r>
          </w:p>
        </w:tc>
        <w:tc>
          <w:tcPr>
            <w:tcW w:w="1862" w:type="dxa"/>
            <w:noWrap w:val="0"/>
            <w:vAlign w:val="center"/>
          </w:tcPr>
          <w:p w14:paraId="68F9026C">
            <w:pPr>
              <w:pStyle w:val="20"/>
              <w:keepNext w:val="0"/>
              <w:keepLines w:val="0"/>
              <w:pageBreakBefore w:val="0"/>
              <w:widowControl w:val="0"/>
              <w:kinsoku/>
              <w:wordWrap/>
              <w:overflowPunct/>
              <w:topLinePunct w:val="0"/>
              <w:autoSpaceDE/>
              <w:autoSpaceDN/>
              <w:bidi w:val="0"/>
              <w:adjustRightInd/>
              <w:snapToGrid/>
              <w:spacing w:line="240" w:lineRule="auto"/>
              <w:ind w:right="279"/>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本项目不接受联合体投标</w:t>
            </w:r>
          </w:p>
        </w:tc>
        <w:tc>
          <w:tcPr>
            <w:tcW w:w="5668" w:type="dxa"/>
            <w:noWrap w:val="0"/>
            <w:vAlign w:val="center"/>
          </w:tcPr>
          <w:p w14:paraId="5050A808">
            <w:pPr>
              <w:pStyle w:val="20"/>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w:t>
            </w:r>
          </w:p>
        </w:tc>
        <w:tc>
          <w:tcPr>
            <w:tcW w:w="801" w:type="dxa"/>
            <w:noWrap w:val="0"/>
            <w:vAlign w:val="center"/>
          </w:tcPr>
          <w:p w14:paraId="3F411695">
            <w:pPr>
              <w:pStyle w:val="20"/>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宋体" w:hAnsi="宋体" w:eastAsia="宋体" w:cs="宋体"/>
                <w:color w:val="auto"/>
                <w:spacing w:val="0"/>
                <w:sz w:val="24"/>
                <w:szCs w:val="24"/>
                <w:highlight w:val="none"/>
              </w:rPr>
            </w:pPr>
          </w:p>
        </w:tc>
      </w:tr>
      <w:tr w14:paraId="145C0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708" w:type="dxa"/>
            <w:noWrap w:val="0"/>
            <w:vAlign w:val="center"/>
          </w:tcPr>
          <w:p w14:paraId="0B2D75CA">
            <w:pPr>
              <w:pStyle w:val="2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11</w:t>
            </w:r>
          </w:p>
        </w:tc>
        <w:tc>
          <w:tcPr>
            <w:tcW w:w="1862" w:type="dxa"/>
            <w:noWrap w:val="0"/>
            <w:vAlign w:val="center"/>
          </w:tcPr>
          <w:p w14:paraId="0A855E7B">
            <w:pPr>
              <w:pStyle w:val="20"/>
              <w:keepNext w:val="0"/>
              <w:keepLines w:val="0"/>
              <w:pageBreakBefore w:val="0"/>
              <w:widowControl w:val="0"/>
              <w:kinsoku/>
              <w:wordWrap/>
              <w:overflowPunct/>
              <w:topLinePunct w:val="0"/>
              <w:autoSpaceDE/>
              <w:autoSpaceDN/>
              <w:bidi w:val="0"/>
              <w:adjustRightInd/>
              <w:snapToGrid/>
              <w:spacing w:line="240" w:lineRule="auto"/>
              <w:ind w:right="279"/>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提供中小企业声明函</w:t>
            </w:r>
          </w:p>
        </w:tc>
        <w:tc>
          <w:tcPr>
            <w:tcW w:w="5668" w:type="dxa"/>
            <w:noWrap w:val="0"/>
            <w:vAlign w:val="center"/>
          </w:tcPr>
          <w:p w14:paraId="15C68DB6">
            <w:pPr>
              <w:pStyle w:val="20"/>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本项目专门面向中小企业，投标企业须提供中小企业声明函。</w:t>
            </w:r>
          </w:p>
        </w:tc>
        <w:tc>
          <w:tcPr>
            <w:tcW w:w="801" w:type="dxa"/>
            <w:noWrap w:val="0"/>
            <w:vAlign w:val="center"/>
          </w:tcPr>
          <w:p w14:paraId="40F0AC03">
            <w:pPr>
              <w:pStyle w:val="20"/>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宋体" w:hAnsi="宋体" w:eastAsia="宋体" w:cs="宋体"/>
                <w:color w:val="auto"/>
                <w:spacing w:val="0"/>
                <w:sz w:val="24"/>
                <w:szCs w:val="24"/>
                <w:highlight w:val="none"/>
              </w:rPr>
            </w:pPr>
          </w:p>
        </w:tc>
      </w:tr>
      <w:tr w14:paraId="3F899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7" w:hRule="atLeast"/>
        </w:trPr>
        <w:tc>
          <w:tcPr>
            <w:tcW w:w="2570" w:type="dxa"/>
            <w:gridSpan w:val="2"/>
            <w:noWrap w:val="0"/>
            <w:vAlign w:val="center"/>
          </w:tcPr>
          <w:p w14:paraId="434796DB">
            <w:pPr>
              <w:pStyle w:val="20"/>
              <w:keepNext w:val="0"/>
              <w:keepLines w:val="0"/>
              <w:pageBreakBefore w:val="0"/>
              <w:widowControl w:val="0"/>
              <w:kinsoku/>
              <w:wordWrap/>
              <w:overflowPunct/>
              <w:topLinePunct w:val="0"/>
              <w:autoSpaceDE/>
              <w:autoSpaceDN/>
              <w:bidi w:val="0"/>
              <w:adjustRightInd/>
              <w:snapToGrid/>
              <w:spacing w:line="240" w:lineRule="auto"/>
              <w:ind w:left="111" w:right="237"/>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审查结论</w:t>
            </w:r>
          </w:p>
        </w:tc>
        <w:tc>
          <w:tcPr>
            <w:tcW w:w="6469" w:type="dxa"/>
            <w:gridSpan w:val="2"/>
            <w:noWrap w:val="0"/>
            <w:vAlign w:val="center"/>
          </w:tcPr>
          <w:p w14:paraId="72993CC0">
            <w:pPr>
              <w:pStyle w:val="20"/>
              <w:keepNext w:val="0"/>
              <w:keepLines w:val="0"/>
              <w:pageBreakBefore w:val="0"/>
              <w:widowControl w:val="0"/>
              <w:kinsoku/>
              <w:wordWrap/>
              <w:overflowPunct/>
              <w:topLinePunct w:val="0"/>
              <w:autoSpaceDE/>
              <w:autoSpaceDN/>
              <w:bidi w:val="0"/>
              <w:adjustRightInd/>
              <w:snapToGrid/>
              <w:spacing w:line="240" w:lineRule="auto"/>
              <w:ind w:left="105" w:leftChars="50" w:right="237"/>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通过/不通过</w:t>
            </w:r>
          </w:p>
        </w:tc>
      </w:tr>
      <w:tr w14:paraId="46555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2570" w:type="dxa"/>
            <w:gridSpan w:val="2"/>
            <w:noWrap w:val="0"/>
            <w:vAlign w:val="center"/>
          </w:tcPr>
          <w:p w14:paraId="19E30046">
            <w:pPr>
              <w:pStyle w:val="20"/>
              <w:keepNext w:val="0"/>
              <w:keepLines w:val="0"/>
              <w:pageBreakBefore w:val="0"/>
              <w:widowControl w:val="0"/>
              <w:kinsoku/>
              <w:wordWrap/>
              <w:overflowPunct/>
              <w:topLinePunct w:val="0"/>
              <w:autoSpaceDE/>
              <w:autoSpaceDN/>
              <w:bidi w:val="0"/>
              <w:adjustRightInd/>
              <w:snapToGrid/>
              <w:spacing w:line="240" w:lineRule="auto"/>
              <w:ind w:left="111" w:right="237"/>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不通过原因说明</w:t>
            </w:r>
          </w:p>
        </w:tc>
        <w:tc>
          <w:tcPr>
            <w:tcW w:w="6469" w:type="dxa"/>
            <w:gridSpan w:val="2"/>
            <w:noWrap w:val="0"/>
            <w:vAlign w:val="center"/>
          </w:tcPr>
          <w:p w14:paraId="48B40418">
            <w:pPr>
              <w:pStyle w:val="20"/>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eastAsia" w:ascii="宋体" w:hAnsi="宋体" w:eastAsia="宋体" w:cs="宋体"/>
                <w:color w:val="auto"/>
                <w:sz w:val="24"/>
                <w:szCs w:val="24"/>
                <w:highlight w:val="none"/>
                <w:lang w:val="en-US" w:eastAsia="zh-CN"/>
              </w:rPr>
            </w:pPr>
          </w:p>
        </w:tc>
      </w:tr>
    </w:tbl>
    <w:p w14:paraId="59644840">
      <w:pPr>
        <w:pStyle w:val="8"/>
        <w:tabs>
          <w:tab w:val="clear" w:pos="567"/>
        </w:tabs>
        <w:spacing w:before="0" w:line="360" w:lineRule="auto"/>
        <w:jc w:val="center"/>
        <w:outlineLvl w:val="1"/>
        <w:rPr>
          <w:rFonts w:hint="eastAsia" w:ascii="宋体" w:hAnsi="宋体" w:eastAsia="宋体" w:cs="宋体"/>
          <w:color w:val="auto"/>
          <w:highlight w:val="none"/>
        </w:rPr>
      </w:pPr>
      <w:r>
        <w:rPr>
          <w:rFonts w:hint="eastAsia" w:ascii="宋体" w:hAnsi="宋体" w:eastAsia="宋体" w:cs="宋体"/>
          <w:b w:val="0"/>
          <w:bCs/>
          <w:color w:val="auto"/>
          <w:sz w:val="24"/>
          <w:szCs w:val="24"/>
          <w:highlight w:val="none"/>
        </w:rPr>
        <w:br w:type="page"/>
      </w:r>
      <w:r>
        <w:rPr>
          <w:rFonts w:hint="eastAsia" w:ascii="宋体" w:hAnsi="宋体" w:eastAsia="宋体" w:cs="宋体"/>
          <w:b/>
          <w:color w:val="auto"/>
          <w:sz w:val="32"/>
          <w:szCs w:val="32"/>
          <w:highlight w:val="none"/>
        </w:rPr>
        <w:t>附表二  符合性审查标准</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638"/>
        <w:gridCol w:w="5244"/>
        <w:gridCol w:w="1623"/>
      </w:tblGrid>
      <w:tr w14:paraId="0EC1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0977691A">
            <w:pPr>
              <w:pStyle w:val="8"/>
              <w:spacing w:before="0" w:line="240" w:lineRule="auto"/>
              <w:jc w:val="center"/>
              <w:rPr>
                <w:rFonts w:hint="eastAsia" w:ascii="宋体" w:eastAsia="宋体" w:cs="宋体"/>
                <w:b/>
                <w:bCs/>
                <w:color w:val="auto"/>
                <w:highlight w:val="none"/>
              </w:rPr>
            </w:pPr>
            <w:r>
              <w:rPr>
                <w:rFonts w:hint="eastAsia" w:ascii="宋体" w:eastAsia="宋体" w:cs="宋体"/>
                <w:b/>
                <w:bCs/>
                <w:color w:val="auto"/>
                <w:highlight w:val="none"/>
              </w:rPr>
              <w:t>序号</w:t>
            </w:r>
          </w:p>
        </w:tc>
        <w:tc>
          <w:tcPr>
            <w:tcW w:w="1638" w:type="dxa"/>
            <w:noWrap w:val="0"/>
            <w:vAlign w:val="center"/>
          </w:tcPr>
          <w:p w14:paraId="66C0E993">
            <w:pPr>
              <w:pStyle w:val="8"/>
              <w:spacing w:before="0" w:line="240" w:lineRule="auto"/>
              <w:jc w:val="center"/>
              <w:rPr>
                <w:rFonts w:hint="eastAsia" w:ascii="宋体" w:eastAsia="宋体" w:cs="宋体"/>
                <w:b/>
                <w:bCs/>
                <w:color w:val="auto"/>
                <w:highlight w:val="none"/>
                <w:lang w:val="en-US" w:eastAsia="zh-CN"/>
              </w:rPr>
            </w:pPr>
            <w:r>
              <w:rPr>
                <w:rFonts w:hint="eastAsia" w:ascii="宋体" w:eastAsia="宋体" w:cs="宋体"/>
                <w:b/>
                <w:bCs/>
                <w:color w:val="auto"/>
                <w:highlight w:val="none"/>
              </w:rPr>
              <w:t>审查</w:t>
            </w:r>
            <w:r>
              <w:rPr>
                <w:rFonts w:hint="eastAsia" w:ascii="宋体" w:eastAsia="宋体" w:cs="宋体"/>
                <w:b/>
                <w:bCs/>
                <w:color w:val="auto"/>
                <w:highlight w:val="none"/>
                <w:lang w:val="en-US" w:eastAsia="zh-CN"/>
              </w:rPr>
              <w:t>要素</w:t>
            </w:r>
          </w:p>
        </w:tc>
        <w:tc>
          <w:tcPr>
            <w:tcW w:w="5244" w:type="dxa"/>
            <w:noWrap w:val="0"/>
            <w:vAlign w:val="center"/>
          </w:tcPr>
          <w:p w14:paraId="3B4EE63C">
            <w:pPr>
              <w:pStyle w:val="8"/>
              <w:spacing w:before="0" w:line="240" w:lineRule="auto"/>
              <w:jc w:val="center"/>
              <w:rPr>
                <w:rFonts w:hint="eastAsia" w:ascii="宋体" w:eastAsia="宋体" w:cs="宋体"/>
                <w:b/>
                <w:bCs/>
                <w:color w:val="auto"/>
                <w:highlight w:val="none"/>
                <w:lang w:val="en-US" w:eastAsia="zh-CN"/>
              </w:rPr>
            </w:pPr>
            <w:r>
              <w:rPr>
                <w:rFonts w:hint="eastAsia" w:ascii="宋体" w:eastAsia="宋体" w:cs="宋体"/>
                <w:b/>
                <w:bCs/>
                <w:color w:val="auto"/>
                <w:highlight w:val="none"/>
                <w:lang w:val="en-US" w:eastAsia="zh-CN"/>
              </w:rPr>
              <w:t>审查标准</w:t>
            </w:r>
          </w:p>
        </w:tc>
        <w:tc>
          <w:tcPr>
            <w:tcW w:w="1623" w:type="dxa"/>
            <w:noWrap w:val="0"/>
            <w:vAlign w:val="center"/>
          </w:tcPr>
          <w:p w14:paraId="1D40C0A0">
            <w:pPr>
              <w:pStyle w:val="8"/>
              <w:spacing w:before="0" w:line="240" w:lineRule="auto"/>
              <w:jc w:val="center"/>
              <w:rPr>
                <w:rFonts w:hint="eastAsia" w:ascii="宋体" w:eastAsia="宋体" w:cs="宋体"/>
                <w:b/>
                <w:bCs/>
                <w:color w:val="auto"/>
                <w:highlight w:val="none"/>
                <w:lang w:val="en-US" w:eastAsia="zh-CN"/>
              </w:rPr>
            </w:pPr>
            <w:r>
              <w:rPr>
                <w:rFonts w:hint="eastAsia" w:ascii="宋体" w:eastAsia="宋体" w:cs="宋体"/>
                <w:b/>
                <w:bCs/>
                <w:color w:val="auto"/>
                <w:highlight w:val="none"/>
                <w:lang w:val="en-US" w:eastAsia="zh-CN"/>
              </w:rPr>
              <w:t>审查结果</w:t>
            </w:r>
          </w:p>
        </w:tc>
      </w:tr>
      <w:tr w14:paraId="3E3F3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780" w:type="dxa"/>
            <w:noWrap w:val="0"/>
            <w:vAlign w:val="center"/>
          </w:tcPr>
          <w:p w14:paraId="66290FC0">
            <w:pPr>
              <w:pStyle w:val="8"/>
              <w:spacing w:before="0" w:line="240" w:lineRule="auto"/>
              <w:jc w:val="center"/>
              <w:rPr>
                <w:rFonts w:hint="eastAsia" w:ascii="宋体" w:eastAsia="宋体" w:cs="宋体"/>
                <w:color w:val="auto"/>
                <w:highlight w:val="none"/>
              </w:rPr>
            </w:pPr>
            <w:r>
              <w:rPr>
                <w:rFonts w:hint="eastAsia" w:ascii="宋体" w:eastAsia="宋体" w:cs="宋体"/>
                <w:color w:val="auto"/>
                <w:highlight w:val="none"/>
              </w:rPr>
              <w:t>1</w:t>
            </w:r>
          </w:p>
        </w:tc>
        <w:tc>
          <w:tcPr>
            <w:tcW w:w="1638" w:type="dxa"/>
            <w:noWrap w:val="0"/>
            <w:vAlign w:val="center"/>
          </w:tcPr>
          <w:p w14:paraId="51F9FE90">
            <w:pPr>
              <w:pStyle w:val="8"/>
              <w:spacing w:before="0" w:line="240" w:lineRule="auto"/>
              <w:jc w:val="center"/>
              <w:rPr>
                <w:rFonts w:hint="eastAsia" w:ascii="宋体" w:eastAsia="宋体" w:cs="宋体"/>
                <w:color w:val="auto"/>
                <w:highlight w:val="none"/>
              </w:rPr>
            </w:pPr>
            <w:r>
              <w:rPr>
                <w:rFonts w:hint="eastAsia" w:ascii="宋体" w:eastAsia="宋体" w:cs="宋体"/>
                <w:color w:val="auto"/>
                <w:highlight w:val="none"/>
                <w:lang w:val="en-US" w:eastAsia="zh-CN"/>
              </w:rPr>
              <w:t>投标文件</w:t>
            </w:r>
            <w:r>
              <w:rPr>
                <w:rFonts w:hint="eastAsia" w:ascii="宋体" w:eastAsia="宋体" w:cs="宋体"/>
                <w:color w:val="auto"/>
                <w:highlight w:val="none"/>
              </w:rPr>
              <w:t>签署、盖章</w:t>
            </w:r>
          </w:p>
        </w:tc>
        <w:tc>
          <w:tcPr>
            <w:tcW w:w="5244" w:type="dxa"/>
            <w:noWrap w:val="0"/>
            <w:vAlign w:val="center"/>
          </w:tcPr>
          <w:p w14:paraId="7856319A">
            <w:pPr>
              <w:pStyle w:val="8"/>
              <w:spacing w:line="240" w:lineRule="auto"/>
              <w:rPr>
                <w:rFonts w:hint="eastAsia" w:ascii="宋体" w:eastAsia="宋体" w:cs="宋体"/>
                <w:color w:val="auto"/>
                <w:highlight w:val="none"/>
              </w:rPr>
            </w:pPr>
            <w:r>
              <w:rPr>
                <w:rFonts w:hint="eastAsia" w:ascii="宋体" w:eastAsia="宋体" w:cs="宋体"/>
                <w:color w:val="auto"/>
                <w:highlight w:val="none"/>
              </w:rPr>
              <w:t>投标文件按招标文件要求签署、盖章</w:t>
            </w:r>
          </w:p>
        </w:tc>
        <w:tc>
          <w:tcPr>
            <w:tcW w:w="1623" w:type="dxa"/>
            <w:noWrap w:val="0"/>
            <w:vAlign w:val="center"/>
          </w:tcPr>
          <w:p w14:paraId="4DEBD5A4">
            <w:pPr>
              <w:pStyle w:val="8"/>
              <w:spacing w:line="240" w:lineRule="auto"/>
              <w:rPr>
                <w:rFonts w:hint="eastAsia" w:ascii="宋体" w:eastAsia="宋体" w:cs="宋体"/>
                <w:color w:val="auto"/>
                <w:highlight w:val="none"/>
              </w:rPr>
            </w:pPr>
          </w:p>
        </w:tc>
      </w:tr>
      <w:tr w14:paraId="60C3C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994EA53">
            <w:pPr>
              <w:pStyle w:val="8"/>
              <w:spacing w:before="0"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eastAsia="宋体" w:cs="宋体"/>
                <w:color w:val="auto"/>
                <w:highlight w:val="none"/>
              </w:rPr>
              <w:t>2</w:t>
            </w:r>
          </w:p>
        </w:tc>
        <w:tc>
          <w:tcPr>
            <w:tcW w:w="1638" w:type="dxa"/>
            <w:noWrap w:val="0"/>
            <w:vAlign w:val="center"/>
          </w:tcPr>
          <w:p w14:paraId="3C311A7F">
            <w:pPr>
              <w:pStyle w:val="8"/>
              <w:spacing w:before="0" w:line="240" w:lineRule="auto"/>
              <w:jc w:val="center"/>
              <w:rPr>
                <w:rFonts w:hint="eastAsia" w:ascii="宋体" w:eastAsia="宋体" w:cs="宋体"/>
                <w:color w:val="auto"/>
                <w:highlight w:val="none"/>
                <w:lang w:val="en-US" w:eastAsia="zh-CN"/>
              </w:rPr>
            </w:pPr>
            <w:r>
              <w:rPr>
                <w:rFonts w:hint="eastAsia" w:ascii="宋体" w:eastAsia="宋体" w:cs="宋体"/>
                <w:color w:val="auto"/>
                <w:highlight w:val="none"/>
                <w:lang w:val="en-US" w:eastAsia="zh-CN"/>
              </w:rPr>
              <w:t>投标有效期</w:t>
            </w:r>
          </w:p>
        </w:tc>
        <w:tc>
          <w:tcPr>
            <w:tcW w:w="5244" w:type="dxa"/>
            <w:noWrap w:val="0"/>
            <w:vAlign w:val="center"/>
          </w:tcPr>
          <w:p w14:paraId="40E70D36">
            <w:pPr>
              <w:pStyle w:val="8"/>
              <w:spacing w:line="240" w:lineRule="auto"/>
              <w:rPr>
                <w:rFonts w:hint="eastAsia" w:ascii="宋体" w:eastAsia="宋体" w:cs="宋体"/>
                <w:color w:val="auto"/>
                <w:highlight w:val="none"/>
                <w:lang w:eastAsia="zh-CN"/>
              </w:rPr>
            </w:pPr>
            <w:r>
              <w:rPr>
                <w:rFonts w:hint="eastAsia" w:ascii="宋体" w:eastAsia="宋体" w:cs="宋体"/>
                <w:color w:val="auto"/>
                <w:highlight w:val="none"/>
              </w:rPr>
              <w:t>投标有效期</w:t>
            </w:r>
            <w:r>
              <w:rPr>
                <w:rFonts w:hint="eastAsia" w:ascii="宋体" w:eastAsia="宋体" w:cs="宋体"/>
                <w:color w:val="auto"/>
                <w:highlight w:val="none"/>
                <w:lang w:val="en-US" w:eastAsia="zh-CN"/>
              </w:rPr>
              <w:t>满足</w:t>
            </w:r>
            <w:r>
              <w:rPr>
                <w:rFonts w:hint="eastAsia" w:ascii="宋体" w:eastAsia="宋体" w:cs="宋体"/>
                <w:color w:val="auto"/>
                <w:highlight w:val="none"/>
              </w:rPr>
              <w:t>招标文件要求</w:t>
            </w:r>
            <w:r>
              <w:rPr>
                <w:rFonts w:hint="eastAsia" w:ascii="宋体" w:eastAsia="宋体" w:cs="宋体"/>
                <w:color w:val="auto"/>
                <w:highlight w:val="none"/>
                <w:lang w:eastAsia="zh-CN"/>
              </w:rPr>
              <w:t>的</w:t>
            </w:r>
          </w:p>
        </w:tc>
        <w:tc>
          <w:tcPr>
            <w:tcW w:w="1623" w:type="dxa"/>
            <w:noWrap w:val="0"/>
            <w:vAlign w:val="center"/>
          </w:tcPr>
          <w:p w14:paraId="75F63D4E">
            <w:pPr>
              <w:pStyle w:val="8"/>
              <w:spacing w:line="240" w:lineRule="auto"/>
              <w:rPr>
                <w:rFonts w:hint="eastAsia" w:ascii="宋体" w:eastAsia="宋体" w:cs="宋体"/>
                <w:color w:val="auto"/>
                <w:highlight w:val="none"/>
              </w:rPr>
            </w:pPr>
          </w:p>
        </w:tc>
      </w:tr>
      <w:tr w14:paraId="5208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7E92C49">
            <w:pPr>
              <w:pStyle w:val="8"/>
              <w:spacing w:before="0"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eastAsia="宋体" w:cs="宋体"/>
                <w:color w:val="auto"/>
                <w:highlight w:val="none"/>
              </w:rPr>
              <w:t>3</w:t>
            </w:r>
          </w:p>
        </w:tc>
        <w:tc>
          <w:tcPr>
            <w:tcW w:w="1638" w:type="dxa"/>
            <w:noWrap w:val="0"/>
            <w:vAlign w:val="center"/>
          </w:tcPr>
          <w:p w14:paraId="1E57D297">
            <w:pPr>
              <w:pStyle w:val="8"/>
              <w:spacing w:before="0" w:line="240" w:lineRule="auto"/>
              <w:jc w:val="center"/>
              <w:rPr>
                <w:rFonts w:hint="eastAsia" w:ascii="宋体" w:eastAsia="宋体" w:cs="宋体"/>
                <w:color w:val="auto"/>
                <w:highlight w:val="none"/>
              </w:rPr>
            </w:pPr>
            <w:r>
              <w:rPr>
                <w:rFonts w:hint="eastAsia" w:ascii="宋体" w:eastAsia="宋体" w:cs="宋体"/>
                <w:color w:val="auto"/>
                <w:highlight w:val="none"/>
              </w:rPr>
              <w:t>投标报价</w:t>
            </w:r>
          </w:p>
        </w:tc>
        <w:tc>
          <w:tcPr>
            <w:tcW w:w="5244" w:type="dxa"/>
            <w:noWrap w:val="0"/>
            <w:vAlign w:val="center"/>
          </w:tcPr>
          <w:p w14:paraId="0A850D76">
            <w:pPr>
              <w:pStyle w:val="8"/>
              <w:spacing w:before="0" w:line="240" w:lineRule="auto"/>
              <w:rPr>
                <w:rFonts w:hint="eastAsia" w:ascii="宋体" w:eastAsia="宋体" w:cs="宋体"/>
                <w:color w:val="auto"/>
                <w:highlight w:val="none"/>
              </w:rPr>
            </w:pPr>
            <w:r>
              <w:rPr>
                <w:rFonts w:hint="eastAsia" w:ascii="宋体" w:eastAsia="宋体" w:cs="宋体"/>
                <w:color w:val="auto"/>
                <w:highlight w:val="none"/>
              </w:rPr>
              <w:t>投标人投标报价</w:t>
            </w:r>
            <w:r>
              <w:rPr>
                <w:rFonts w:hint="eastAsia" w:ascii="宋体" w:eastAsia="宋体" w:cs="宋体"/>
                <w:color w:val="auto"/>
                <w:highlight w:val="none"/>
                <w:lang w:val="en-US" w:eastAsia="zh-CN"/>
              </w:rPr>
              <w:t>没有</w:t>
            </w:r>
            <w:r>
              <w:rPr>
                <w:rFonts w:hint="eastAsia" w:ascii="宋体" w:eastAsia="宋体" w:cs="宋体"/>
                <w:color w:val="auto"/>
                <w:highlight w:val="none"/>
              </w:rPr>
              <w:t>超出采购预算或最高限价</w:t>
            </w:r>
          </w:p>
        </w:tc>
        <w:tc>
          <w:tcPr>
            <w:tcW w:w="1623" w:type="dxa"/>
            <w:noWrap w:val="0"/>
            <w:vAlign w:val="center"/>
          </w:tcPr>
          <w:p w14:paraId="073D1F68">
            <w:pPr>
              <w:pStyle w:val="8"/>
              <w:spacing w:before="0" w:line="240" w:lineRule="auto"/>
              <w:rPr>
                <w:rFonts w:hint="eastAsia" w:ascii="宋体" w:eastAsia="宋体" w:cs="宋体"/>
                <w:color w:val="auto"/>
                <w:highlight w:val="none"/>
              </w:rPr>
            </w:pPr>
          </w:p>
        </w:tc>
      </w:tr>
      <w:tr w14:paraId="4FF49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780" w:type="dxa"/>
            <w:noWrap w:val="0"/>
            <w:vAlign w:val="center"/>
          </w:tcPr>
          <w:p w14:paraId="493FD2EB">
            <w:pPr>
              <w:pStyle w:val="8"/>
              <w:spacing w:before="0"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eastAsia="宋体" w:cs="宋体"/>
                <w:color w:val="auto"/>
                <w:highlight w:val="none"/>
              </w:rPr>
              <w:t>4</w:t>
            </w:r>
          </w:p>
        </w:tc>
        <w:tc>
          <w:tcPr>
            <w:tcW w:w="1638" w:type="dxa"/>
            <w:noWrap w:val="0"/>
            <w:vAlign w:val="center"/>
          </w:tcPr>
          <w:p w14:paraId="05171F4A">
            <w:pPr>
              <w:pStyle w:val="8"/>
              <w:spacing w:before="0" w:line="240" w:lineRule="auto"/>
              <w:jc w:val="center"/>
              <w:rPr>
                <w:rFonts w:hint="eastAsia" w:ascii="宋体" w:eastAsia="宋体" w:cs="宋体"/>
                <w:color w:val="auto"/>
                <w:highlight w:val="none"/>
                <w:lang w:val="en-US" w:eastAsia="zh-CN"/>
              </w:rPr>
            </w:pPr>
            <w:r>
              <w:rPr>
                <w:rFonts w:hint="eastAsia" w:ascii="宋体" w:eastAsia="宋体" w:cs="宋体"/>
                <w:color w:val="auto"/>
                <w:highlight w:val="none"/>
                <w:lang w:val="en-US" w:eastAsia="zh-CN"/>
              </w:rPr>
              <w:t>预防不正当竞争</w:t>
            </w:r>
          </w:p>
        </w:tc>
        <w:tc>
          <w:tcPr>
            <w:tcW w:w="5244" w:type="dxa"/>
            <w:noWrap w:val="0"/>
            <w:vAlign w:val="center"/>
          </w:tcPr>
          <w:p w14:paraId="6A1DF7B1">
            <w:pPr>
              <w:pStyle w:val="8"/>
              <w:spacing w:before="0" w:line="240" w:lineRule="auto"/>
              <w:rPr>
                <w:rFonts w:hint="eastAsia" w:ascii="宋体" w:eastAsia="宋体" w:cs="宋体"/>
                <w:color w:val="auto"/>
                <w:highlight w:val="none"/>
                <w:lang w:val="en-US" w:eastAsia="zh-CN"/>
              </w:rPr>
            </w:pPr>
            <w:r>
              <w:rPr>
                <w:rFonts w:hint="eastAsia" w:ascii="宋体" w:eastAsia="宋体" w:cs="宋体"/>
                <w:color w:val="auto"/>
                <w:highlight w:val="none"/>
              </w:rPr>
              <w:t>投标人的报价</w:t>
            </w:r>
            <w:r>
              <w:rPr>
                <w:rFonts w:hint="eastAsia" w:ascii="宋体" w:eastAsia="宋体" w:cs="宋体"/>
                <w:color w:val="auto"/>
                <w:highlight w:val="none"/>
                <w:lang w:val="en-US" w:eastAsia="zh-CN"/>
              </w:rPr>
              <w:t>不存在</w:t>
            </w:r>
            <w:r>
              <w:rPr>
                <w:rFonts w:hint="eastAsia" w:ascii="宋体" w:eastAsia="宋体" w:cs="宋体"/>
                <w:color w:val="auto"/>
                <w:highlight w:val="none"/>
              </w:rPr>
              <w:t>明显低于其他通过符合性审查投标人的报价，有可能影响产品质量或者不能诚信履约的，且投标人不能证明其报价合理性的</w:t>
            </w:r>
            <w:r>
              <w:rPr>
                <w:rFonts w:hint="eastAsia" w:ascii="宋体" w:eastAsia="宋体" w:cs="宋体"/>
                <w:color w:val="auto"/>
                <w:highlight w:val="none"/>
                <w:lang w:val="en-US" w:eastAsia="zh-CN"/>
              </w:rPr>
              <w:t>情况</w:t>
            </w:r>
          </w:p>
        </w:tc>
        <w:tc>
          <w:tcPr>
            <w:tcW w:w="1623" w:type="dxa"/>
            <w:noWrap w:val="0"/>
            <w:vAlign w:val="center"/>
          </w:tcPr>
          <w:p w14:paraId="47EC6CE1">
            <w:pPr>
              <w:pStyle w:val="8"/>
              <w:spacing w:before="0" w:line="240" w:lineRule="auto"/>
              <w:rPr>
                <w:rFonts w:hint="eastAsia" w:ascii="宋体" w:eastAsia="宋体" w:cs="宋体"/>
                <w:color w:val="auto"/>
                <w:highlight w:val="none"/>
              </w:rPr>
            </w:pPr>
          </w:p>
        </w:tc>
      </w:tr>
      <w:tr w14:paraId="03156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trPr>
        <w:tc>
          <w:tcPr>
            <w:tcW w:w="780" w:type="dxa"/>
            <w:noWrap w:val="0"/>
            <w:vAlign w:val="center"/>
          </w:tcPr>
          <w:p w14:paraId="294B2E6D">
            <w:pPr>
              <w:pStyle w:val="8"/>
              <w:spacing w:before="0"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eastAsia="宋体" w:cs="宋体"/>
                <w:color w:val="auto"/>
                <w:kern w:val="2"/>
                <w:sz w:val="24"/>
                <w:szCs w:val="24"/>
                <w:highlight w:val="none"/>
                <w:lang w:val="en-US" w:eastAsia="zh-CN" w:bidi="ar-SA"/>
              </w:rPr>
              <w:t>5</w:t>
            </w:r>
          </w:p>
        </w:tc>
        <w:tc>
          <w:tcPr>
            <w:tcW w:w="1638" w:type="dxa"/>
            <w:noWrap w:val="0"/>
            <w:vAlign w:val="center"/>
          </w:tcPr>
          <w:p w14:paraId="2F14CF43">
            <w:pPr>
              <w:pStyle w:val="8"/>
              <w:spacing w:before="0" w:line="240" w:lineRule="auto"/>
              <w:jc w:val="center"/>
              <w:rPr>
                <w:rFonts w:hint="eastAsia" w:ascii="宋体" w:eastAsia="宋体" w:cs="宋体"/>
                <w:color w:val="auto"/>
                <w:highlight w:val="none"/>
              </w:rPr>
            </w:pPr>
            <w:r>
              <w:rPr>
                <w:rFonts w:hint="eastAsia" w:ascii="宋体" w:eastAsia="宋体" w:cs="宋体"/>
                <w:color w:val="auto"/>
                <w:highlight w:val="none"/>
              </w:rPr>
              <w:t>投标内容</w:t>
            </w:r>
          </w:p>
        </w:tc>
        <w:tc>
          <w:tcPr>
            <w:tcW w:w="5244" w:type="dxa"/>
            <w:noWrap w:val="0"/>
            <w:vAlign w:val="center"/>
          </w:tcPr>
          <w:p w14:paraId="675AFCD7">
            <w:pPr>
              <w:pStyle w:val="8"/>
              <w:spacing w:before="0" w:line="240" w:lineRule="auto"/>
              <w:rPr>
                <w:rFonts w:hint="eastAsia" w:ascii="宋体" w:eastAsia="宋体" w:cs="宋体"/>
                <w:color w:val="auto"/>
                <w:highlight w:val="none"/>
                <w:lang w:val="en-US" w:eastAsia="zh-CN"/>
              </w:rPr>
            </w:pPr>
            <w:r>
              <w:rPr>
                <w:rFonts w:hint="eastAsia" w:ascii="宋体" w:eastAsia="宋体" w:cs="宋体"/>
                <w:color w:val="auto"/>
                <w:highlight w:val="none"/>
              </w:rPr>
              <w:t>投标内容</w:t>
            </w:r>
            <w:r>
              <w:rPr>
                <w:rFonts w:hint="eastAsia" w:ascii="宋体" w:eastAsia="宋体" w:cs="宋体"/>
                <w:color w:val="auto"/>
                <w:highlight w:val="none"/>
                <w:lang w:val="en-US" w:eastAsia="zh-CN"/>
              </w:rPr>
              <w:t>不存在</w:t>
            </w:r>
            <w:r>
              <w:rPr>
                <w:rFonts w:hint="eastAsia" w:ascii="宋体" w:eastAsia="宋体" w:cs="宋体"/>
                <w:color w:val="auto"/>
                <w:highlight w:val="none"/>
              </w:rPr>
              <w:t>漏项或数量与要求不符</w:t>
            </w:r>
            <w:r>
              <w:rPr>
                <w:rFonts w:hint="eastAsia" w:ascii="宋体" w:eastAsia="宋体" w:cs="宋体"/>
                <w:color w:val="auto"/>
                <w:highlight w:val="none"/>
                <w:lang w:val="en-US" w:eastAsia="zh-CN"/>
              </w:rPr>
              <w:t>合招标文件规定情形</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投标内容</w:t>
            </w:r>
            <w:r>
              <w:rPr>
                <w:rFonts w:hint="eastAsia" w:ascii="宋体" w:hAnsi="宋体" w:eastAsia="宋体" w:cs="宋体"/>
                <w:color w:val="auto"/>
                <w:highlight w:val="none"/>
                <w:lang w:val="en-US" w:eastAsia="zh-CN"/>
              </w:rPr>
              <w:t>满足</w:t>
            </w:r>
            <w:r>
              <w:rPr>
                <w:rFonts w:hint="eastAsia" w:ascii="宋体" w:hAnsi="宋体" w:eastAsia="宋体" w:cs="宋体"/>
                <w:color w:val="auto"/>
                <w:highlight w:val="none"/>
              </w:rPr>
              <w:t>招标文件的商务、技术等实质性要求，</w:t>
            </w:r>
            <w:r>
              <w:rPr>
                <w:rFonts w:hint="eastAsia" w:ascii="宋体" w:hAnsi="宋体" w:eastAsia="宋体" w:cs="宋体"/>
                <w:color w:val="auto"/>
                <w:highlight w:val="none"/>
                <w:lang w:val="en-US" w:eastAsia="zh-CN"/>
              </w:rPr>
              <w:t>不</w:t>
            </w:r>
            <w:r>
              <w:rPr>
                <w:rFonts w:hint="eastAsia" w:ascii="宋体" w:eastAsia="宋体" w:cs="宋体"/>
                <w:color w:val="auto"/>
                <w:highlight w:val="none"/>
                <w:lang w:val="en-US" w:eastAsia="zh-CN"/>
              </w:rPr>
              <w:t>存在</w:t>
            </w:r>
            <w:r>
              <w:rPr>
                <w:rFonts w:hint="eastAsia" w:ascii="宋体" w:eastAsia="宋体" w:cs="宋体"/>
                <w:color w:val="auto"/>
                <w:highlight w:val="none"/>
              </w:rPr>
              <w:t>采购档次降低或影响采购性能、功能</w:t>
            </w:r>
            <w:r>
              <w:rPr>
                <w:rFonts w:hint="eastAsia" w:ascii="宋体" w:eastAsia="宋体" w:cs="宋体"/>
                <w:color w:val="auto"/>
                <w:highlight w:val="none"/>
                <w:lang w:eastAsia="zh-CN"/>
              </w:rPr>
              <w:t>的</w:t>
            </w:r>
            <w:r>
              <w:rPr>
                <w:rFonts w:hint="eastAsia" w:ascii="宋体" w:eastAsia="宋体" w:cs="宋体"/>
                <w:color w:val="auto"/>
                <w:highlight w:val="none"/>
                <w:lang w:val="en-US" w:eastAsia="zh-CN"/>
              </w:rPr>
              <w:t>情形</w:t>
            </w:r>
          </w:p>
        </w:tc>
        <w:tc>
          <w:tcPr>
            <w:tcW w:w="1623" w:type="dxa"/>
            <w:noWrap w:val="0"/>
            <w:vAlign w:val="center"/>
          </w:tcPr>
          <w:p w14:paraId="113455A0">
            <w:pPr>
              <w:pStyle w:val="8"/>
              <w:spacing w:before="0" w:line="240" w:lineRule="auto"/>
              <w:rPr>
                <w:rFonts w:hint="eastAsia" w:ascii="宋体" w:eastAsia="宋体" w:cs="宋体"/>
                <w:color w:val="auto"/>
                <w:highlight w:val="none"/>
              </w:rPr>
            </w:pPr>
          </w:p>
        </w:tc>
      </w:tr>
      <w:tr w14:paraId="2E30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780" w:type="dxa"/>
            <w:noWrap w:val="0"/>
            <w:vAlign w:val="center"/>
          </w:tcPr>
          <w:p w14:paraId="399CDFB9">
            <w:pPr>
              <w:pStyle w:val="8"/>
              <w:spacing w:before="0" w:line="240" w:lineRule="auto"/>
              <w:jc w:val="center"/>
              <w:rPr>
                <w:rFonts w:hint="eastAsia" w:ascii="宋体" w:eastAsia="宋体" w:cs="宋体"/>
                <w:color w:val="auto"/>
                <w:highlight w:val="none"/>
                <w:lang w:val="en-US" w:eastAsia="zh-CN"/>
              </w:rPr>
            </w:pPr>
            <w:r>
              <w:rPr>
                <w:rFonts w:hint="eastAsia" w:ascii="宋体" w:eastAsia="宋体" w:cs="宋体"/>
                <w:color w:val="auto"/>
                <w:highlight w:val="none"/>
                <w:lang w:val="en-US" w:eastAsia="zh-CN"/>
              </w:rPr>
              <w:t>6</w:t>
            </w:r>
          </w:p>
        </w:tc>
        <w:tc>
          <w:tcPr>
            <w:tcW w:w="1638" w:type="dxa"/>
            <w:noWrap w:val="0"/>
            <w:vAlign w:val="center"/>
          </w:tcPr>
          <w:p w14:paraId="2A1B630A">
            <w:pPr>
              <w:pStyle w:val="8"/>
              <w:spacing w:before="0" w:line="240" w:lineRule="auto"/>
              <w:jc w:val="center"/>
              <w:rPr>
                <w:rFonts w:hint="eastAsia" w:ascii="宋体" w:eastAsia="宋体" w:cs="宋体"/>
                <w:color w:val="auto"/>
                <w:highlight w:val="none"/>
                <w:lang w:val="en-US" w:eastAsia="zh-CN"/>
              </w:rPr>
            </w:pPr>
            <w:r>
              <w:rPr>
                <w:rFonts w:hint="eastAsia" w:ascii="宋体" w:eastAsia="宋体" w:cs="宋体"/>
                <w:color w:val="auto"/>
                <w:highlight w:val="none"/>
                <w:lang w:val="en-US" w:eastAsia="zh-CN"/>
              </w:rPr>
              <w:t>公平竞争</w:t>
            </w:r>
          </w:p>
        </w:tc>
        <w:tc>
          <w:tcPr>
            <w:tcW w:w="5244" w:type="dxa"/>
            <w:noWrap w:val="0"/>
            <w:vAlign w:val="center"/>
          </w:tcPr>
          <w:p w14:paraId="5D87FF7F">
            <w:pPr>
              <w:pStyle w:val="8"/>
              <w:spacing w:before="0" w:line="240" w:lineRule="auto"/>
              <w:rPr>
                <w:rFonts w:hint="eastAsia" w:ascii="宋体" w:eastAsia="宋体" w:cs="宋体"/>
                <w:color w:val="auto"/>
                <w:highlight w:val="none"/>
              </w:rPr>
            </w:pPr>
            <w:r>
              <w:rPr>
                <w:rFonts w:hint="eastAsia" w:ascii="宋体" w:eastAsia="宋体" w:cs="宋体"/>
                <w:color w:val="auto"/>
                <w:highlight w:val="none"/>
              </w:rPr>
              <w:t>遵循公平竞争的原则，没有弄虚作假、恶意串通或妨碍其他投标人的竞争行为，损害采购人或者其他投标人的合法权益。</w:t>
            </w:r>
          </w:p>
          <w:p w14:paraId="178C49E4">
            <w:pPr>
              <w:pStyle w:val="8"/>
              <w:spacing w:before="0" w:line="240" w:lineRule="auto"/>
              <w:rPr>
                <w:rFonts w:hint="eastAsia" w:ascii="宋体" w:eastAsia="宋体" w:cs="宋体"/>
                <w:color w:val="auto"/>
                <w:highlight w:val="none"/>
              </w:rPr>
            </w:pPr>
            <w:r>
              <w:rPr>
                <w:rFonts w:hint="eastAsia" w:ascii="宋体" w:eastAsia="宋体" w:cs="宋体"/>
                <w:color w:val="auto"/>
                <w:highlight w:val="none"/>
                <w:lang w:eastAsia="zh-CN"/>
              </w:rPr>
              <w:t>（</w:t>
            </w:r>
            <w:r>
              <w:rPr>
                <w:rFonts w:hint="eastAsia" w:ascii="宋体" w:eastAsia="宋体" w:cs="宋体"/>
                <w:color w:val="auto"/>
                <w:highlight w:val="none"/>
              </w:rPr>
              <w:t>弄虚作假、串通投标的情形见附注</w:t>
            </w:r>
            <w:r>
              <w:rPr>
                <w:rFonts w:hint="eastAsia" w:ascii="宋体" w:eastAsia="宋体" w:cs="宋体"/>
                <w:color w:val="auto"/>
                <w:highlight w:val="none"/>
                <w:lang w:eastAsia="zh-CN"/>
              </w:rPr>
              <w:t>）</w:t>
            </w:r>
          </w:p>
        </w:tc>
        <w:tc>
          <w:tcPr>
            <w:tcW w:w="1623" w:type="dxa"/>
            <w:noWrap w:val="0"/>
            <w:vAlign w:val="center"/>
          </w:tcPr>
          <w:p w14:paraId="19B0BB16">
            <w:pPr>
              <w:pStyle w:val="8"/>
              <w:spacing w:before="0" w:line="240" w:lineRule="auto"/>
              <w:rPr>
                <w:rFonts w:hint="eastAsia" w:ascii="宋体" w:eastAsia="宋体" w:cs="宋体"/>
                <w:color w:val="auto"/>
                <w:highlight w:val="none"/>
              </w:rPr>
            </w:pPr>
          </w:p>
        </w:tc>
      </w:tr>
      <w:tr w14:paraId="38AA3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780" w:type="dxa"/>
            <w:noWrap w:val="0"/>
            <w:vAlign w:val="center"/>
          </w:tcPr>
          <w:p w14:paraId="55371E8F">
            <w:pPr>
              <w:pStyle w:val="8"/>
              <w:spacing w:before="0" w:line="240" w:lineRule="auto"/>
              <w:jc w:val="center"/>
              <w:rPr>
                <w:rFonts w:hint="eastAsia" w:ascii="宋体" w:eastAsia="宋体" w:cs="宋体"/>
                <w:color w:val="auto"/>
                <w:highlight w:val="none"/>
                <w:lang w:val="en-US" w:eastAsia="zh-CN"/>
              </w:rPr>
            </w:pPr>
            <w:r>
              <w:rPr>
                <w:rFonts w:hint="eastAsia" w:ascii="宋体" w:eastAsia="宋体" w:cs="宋体"/>
                <w:color w:val="auto"/>
                <w:highlight w:val="none"/>
                <w:lang w:val="en-US" w:eastAsia="zh-CN"/>
              </w:rPr>
              <w:t>7</w:t>
            </w:r>
          </w:p>
        </w:tc>
        <w:tc>
          <w:tcPr>
            <w:tcW w:w="1638" w:type="dxa"/>
            <w:noWrap w:val="0"/>
            <w:vAlign w:val="center"/>
          </w:tcPr>
          <w:p w14:paraId="1BCA79CA">
            <w:pPr>
              <w:pStyle w:val="8"/>
              <w:spacing w:before="0" w:line="240" w:lineRule="auto"/>
              <w:jc w:val="center"/>
              <w:rPr>
                <w:rFonts w:hint="eastAsia" w:ascii="宋体" w:eastAsia="宋体" w:cs="宋体"/>
                <w:color w:val="auto"/>
                <w:highlight w:val="none"/>
              </w:rPr>
            </w:pPr>
            <w:r>
              <w:rPr>
                <w:rFonts w:hint="eastAsia" w:ascii="宋体" w:eastAsia="宋体" w:cs="宋体"/>
                <w:color w:val="auto"/>
                <w:highlight w:val="none"/>
              </w:rPr>
              <w:t>其它</w:t>
            </w:r>
          </w:p>
        </w:tc>
        <w:tc>
          <w:tcPr>
            <w:tcW w:w="5244" w:type="dxa"/>
            <w:noWrap w:val="0"/>
            <w:vAlign w:val="center"/>
          </w:tcPr>
          <w:p w14:paraId="5281155D">
            <w:pPr>
              <w:pStyle w:val="8"/>
              <w:spacing w:before="0" w:line="240" w:lineRule="auto"/>
              <w:rPr>
                <w:rFonts w:hint="eastAsia" w:ascii="宋体" w:eastAsia="宋体" w:cs="宋体"/>
                <w:color w:val="auto"/>
                <w:highlight w:val="none"/>
                <w:lang w:val="en-US" w:eastAsia="zh-CN"/>
              </w:rPr>
            </w:pPr>
            <w:r>
              <w:rPr>
                <w:rFonts w:hint="eastAsia" w:ascii="宋体" w:eastAsia="宋体" w:cs="宋体"/>
                <w:color w:val="auto"/>
                <w:highlight w:val="none"/>
                <w:lang w:val="en-US" w:eastAsia="zh-CN"/>
              </w:rPr>
              <w:t>不</w:t>
            </w:r>
            <w:r>
              <w:rPr>
                <w:rFonts w:hint="eastAsia" w:ascii="宋体" w:eastAsia="宋体" w:cs="宋体"/>
                <w:color w:val="auto"/>
                <w:highlight w:val="none"/>
              </w:rPr>
              <w:t>存在其它不符合法律法规或招标文件规定的投标无效条款</w:t>
            </w:r>
            <w:r>
              <w:rPr>
                <w:rFonts w:hint="eastAsia" w:ascii="宋体" w:eastAsia="宋体" w:cs="宋体"/>
                <w:color w:val="auto"/>
                <w:highlight w:val="none"/>
                <w:lang w:eastAsia="zh-CN"/>
              </w:rPr>
              <w:t>的</w:t>
            </w:r>
            <w:r>
              <w:rPr>
                <w:rFonts w:hint="eastAsia" w:ascii="宋体" w:eastAsia="宋体" w:cs="宋体"/>
                <w:color w:val="auto"/>
                <w:highlight w:val="none"/>
                <w:lang w:val="en-US" w:eastAsia="zh-CN"/>
              </w:rPr>
              <w:t>情形</w:t>
            </w:r>
          </w:p>
        </w:tc>
        <w:tc>
          <w:tcPr>
            <w:tcW w:w="1623" w:type="dxa"/>
            <w:noWrap w:val="0"/>
            <w:vAlign w:val="center"/>
          </w:tcPr>
          <w:p w14:paraId="46E97E7D">
            <w:pPr>
              <w:pStyle w:val="8"/>
              <w:spacing w:before="0" w:line="240" w:lineRule="auto"/>
              <w:rPr>
                <w:rFonts w:hint="eastAsia" w:ascii="宋体" w:eastAsia="宋体" w:cs="宋体"/>
                <w:color w:val="auto"/>
                <w:highlight w:val="none"/>
              </w:rPr>
            </w:pPr>
          </w:p>
        </w:tc>
      </w:tr>
      <w:tr w14:paraId="3CCBC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18" w:type="dxa"/>
            <w:gridSpan w:val="2"/>
            <w:noWrap w:val="0"/>
            <w:vAlign w:val="center"/>
          </w:tcPr>
          <w:p w14:paraId="4553ABD5">
            <w:pPr>
              <w:pStyle w:val="8"/>
              <w:spacing w:before="0" w:line="240" w:lineRule="auto"/>
              <w:jc w:val="center"/>
              <w:rPr>
                <w:rFonts w:hint="eastAsia" w:ascii="宋体" w:eastAsia="宋体" w:cs="宋体"/>
                <w:color w:val="auto"/>
                <w:highlight w:val="none"/>
                <w:lang w:val="en-US" w:eastAsia="zh-CN"/>
              </w:rPr>
            </w:pPr>
            <w:r>
              <w:rPr>
                <w:rFonts w:hint="eastAsia" w:ascii="宋体" w:eastAsia="宋体" w:cs="宋体"/>
                <w:b/>
                <w:bCs/>
                <w:color w:val="auto"/>
                <w:highlight w:val="none"/>
                <w:lang w:val="en-US" w:eastAsia="zh-CN"/>
              </w:rPr>
              <w:t>审查结论</w:t>
            </w:r>
          </w:p>
        </w:tc>
        <w:tc>
          <w:tcPr>
            <w:tcW w:w="6867" w:type="dxa"/>
            <w:gridSpan w:val="2"/>
            <w:noWrap w:val="0"/>
            <w:vAlign w:val="center"/>
          </w:tcPr>
          <w:p w14:paraId="6AD22DB6">
            <w:pPr>
              <w:pStyle w:val="8"/>
              <w:spacing w:before="0" w:line="240" w:lineRule="auto"/>
              <w:rPr>
                <w:rFonts w:hint="eastAsia" w:ascii="宋体" w:eastAsia="宋体" w:cs="宋体"/>
                <w:color w:val="auto"/>
                <w:highlight w:val="none"/>
              </w:rPr>
            </w:pPr>
            <w:r>
              <w:rPr>
                <w:rFonts w:hint="eastAsia" w:ascii="宋体" w:eastAsia="宋体" w:cs="宋体"/>
                <w:color w:val="auto"/>
                <w:highlight w:val="none"/>
                <w:lang w:val="en-US" w:eastAsia="zh-CN"/>
              </w:rPr>
              <w:t>通过/不通过</w:t>
            </w:r>
          </w:p>
        </w:tc>
      </w:tr>
      <w:tr w14:paraId="15920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18" w:type="dxa"/>
            <w:gridSpan w:val="2"/>
            <w:noWrap w:val="0"/>
            <w:vAlign w:val="center"/>
          </w:tcPr>
          <w:p w14:paraId="40FC6CF0">
            <w:pPr>
              <w:pStyle w:val="8"/>
              <w:spacing w:before="0" w:line="240" w:lineRule="auto"/>
              <w:jc w:val="center"/>
              <w:rPr>
                <w:rFonts w:hint="eastAsia" w:ascii="宋体" w:eastAsia="宋体" w:cs="宋体"/>
                <w:color w:val="auto"/>
                <w:highlight w:val="none"/>
              </w:rPr>
            </w:pPr>
            <w:r>
              <w:rPr>
                <w:rFonts w:hint="eastAsia" w:ascii="宋体" w:hAnsi="宋体" w:eastAsia="宋体" w:cs="宋体"/>
                <w:color w:val="auto"/>
                <w:sz w:val="24"/>
                <w:szCs w:val="24"/>
                <w:highlight w:val="none"/>
                <w:lang w:val="en-US" w:eastAsia="zh-CN"/>
              </w:rPr>
              <w:t>不通过原因说明</w:t>
            </w:r>
          </w:p>
        </w:tc>
        <w:tc>
          <w:tcPr>
            <w:tcW w:w="6867" w:type="dxa"/>
            <w:gridSpan w:val="2"/>
            <w:noWrap w:val="0"/>
            <w:vAlign w:val="center"/>
          </w:tcPr>
          <w:p w14:paraId="6763B6BF">
            <w:pPr>
              <w:pStyle w:val="8"/>
              <w:spacing w:before="0" w:line="240" w:lineRule="auto"/>
              <w:rPr>
                <w:rFonts w:hint="eastAsia" w:ascii="宋体" w:eastAsia="宋体" w:cs="宋体"/>
                <w:color w:val="auto"/>
                <w:highlight w:val="none"/>
              </w:rPr>
            </w:pPr>
          </w:p>
        </w:tc>
      </w:tr>
    </w:tbl>
    <w:p w14:paraId="7B154247">
      <w:pPr>
        <w:pStyle w:val="8"/>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w:t>
      </w:r>
    </w:p>
    <w:p w14:paraId="6FC5B214">
      <w:pPr>
        <w:pStyle w:val="8"/>
        <w:bidi w:val="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.评审委员会</w:t>
      </w:r>
      <w:r>
        <w:rPr>
          <w:rFonts w:hint="eastAsia" w:ascii="宋体" w:hAnsi="宋体" w:eastAsia="宋体" w:cs="宋体"/>
          <w:color w:val="auto"/>
          <w:highlight w:val="none"/>
        </w:rPr>
        <w:t>对投标</w:t>
      </w:r>
      <w:r>
        <w:rPr>
          <w:rFonts w:hint="eastAsia" w:ascii="宋体" w:hAnsi="宋体" w:eastAsia="宋体" w:cs="宋体"/>
          <w:color w:val="auto"/>
          <w:highlight w:val="none"/>
          <w:lang w:val="en-US" w:eastAsia="zh-CN"/>
        </w:rPr>
        <w:t>文件</w:t>
      </w:r>
      <w:r>
        <w:rPr>
          <w:rFonts w:hint="eastAsia" w:ascii="宋体" w:hAnsi="宋体" w:eastAsia="宋体" w:cs="宋体"/>
          <w:color w:val="auto"/>
          <w:highlight w:val="none"/>
        </w:rPr>
        <w:t>是否满足要求逐条标注</w:t>
      </w:r>
      <w:r>
        <w:rPr>
          <w:rFonts w:hint="eastAsia" w:ascii="宋体" w:hAnsi="宋体" w:eastAsia="宋体" w:cs="宋体"/>
          <w:color w:val="auto"/>
          <w:highlight w:val="none"/>
          <w:lang w:val="en-US" w:eastAsia="zh-CN"/>
        </w:rPr>
        <w:t>审查</w:t>
      </w:r>
      <w:r>
        <w:rPr>
          <w:rFonts w:hint="eastAsia" w:ascii="宋体" w:hAnsi="宋体" w:eastAsia="宋体" w:cs="宋体"/>
          <w:color w:val="auto"/>
          <w:highlight w:val="none"/>
        </w:rPr>
        <w:t>意见，</w:t>
      </w:r>
      <w:r>
        <w:rPr>
          <w:rFonts w:hint="eastAsia" w:ascii="宋体" w:hAnsi="宋体" w:eastAsia="宋体" w:cs="宋体"/>
          <w:color w:val="auto"/>
          <w:highlight w:val="none"/>
          <w:lang w:val="en-US" w:eastAsia="zh-CN"/>
        </w:rPr>
        <w:t>符合的</w:t>
      </w:r>
      <w:r>
        <w:rPr>
          <w:rFonts w:hint="eastAsia" w:ascii="宋体" w:hAnsi="宋体" w:eastAsia="宋体" w:cs="宋体"/>
          <w:color w:val="auto"/>
          <w:highlight w:val="none"/>
        </w:rPr>
        <w:t>标记为“√”，</w:t>
      </w:r>
      <w:r>
        <w:rPr>
          <w:rFonts w:hint="eastAsia" w:ascii="宋体" w:hAnsi="宋体" w:eastAsia="宋体" w:cs="宋体"/>
          <w:color w:val="auto"/>
          <w:highlight w:val="none"/>
          <w:lang w:val="en-US" w:eastAsia="zh-CN"/>
        </w:rPr>
        <w:t>不符合的</w:t>
      </w:r>
      <w:r>
        <w:rPr>
          <w:rFonts w:hint="eastAsia" w:ascii="宋体" w:hAnsi="宋体" w:eastAsia="宋体" w:cs="宋体"/>
          <w:color w:val="auto"/>
          <w:highlight w:val="none"/>
        </w:rPr>
        <w:t>标记为“×”；</w:t>
      </w:r>
      <w:r>
        <w:rPr>
          <w:rFonts w:hint="eastAsia" w:ascii="宋体" w:hAnsi="宋体" w:eastAsia="宋体" w:cs="宋体"/>
          <w:color w:val="auto"/>
          <w:highlight w:val="none"/>
          <w:lang w:val="en-US" w:eastAsia="zh-CN"/>
        </w:rPr>
        <w:t>审查</w:t>
      </w:r>
      <w:r>
        <w:rPr>
          <w:rFonts w:hint="eastAsia" w:ascii="宋体" w:hAnsi="宋体" w:eastAsia="宋体" w:cs="宋体"/>
          <w:color w:val="auto"/>
          <w:highlight w:val="none"/>
        </w:rPr>
        <w:t>结论栏统一填写为“通过”或“不通过” ，出现一个“×”为“不通过”</w:t>
      </w:r>
      <w:r>
        <w:rPr>
          <w:rFonts w:hint="eastAsia" w:ascii="宋体" w:hAnsi="宋体" w:eastAsia="宋体" w:cs="宋体"/>
          <w:color w:val="auto"/>
          <w:highlight w:val="none"/>
          <w:lang w:eastAsia="zh-CN"/>
        </w:rPr>
        <w:t>，不进入后续评审</w:t>
      </w:r>
      <w:r>
        <w:rPr>
          <w:rFonts w:hint="eastAsia" w:ascii="宋体" w:hAnsi="宋体" w:eastAsia="宋体" w:cs="宋体"/>
          <w:color w:val="auto"/>
          <w:highlight w:val="none"/>
        </w:rPr>
        <w:t>；对</w:t>
      </w:r>
      <w:r>
        <w:rPr>
          <w:rFonts w:hint="eastAsia" w:ascii="宋体" w:hAnsi="宋体" w:eastAsia="宋体" w:cs="宋体"/>
          <w:color w:val="auto"/>
          <w:highlight w:val="none"/>
          <w:lang w:val="en-US" w:eastAsia="zh-CN"/>
        </w:rPr>
        <w:t>审查</w:t>
      </w:r>
      <w:r>
        <w:rPr>
          <w:rFonts w:hint="eastAsia" w:ascii="宋体" w:hAnsi="宋体" w:eastAsia="宋体" w:cs="宋体"/>
          <w:color w:val="auto"/>
          <w:highlight w:val="none"/>
        </w:rPr>
        <w:t>结论为“不通过”的，要说明原因。</w:t>
      </w:r>
    </w:p>
    <w:p w14:paraId="57A1DD31">
      <w:pPr>
        <w:pStyle w:val="8"/>
        <w:bidi w:val="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有下列情形之一的，视为投标人相互串通投标：</w:t>
      </w:r>
    </w:p>
    <w:p w14:paraId="1077BA49">
      <w:pPr>
        <w:pStyle w:val="8"/>
        <w:bidi w:val="0"/>
        <w:rPr>
          <w:rFonts w:hint="eastAsia" w:ascii="宋体" w:hAnsi="宋体" w:eastAsia="宋体" w:cs="宋体"/>
          <w:color w:val="auto"/>
          <w:highlight w:val="none"/>
        </w:rPr>
      </w:pPr>
      <w:r>
        <w:rPr>
          <w:rFonts w:hint="eastAsia" w:ascii="宋体" w:hAnsi="宋体" w:eastAsia="宋体" w:cs="宋体"/>
          <w:color w:val="auto"/>
          <w:highlight w:val="none"/>
        </w:rPr>
        <w:t>（1）不同投标人的投标文件由同一单位或者个人编制；</w:t>
      </w:r>
    </w:p>
    <w:p w14:paraId="7A0FA226">
      <w:pPr>
        <w:pStyle w:val="8"/>
        <w:bidi w:val="0"/>
        <w:rPr>
          <w:rFonts w:hint="eastAsia" w:ascii="宋体" w:hAnsi="宋体" w:eastAsia="宋体" w:cs="宋体"/>
          <w:color w:val="auto"/>
          <w:highlight w:val="none"/>
        </w:rPr>
      </w:pPr>
      <w:r>
        <w:rPr>
          <w:rFonts w:hint="eastAsia" w:ascii="宋体" w:hAnsi="宋体" w:eastAsia="宋体" w:cs="宋体"/>
          <w:color w:val="auto"/>
          <w:highlight w:val="none"/>
        </w:rPr>
        <w:t>（2）不同投标人委托同一单位或者个人办理投标事宜；</w:t>
      </w:r>
    </w:p>
    <w:p w14:paraId="0054D902">
      <w:pPr>
        <w:pStyle w:val="8"/>
        <w:bidi w:val="0"/>
        <w:rPr>
          <w:rFonts w:hint="eastAsia" w:ascii="宋体" w:hAnsi="宋体" w:eastAsia="宋体" w:cs="宋体"/>
          <w:color w:val="auto"/>
          <w:highlight w:val="none"/>
        </w:rPr>
      </w:pPr>
      <w:r>
        <w:rPr>
          <w:rFonts w:hint="eastAsia" w:ascii="宋体" w:hAnsi="宋体" w:eastAsia="宋体" w:cs="宋体"/>
          <w:color w:val="auto"/>
          <w:highlight w:val="none"/>
        </w:rPr>
        <w:t>（3）不同投标人的投标文件载明的项目管理成员或者联系人员为同一人；</w:t>
      </w:r>
    </w:p>
    <w:p w14:paraId="1E83CF6E">
      <w:pPr>
        <w:pStyle w:val="8"/>
        <w:bidi w:val="0"/>
        <w:rPr>
          <w:rFonts w:hint="eastAsia" w:ascii="宋体" w:hAnsi="宋体" w:eastAsia="宋体" w:cs="宋体"/>
          <w:color w:val="auto"/>
          <w:highlight w:val="none"/>
        </w:rPr>
      </w:pPr>
      <w:r>
        <w:rPr>
          <w:rFonts w:hint="eastAsia" w:ascii="宋体" w:hAnsi="宋体" w:eastAsia="宋体" w:cs="宋体"/>
          <w:color w:val="auto"/>
          <w:highlight w:val="none"/>
        </w:rPr>
        <w:t>（4）不同投标人的投标文件异常一致或者投标报价呈规律性差异；</w:t>
      </w:r>
    </w:p>
    <w:p w14:paraId="1F62ACA1">
      <w:pPr>
        <w:pStyle w:val="8"/>
        <w:bidi w:val="0"/>
        <w:rPr>
          <w:rFonts w:hint="eastAsia" w:ascii="宋体" w:hAnsi="宋体" w:eastAsia="宋体" w:cs="宋体"/>
          <w:color w:val="auto"/>
          <w:highlight w:val="none"/>
        </w:rPr>
      </w:pPr>
      <w:r>
        <w:rPr>
          <w:rFonts w:hint="eastAsia" w:ascii="宋体" w:hAnsi="宋体" w:eastAsia="宋体" w:cs="宋体"/>
          <w:color w:val="auto"/>
          <w:highlight w:val="none"/>
        </w:rPr>
        <w:t>（5）不同投标人的投标文件相互混装；</w:t>
      </w:r>
    </w:p>
    <w:p w14:paraId="2B0721C2">
      <w:pPr>
        <w:pStyle w:val="8"/>
        <w:bidi w:val="0"/>
        <w:rPr>
          <w:rFonts w:hint="eastAsia" w:ascii="宋体" w:hAnsi="宋体" w:eastAsia="宋体" w:cs="宋体"/>
          <w:color w:val="auto"/>
          <w:highlight w:val="none"/>
        </w:rPr>
      </w:pPr>
    </w:p>
    <w:p w14:paraId="7D5A6EE1">
      <w:pPr>
        <w:pStyle w:val="8"/>
        <w:bidi w:val="0"/>
        <w:rPr>
          <w:rFonts w:hint="eastAsia" w:ascii="宋体" w:hAnsi="宋体" w:eastAsia="宋体" w:cs="宋体"/>
          <w:color w:val="auto"/>
          <w:highlight w:val="none"/>
        </w:rPr>
      </w:pPr>
      <w:r>
        <w:rPr>
          <w:rFonts w:hint="eastAsia" w:ascii="宋体" w:hAnsi="宋体" w:eastAsia="宋体" w:cs="宋体"/>
          <w:color w:val="auto"/>
          <w:highlight w:val="none"/>
        </w:rPr>
        <w:t>3、有下列情形之一的，属于提供虚假材料谋取中标的行为：</w:t>
      </w:r>
    </w:p>
    <w:p w14:paraId="45BEC60F">
      <w:pPr>
        <w:pStyle w:val="8"/>
        <w:bidi w:val="0"/>
        <w:rPr>
          <w:rFonts w:hint="eastAsia" w:ascii="宋体" w:hAnsi="宋体" w:eastAsia="宋体" w:cs="宋体"/>
          <w:color w:val="auto"/>
          <w:highlight w:val="none"/>
        </w:rPr>
      </w:pPr>
      <w:r>
        <w:rPr>
          <w:rFonts w:hint="eastAsia" w:ascii="宋体" w:hAnsi="宋体" w:eastAsia="宋体" w:cs="宋体"/>
          <w:color w:val="auto"/>
          <w:highlight w:val="none"/>
        </w:rPr>
        <w:t>（1）使用伪造、变造的许可证件；</w:t>
      </w:r>
    </w:p>
    <w:p w14:paraId="220B2259">
      <w:pPr>
        <w:pStyle w:val="8"/>
        <w:bidi w:val="0"/>
        <w:rPr>
          <w:rFonts w:hint="eastAsia" w:ascii="宋体" w:hAnsi="宋体" w:eastAsia="宋体" w:cs="宋体"/>
          <w:color w:val="auto"/>
          <w:highlight w:val="none"/>
        </w:rPr>
      </w:pPr>
      <w:r>
        <w:rPr>
          <w:rFonts w:hint="eastAsia" w:ascii="宋体" w:hAnsi="宋体" w:eastAsia="宋体" w:cs="宋体"/>
          <w:color w:val="auto"/>
          <w:highlight w:val="none"/>
        </w:rPr>
        <w:t>（2）提供虚假的财务状况或者业绩；</w:t>
      </w:r>
    </w:p>
    <w:p w14:paraId="2A71E332">
      <w:pPr>
        <w:pStyle w:val="8"/>
        <w:bidi w:val="0"/>
        <w:rPr>
          <w:rFonts w:hint="eastAsia" w:ascii="宋体" w:hAnsi="宋体" w:eastAsia="宋体" w:cs="宋体"/>
          <w:color w:val="auto"/>
          <w:highlight w:val="none"/>
        </w:rPr>
      </w:pPr>
      <w:r>
        <w:rPr>
          <w:rFonts w:hint="eastAsia" w:ascii="宋体" w:hAnsi="宋体" w:eastAsia="宋体" w:cs="宋体"/>
          <w:color w:val="auto"/>
          <w:highlight w:val="none"/>
        </w:rPr>
        <w:t>（3）提供虚假的项目负责人或者主要技术人员简历、劳动关系证明；</w:t>
      </w:r>
    </w:p>
    <w:p w14:paraId="38390BC0">
      <w:pPr>
        <w:pStyle w:val="8"/>
        <w:bidi w:val="0"/>
        <w:rPr>
          <w:rFonts w:hint="eastAsia" w:ascii="宋体" w:hAnsi="宋体" w:eastAsia="宋体" w:cs="宋体"/>
          <w:color w:val="auto"/>
          <w:highlight w:val="none"/>
        </w:rPr>
      </w:pPr>
      <w:r>
        <w:rPr>
          <w:rFonts w:hint="eastAsia" w:ascii="宋体" w:hAnsi="宋体" w:eastAsia="宋体" w:cs="宋体"/>
          <w:color w:val="auto"/>
          <w:highlight w:val="none"/>
        </w:rPr>
        <w:t>（4）提供虚假的信用状况；</w:t>
      </w:r>
    </w:p>
    <w:p w14:paraId="551F8F87">
      <w:pPr>
        <w:pStyle w:val="8"/>
        <w:bidi w:val="0"/>
        <w:rPr>
          <w:rFonts w:hint="eastAsia" w:ascii="宋体" w:hAnsi="宋体" w:eastAsia="宋体" w:cs="宋体"/>
          <w:color w:val="auto"/>
          <w:highlight w:val="none"/>
        </w:rPr>
      </w:pPr>
      <w:r>
        <w:rPr>
          <w:rFonts w:hint="eastAsia" w:ascii="宋体" w:hAnsi="宋体" w:eastAsia="宋体" w:cs="宋体"/>
          <w:color w:val="auto"/>
          <w:highlight w:val="none"/>
        </w:rPr>
        <w:t>（5）其他弄虚作假的行为。</w:t>
      </w:r>
    </w:p>
    <w:p w14:paraId="65A934C9">
      <w:pPr>
        <w:pStyle w:val="8"/>
        <w:tabs>
          <w:tab w:val="clear" w:pos="567"/>
        </w:tabs>
        <w:spacing w:before="0" w:line="360" w:lineRule="auto"/>
        <w:jc w:val="center"/>
        <w:outlineLvl w:val="1"/>
        <w:rPr>
          <w:rFonts w:hint="eastAsia" w:ascii="宋体" w:hAnsi="宋体" w:eastAsia="宋体" w:cs="宋体"/>
          <w:b/>
          <w:color w:val="auto"/>
          <w:sz w:val="32"/>
          <w:szCs w:val="32"/>
          <w:highlight w:val="none"/>
          <w:lang w:eastAsia="zh-CN"/>
        </w:rPr>
      </w:pPr>
      <w:r>
        <w:rPr>
          <w:rFonts w:hint="eastAsia" w:ascii="宋体" w:hAnsi="宋体" w:eastAsia="宋体" w:cs="宋体"/>
          <w:color w:val="auto"/>
          <w:highlight w:val="none"/>
        </w:rPr>
        <w:br w:type="page"/>
      </w:r>
      <w:r>
        <w:rPr>
          <w:rFonts w:hint="eastAsia" w:ascii="宋体" w:hAnsi="宋体" w:eastAsia="宋体" w:cs="宋体"/>
          <w:b/>
          <w:color w:val="auto"/>
          <w:sz w:val="32"/>
          <w:szCs w:val="32"/>
          <w:highlight w:val="none"/>
        </w:rPr>
        <w:t>附表三  评审</w:t>
      </w:r>
      <w:r>
        <w:rPr>
          <w:rFonts w:hint="eastAsia" w:ascii="宋体" w:hAnsi="宋体" w:eastAsia="宋体" w:cs="宋体"/>
          <w:b/>
          <w:color w:val="auto"/>
          <w:sz w:val="32"/>
          <w:szCs w:val="32"/>
          <w:highlight w:val="none"/>
          <w:lang w:val="en-US" w:eastAsia="zh-CN"/>
        </w:rPr>
        <w:t>标准</w:t>
      </w:r>
    </w:p>
    <w:p w14:paraId="3702BA8E">
      <w:pPr>
        <w:widowControl/>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color w:val="auto"/>
          <w:sz w:val="28"/>
          <w:szCs w:val="28"/>
          <w:highlight w:val="none"/>
        </w:rPr>
        <w:t>（采用综合评分法时适用）</w:t>
      </w:r>
    </w:p>
    <w:tbl>
      <w:tblPr>
        <w:tblStyle w:val="15"/>
        <w:tblW w:w="9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1116"/>
        <w:gridCol w:w="808"/>
        <w:gridCol w:w="6925"/>
      </w:tblGrid>
      <w:tr w14:paraId="10A7C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044" w:type="dxa"/>
            <w:gridSpan w:val="2"/>
            <w:tcBorders>
              <w:top w:val="single" w:color="auto" w:sz="4" w:space="0"/>
              <w:left w:val="single" w:color="auto" w:sz="4" w:space="0"/>
              <w:bottom w:val="single" w:color="auto" w:sz="4" w:space="0"/>
              <w:right w:val="single" w:color="auto" w:sz="4" w:space="0"/>
            </w:tcBorders>
            <w:noWrap w:val="0"/>
            <w:vAlign w:val="center"/>
          </w:tcPr>
          <w:p w14:paraId="138E27C7">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评标要素</w:t>
            </w:r>
          </w:p>
        </w:tc>
        <w:tc>
          <w:tcPr>
            <w:tcW w:w="808" w:type="dxa"/>
            <w:tcBorders>
              <w:top w:val="single" w:color="auto" w:sz="4" w:space="0"/>
              <w:left w:val="single" w:color="auto" w:sz="4" w:space="0"/>
              <w:right w:val="single" w:color="auto" w:sz="4" w:space="0"/>
            </w:tcBorders>
            <w:noWrap w:val="0"/>
            <w:vAlign w:val="center"/>
          </w:tcPr>
          <w:p w14:paraId="76E3F1BF">
            <w:pPr>
              <w:adjustRightInd w:val="0"/>
              <w:snapToGrid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分值</w:t>
            </w:r>
          </w:p>
        </w:tc>
        <w:tc>
          <w:tcPr>
            <w:tcW w:w="6925" w:type="dxa"/>
            <w:tcBorders>
              <w:top w:val="single" w:color="auto" w:sz="4" w:space="0"/>
              <w:left w:val="single" w:color="auto" w:sz="4" w:space="0"/>
              <w:bottom w:val="single" w:color="auto" w:sz="4" w:space="0"/>
              <w:right w:val="single" w:color="auto" w:sz="4" w:space="0"/>
            </w:tcBorders>
            <w:noWrap w:val="0"/>
            <w:vAlign w:val="center"/>
          </w:tcPr>
          <w:p w14:paraId="3057AB7C">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评标标准</w:t>
            </w:r>
          </w:p>
        </w:tc>
      </w:tr>
      <w:tr w14:paraId="3DBB8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044" w:type="dxa"/>
            <w:gridSpan w:val="2"/>
            <w:tcBorders>
              <w:top w:val="single" w:color="auto" w:sz="4" w:space="0"/>
              <w:left w:val="single" w:color="auto" w:sz="4" w:space="0"/>
              <w:bottom w:val="single" w:color="auto" w:sz="4" w:space="0"/>
              <w:right w:val="single" w:color="auto" w:sz="4" w:space="0"/>
            </w:tcBorders>
            <w:noWrap w:val="0"/>
            <w:vAlign w:val="center"/>
          </w:tcPr>
          <w:p w14:paraId="6A52A26A">
            <w:pPr>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价格</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52CC4E22">
            <w:pPr>
              <w:adjustRightInd w:val="0"/>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30分</w:t>
            </w:r>
          </w:p>
        </w:tc>
        <w:tc>
          <w:tcPr>
            <w:tcW w:w="6925" w:type="dxa"/>
            <w:tcBorders>
              <w:top w:val="single" w:color="auto" w:sz="4" w:space="0"/>
              <w:left w:val="single" w:color="auto" w:sz="4" w:space="0"/>
              <w:bottom w:val="single" w:color="auto" w:sz="4" w:space="0"/>
              <w:right w:val="single" w:color="auto" w:sz="4" w:space="0"/>
            </w:tcBorders>
            <w:noWrap w:val="0"/>
            <w:vAlign w:val="center"/>
          </w:tcPr>
          <w:p w14:paraId="3764D922">
            <w:pPr>
              <w:adjustRightInd w:val="0"/>
              <w:snapToGrid w:val="0"/>
              <w:spacing w:line="276"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满足招标文件要求且投标价格最低的投标报价为评标基准价，其价格分为满分。其他投标人的价格分统一按照下列公式计算：投标报价得分=（评标基准价/投标报价）×价格权值</w:t>
            </w:r>
          </w:p>
        </w:tc>
      </w:tr>
      <w:tr w14:paraId="1E573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8" w:type="dxa"/>
            <w:vMerge w:val="restart"/>
            <w:tcBorders>
              <w:left w:val="single" w:color="auto" w:sz="4" w:space="0"/>
              <w:right w:val="single" w:color="auto" w:sz="4" w:space="0"/>
            </w:tcBorders>
            <w:noWrap w:val="0"/>
            <w:vAlign w:val="center"/>
          </w:tcPr>
          <w:p w14:paraId="5B82A76D">
            <w:pPr>
              <w:adjustRightInd w:val="0"/>
              <w:snapToGrid w:val="0"/>
              <w:spacing w:line="360" w:lineRule="auto"/>
              <w:jc w:val="center"/>
              <w:rPr>
                <w:rFonts w:hint="eastAsia" w:ascii="宋体" w:hAnsi="宋体" w:eastAsia="宋体" w:cs="宋体"/>
                <w:color w:val="auto"/>
                <w:sz w:val="24"/>
                <w:highlight w:val="none"/>
                <w:lang w:val="en-US" w:eastAsia="zh-CN"/>
              </w:rPr>
            </w:pPr>
          </w:p>
        </w:tc>
        <w:tc>
          <w:tcPr>
            <w:tcW w:w="1116" w:type="dxa"/>
            <w:tcBorders>
              <w:top w:val="single" w:color="auto" w:sz="4" w:space="0"/>
              <w:left w:val="single" w:color="auto" w:sz="4" w:space="0"/>
              <w:bottom w:val="single" w:color="auto" w:sz="4" w:space="0"/>
              <w:right w:val="single" w:color="auto" w:sz="4" w:space="0"/>
            </w:tcBorders>
            <w:noWrap w:val="0"/>
            <w:vAlign w:val="center"/>
          </w:tcPr>
          <w:p w14:paraId="46BC139E">
            <w:pPr>
              <w:adjustRightInd w:val="0"/>
              <w:snapToGrid w:val="0"/>
              <w:spacing w:line="276"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投标产品技术指标评审内容</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4033245B">
            <w:pPr>
              <w:adjustRightInd w:val="0"/>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24分</w:t>
            </w:r>
          </w:p>
        </w:tc>
        <w:tc>
          <w:tcPr>
            <w:tcW w:w="6925" w:type="dxa"/>
            <w:tcBorders>
              <w:top w:val="single" w:color="auto" w:sz="4" w:space="0"/>
              <w:left w:val="single" w:color="auto" w:sz="4" w:space="0"/>
              <w:bottom w:val="single" w:color="auto" w:sz="4" w:space="0"/>
              <w:right w:val="single" w:color="auto" w:sz="4" w:space="0"/>
            </w:tcBorders>
            <w:noWrap w:val="0"/>
            <w:vAlign w:val="center"/>
          </w:tcPr>
          <w:p w14:paraId="6C4FB29D">
            <w:pPr>
              <w:adjustRightInd w:val="0"/>
              <w:snapToGrid w:val="0"/>
              <w:spacing w:line="276"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投标产品的技术指标评审：完全响应24分。</w:t>
            </w:r>
          </w:p>
          <w:p w14:paraId="16AA8BE1">
            <w:pPr>
              <w:adjustRightInd w:val="0"/>
              <w:snapToGrid w:val="0"/>
              <w:spacing w:line="276"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标注“</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”的技术参数，每一项参数负偏离扣2分，其他每一项参数负偏离扣1分，扣完为止</w:t>
            </w:r>
          </w:p>
          <w:p w14:paraId="24515094">
            <w:pPr>
              <w:adjustRightInd w:val="0"/>
              <w:snapToGrid w:val="0"/>
              <w:spacing w:line="276"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评审依据：按照技术参数要求提供相应的证明文件（包括不限于检测报告、技术白皮书、厂家产品说明等），在技术偏离表“说明”栏中标明证明材料的页码。</w:t>
            </w:r>
          </w:p>
        </w:tc>
      </w:tr>
      <w:tr w14:paraId="3A384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928" w:type="dxa"/>
            <w:vMerge w:val="continue"/>
            <w:tcBorders>
              <w:left w:val="single" w:color="auto" w:sz="4" w:space="0"/>
              <w:right w:val="single" w:color="auto" w:sz="4" w:space="0"/>
            </w:tcBorders>
            <w:noWrap w:val="0"/>
            <w:vAlign w:val="center"/>
          </w:tcPr>
          <w:p w14:paraId="71FA3AFD">
            <w:pPr>
              <w:adjustRightInd w:val="0"/>
              <w:snapToGrid w:val="0"/>
              <w:spacing w:line="360" w:lineRule="auto"/>
              <w:jc w:val="center"/>
              <w:rPr>
                <w:rFonts w:hint="eastAsia" w:ascii="宋体" w:hAnsi="宋体" w:eastAsia="宋体" w:cs="宋体"/>
                <w:color w:val="auto"/>
                <w:sz w:val="24"/>
                <w:highlight w:val="none"/>
              </w:rPr>
            </w:pPr>
          </w:p>
        </w:tc>
        <w:tc>
          <w:tcPr>
            <w:tcW w:w="1116" w:type="dxa"/>
            <w:tcBorders>
              <w:top w:val="single" w:color="auto" w:sz="4" w:space="0"/>
              <w:left w:val="single" w:color="auto" w:sz="4" w:space="0"/>
              <w:bottom w:val="single" w:color="auto" w:sz="4" w:space="0"/>
              <w:right w:val="single" w:color="auto" w:sz="4" w:space="0"/>
            </w:tcBorders>
            <w:noWrap w:val="0"/>
            <w:vAlign w:val="center"/>
          </w:tcPr>
          <w:p w14:paraId="1F1C79E3">
            <w:pPr>
              <w:adjustRightInd w:val="0"/>
              <w:snapToGrid w:val="0"/>
              <w:spacing w:line="276"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质量</w:t>
            </w:r>
          </w:p>
          <w:p w14:paraId="25150211">
            <w:pPr>
              <w:adjustRightInd w:val="0"/>
              <w:snapToGrid w:val="0"/>
              <w:spacing w:line="276"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保证</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44DDF27E">
            <w:pPr>
              <w:adjustRightInd w:val="0"/>
              <w:snapToGrid w:val="0"/>
              <w:spacing w:line="276"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5分</w:t>
            </w:r>
          </w:p>
        </w:tc>
        <w:tc>
          <w:tcPr>
            <w:tcW w:w="6925" w:type="dxa"/>
            <w:tcBorders>
              <w:top w:val="single" w:color="auto" w:sz="4" w:space="0"/>
              <w:left w:val="single" w:color="auto" w:sz="4" w:space="0"/>
              <w:bottom w:val="single" w:color="auto" w:sz="4" w:space="0"/>
              <w:right w:val="single" w:color="auto" w:sz="4" w:space="0"/>
            </w:tcBorders>
            <w:noWrap w:val="0"/>
            <w:vAlign w:val="center"/>
          </w:tcPr>
          <w:p w14:paraId="51475E2F">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投标产品货源渠道正规（不限于授权书等）；符合国家的标准和有关规定，有完备可靠的质量保证措施；提供完整的资料证明文件（包括但不限于销售协议、代理协议、原厂授权、认证证书、检测报告等），得 </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val="zh-CN"/>
              </w:rPr>
              <w:t>分。</w:t>
            </w:r>
          </w:p>
          <w:p w14:paraId="1EF42601">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有质量保证措施，经过有关部门检测。能保证使用单位正常使用和维护。提供部分资料证明文件，得 </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val="zh-CN"/>
              </w:rPr>
              <w:t>分。</w:t>
            </w:r>
          </w:p>
          <w:p w14:paraId="428C40B7">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能保证使用单位正常使用和维护。提供部分资料证明文件，得1 分。</w:t>
            </w:r>
          </w:p>
          <w:p w14:paraId="313389CC">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未提供相关资料证明文件得 0 分。</w:t>
            </w:r>
          </w:p>
        </w:tc>
      </w:tr>
      <w:tr w14:paraId="0EAD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6" w:hRule="atLeast"/>
          <w:jc w:val="center"/>
        </w:trPr>
        <w:tc>
          <w:tcPr>
            <w:tcW w:w="928" w:type="dxa"/>
            <w:vMerge w:val="continue"/>
            <w:tcBorders>
              <w:left w:val="single" w:color="auto" w:sz="4" w:space="0"/>
              <w:right w:val="single" w:color="auto" w:sz="4" w:space="0"/>
            </w:tcBorders>
            <w:noWrap w:val="0"/>
            <w:vAlign w:val="center"/>
          </w:tcPr>
          <w:p w14:paraId="697DEA28">
            <w:pPr>
              <w:adjustRightInd w:val="0"/>
              <w:snapToGrid w:val="0"/>
              <w:spacing w:line="360" w:lineRule="auto"/>
              <w:jc w:val="center"/>
              <w:rPr>
                <w:rFonts w:hint="eastAsia" w:ascii="宋体" w:hAnsi="宋体" w:eastAsia="宋体" w:cs="宋体"/>
                <w:color w:val="auto"/>
                <w:sz w:val="24"/>
                <w:highlight w:val="none"/>
              </w:rPr>
            </w:pPr>
          </w:p>
        </w:tc>
        <w:tc>
          <w:tcPr>
            <w:tcW w:w="1116" w:type="dxa"/>
            <w:vMerge w:val="restart"/>
            <w:tcBorders>
              <w:top w:val="single" w:color="auto" w:sz="4" w:space="0"/>
              <w:left w:val="single" w:color="auto" w:sz="4" w:space="0"/>
              <w:right w:val="single" w:color="auto" w:sz="4" w:space="0"/>
            </w:tcBorders>
            <w:noWrap w:val="0"/>
            <w:vAlign w:val="center"/>
          </w:tcPr>
          <w:p w14:paraId="7A6E48AF">
            <w:pPr>
              <w:adjustRightInd w:val="0"/>
              <w:snapToGrid w:val="0"/>
              <w:spacing w:line="276"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履约</w:t>
            </w:r>
          </w:p>
          <w:p w14:paraId="64D1D5F4">
            <w:pPr>
              <w:adjustRightInd w:val="0"/>
              <w:snapToGrid w:val="0"/>
              <w:spacing w:line="276"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能力</w:t>
            </w:r>
          </w:p>
        </w:tc>
        <w:tc>
          <w:tcPr>
            <w:tcW w:w="808" w:type="dxa"/>
            <w:tcBorders>
              <w:top w:val="single" w:color="auto" w:sz="4" w:space="0"/>
              <w:left w:val="single" w:color="auto" w:sz="4" w:space="0"/>
              <w:right w:val="single" w:color="auto" w:sz="4" w:space="0"/>
            </w:tcBorders>
            <w:noWrap w:val="0"/>
            <w:vAlign w:val="center"/>
          </w:tcPr>
          <w:p w14:paraId="73B69551">
            <w:pPr>
              <w:adjustRightInd w:val="0"/>
              <w:snapToGrid w:val="0"/>
              <w:spacing w:line="276"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3分</w:t>
            </w:r>
          </w:p>
        </w:tc>
        <w:tc>
          <w:tcPr>
            <w:tcW w:w="6925" w:type="dxa"/>
            <w:tcBorders>
              <w:top w:val="single" w:color="auto" w:sz="4" w:space="0"/>
              <w:left w:val="single" w:color="auto" w:sz="4" w:space="0"/>
              <w:bottom w:val="single" w:color="auto" w:sz="4" w:space="0"/>
              <w:right w:val="single" w:color="auto" w:sz="4" w:space="0"/>
            </w:tcBorders>
            <w:noWrap w:val="0"/>
            <w:vAlign w:val="center"/>
          </w:tcPr>
          <w:p w14:paraId="2CEDA584">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拟投入本项目的技术人员配备，内容包括：①人员配备；②职责分工；③相关人员资质证书等。</w:t>
            </w:r>
          </w:p>
          <w:p w14:paraId="6EBBCDEA">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人员配备全面合理，责任制度明确符合本项目采购需求，能有效保障本项目实施。每项满分 1 分，缺项不得分，每有一处内容存在缺陷，扣 0.5 分，扣完为止。</w:t>
            </w:r>
          </w:p>
        </w:tc>
      </w:tr>
      <w:tr w14:paraId="413A9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5" w:hRule="atLeast"/>
          <w:jc w:val="center"/>
        </w:trPr>
        <w:tc>
          <w:tcPr>
            <w:tcW w:w="928" w:type="dxa"/>
            <w:vMerge w:val="continue"/>
            <w:tcBorders>
              <w:left w:val="single" w:color="auto" w:sz="4" w:space="0"/>
              <w:right w:val="single" w:color="auto" w:sz="4" w:space="0"/>
            </w:tcBorders>
            <w:noWrap w:val="0"/>
            <w:vAlign w:val="center"/>
          </w:tcPr>
          <w:p w14:paraId="261939F0">
            <w:pPr>
              <w:adjustRightInd w:val="0"/>
              <w:snapToGrid w:val="0"/>
              <w:spacing w:line="360" w:lineRule="auto"/>
              <w:jc w:val="center"/>
              <w:rPr>
                <w:rFonts w:hint="eastAsia" w:ascii="宋体" w:hAnsi="宋体" w:eastAsia="宋体" w:cs="宋体"/>
                <w:color w:val="auto"/>
                <w:sz w:val="24"/>
                <w:highlight w:val="none"/>
              </w:rPr>
            </w:pPr>
          </w:p>
        </w:tc>
        <w:tc>
          <w:tcPr>
            <w:tcW w:w="1116" w:type="dxa"/>
            <w:tcBorders>
              <w:top w:val="single" w:color="auto" w:sz="4" w:space="0"/>
              <w:left w:val="single" w:color="auto" w:sz="4" w:space="0"/>
              <w:right w:val="single" w:color="auto" w:sz="4" w:space="0"/>
            </w:tcBorders>
            <w:noWrap w:val="0"/>
            <w:vAlign w:val="center"/>
          </w:tcPr>
          <w:p w14:paraId="5927A79E">
            <w:pPr>
              <w:keepNext w:val="0"/>
              <w:keepLines w:val="0"/>
              <w:widowControl/>
              <w:suppressLineNumbers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供货</w:t>
            </w:r>
          </w:p>
          <w:p w14:paraId="4C85FAFA">
            <w:pPr>
              <w:keepNext w:val="0"/>
              <w:keepLines w:val="0"/>
              <w:widowControl/>
              <w:suppressLineNumbers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方案</w:t>
            </w:r>
          </w:p>
        </w:tc>
        <w:tc>
          <w:tcPr>
            <w:tcW w:w="808" w:type="dxa"/>
            <w:tcBorders>
              <w:top w:val="single" w:color="auto" w:sz="4" w:space="0"/>
              <w:left w:val="single" w:color="auto" w:sz="4" w:space="0"/>
              <w:right w:val="single" w:color="auto" w:sz="4" w:space="0"/>
            </w:tcBorders>
            <w:noWrap w:val="0"/>
            <w:vAlign w:val="center"/>
          </w:tcPr>
          <w:p w14:paraId="5FABCA53">
            <w:pPr>
              <w:adjustRightInd w:val="0"/>
              <w:snapToGrid w:val="0"/>
              <w:spacing w:line="276"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10分</w:t>
            </w:r>
          </w:p>
        </w:tc>
        <w:tc>
          <w:tcPr>
            <w:tcW w:w="6925" w:type="dxa"/>
            <w:tcBorders>
              <w:top w:val="single" w:color="auto" w:sz="4" w:space="0"/>
              <w:left w:val="single" w:color="auto" w:sz="4" w:space="0"/>
              <w:bottom w:val="single" w:color="auto" w:sz="4" w:space="0"/>
              <w:right w:val="single" w:color="auto" w:sz="4" w:space="0"/>
            </w:tcBorders>
            <w:noWrap w:val="0"/>
            <w:vAlign w:val="center"/>
          </w:tcPr>
          <w:p w14:paraId="3CBAE28E">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提供详细具体的供货方案，内容包括：①备货、供货进度；②包装运输；③产品安装调试；④验收组织；⑤工作保障措施等。</w:t>
            </w:r>
          </w:p>
          <w:p w14:paraId="1AB50301">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方案各项内容全面详细、阐述条理清晰详尽、符合本项目采购需求，能有效保障本项目实施。</w:t>
            </w:r>
          </w:p>
          <w:p w14:paraId="051F92A2">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每项满分 2 分，缺项不得分，每有一处内容存在缺陷，扣 1 分，扣完为止。</w:t>
            </w:r>
          </w:p>
        </w:tc>
      </w:tr>
      <w:tr w14:paraId="3EC22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5" w:hRule="atLeast"/>
          <w:jc w:val="center"/>
        </w:trPr>
        <w:tc>
          <w:tcPr>
            <w:tcW w:w="928" w:type="dxa"/>
            <w:tcBorders>
              <w:left w:val="single" w:color="auto" w:sz="4" w:space="0"/>
              <w:right w:val="single" w:color="auto" w:sz="4" w:space="0"/>
            </w:tcBorders>
            <w:noWrap w:val="0"/>
            <w:vAlign w:val="center"/>
          </w:tcPr>
          <w:p w14:paraId="13FEE27F">
            <w:pPr>
              <w:adjustRightInd w:val="0"/>
              <w:snapToGrid w:val="0"/>
              <w:spacing w:line="360" w:lineRule="auto"/>
              <w:jc w:val="center"/>
              <w:rPr>
                <w:rFonts w:hint="eastAsia" w:ascii="宋体" w:hAnsi="宋体" w:eastAsia="宋体" w:cs="宋体"/>
                <w:color w:val="auto"/>
                <w:sz w:val="24"/>
                <w:highlight w:val="none"/>
              </w:rPr>
            </w:pPr>
          </w:p>
        </w:tc>
        <w:tc>
          <w:tcPr>
            <w:tcW w:w="1116" w:type="dxa"/>
            <w:tcBorders>
              <w:top w:val="single" w:color="auto" w:sz="4" w:space="0"/>
              <w:left w:val="single" w:color="auto" w:sz="4" w:space="0"/>
              <w:right w:val="single" w:color="auto" w:sz="4" w:space="0"/>
            </w:tcBorders>
            <w:noWrap w:val="0"/>
            <w:vAlign w:val="center"/>
          </w:tcPr>
          <w:p w14:paraId="13AD4FF4">
            <w:pPr>
              <w:keepNext w:val="0"/>
              <w:keepLines w:val="0"/>
              <w:widowControl/>
              <w:suppressLineNumbers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应急</w:t>
            </w:r>
          </w:p>
          <w:p w14:paraId="2F87957B">
            <w:pPr>
              <w:keepNext w:val="0"/>
              <w:keepLines w:val="0"/>
              <w:widowControl/>
              <w:suppressLineNumbers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方案</w:t>
            </w:r>
          </w:p>
        </w:tc>
        <w:tc>
          <w:tcPr>
            <w:tcW w:w="808" w:type="dxa"/>
            <w:tcBorders>
              <w:top w:val="single" w:color="auto" w:sz="4" w:space="0"/>
              <w:left w:val="single" w:color="auto" w:sz="4" w:space="0"/>
              <w:right w:val="single" w:color="auto" w:sz="4" w:space="0"/>
            </w:tcBorders>
            <w:noWrap w:val="0"/>
            <w:vAlign w:val="center"/>
          </w:tcPr>
          <w:p w14:paraId="3D5C3BC4">
            <w:pPr>
              <w:adjustRightInd w:val="0"/>
              <w:snapToGrid w:val="0"/>
              <w:spacing w:line="276"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8分</w:t>
            </w:r>
          </w:p>
        </w:tc>
        <w:tc>
          <w:tcPr>
            <w:tcW w:w="6925" w:type="dxa"/>
            <w:tcBorders>
              <w:top w:val="single" w:color="auto" w:sz="4" w:space="0"/>
              <w:left w:val="single" w:color="auto" w:sz="4" w:space="0"/>
              <w:bottom w:val="single" w:color="auto" w:sz="4" w:space="0"/>
              <w:right w:val="single" w:color="auto" w:sz="4" w:space="0"/>
            </w:tcBorders>
            <w:noWrap w:val="0"/>
            <w:vAlign w:val="center"/>
          </w:tcPr>
          <w:p w14:paraId="1F6CC2F0">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提供针对本项目的应急方案，内容包括：①预防机制；②突发事件；③应急响应；④后期处置等。</w:t>
            </w:r>
          </w:p>
          <w:p w14:paraId="669AE981">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方案各项内容全面详细、阐述条理清晰、针对性强，实施性科学合理。每项满分</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val="zh-CN"/>
              </w:rPr>
              <w:t>分，缺项不得分，每有一处内容存在缺陷，扣 0.5 分，扣完为止。</w:t>
            </w:r>
          </w:p>
        </w:tc>
      </w:tr>
      <w:tr w14:paraId="4469E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5" w:hRule="atLeast"/>
          <w:jc w:val="center"/>
        </w:trPr>
        <w:tc>
          <w:tcPr>
            <w:tcW w:w="928" w:type="dxa"/>
            <w:tcBorders>
              <w:left w:val="single" w:color="auto" w:sz="4" w:space="0"/>
              <w:right w:val="single" w:color="auto" w:sz="4" w:space="0"/>
            </w:tcBorders>
            <w:noWrap w:val="0"/>
            <w:vAlign w:val="center"/>
          </w:tcPr>
          <w:p w14:paraId="234B071F">
            <w:pPr>
              <w:adjustRightInd w:val="0"/>
              <w:snapToGrid w:val="0"/>
              <w:spacing w:line="360" w:lineRule="auto"/>
              <w:jc w:val="center"/>
              <w:rPr>
                <w:rFonts w:hint="eastAsia" w:ascii="宋体" w:hAnsi="宋体" w:eastAsia="宋体" w:cs="宋体"/>
                <w:color w:val="auto"/>
                <w:sz w:val="24"/>
                <w:highlight w:val="none"/>
              </w:rPr>
            </w:pPr>
          </w:p>
        </w:tc>
        <w:tc>
          <w:tcPr>
            <w:tcW w:w="1116" w:type="dxa"/>
            <w:tcBorders>
              <w:top w:val="single" w:color="auto" w:sz="4" w:space="0"/>
              <w:left w:val="single" w:color="auto" w:sz="4" w:space="0"/>
              <w:right w:val="single" w:color="auto" w:sz="4" w:space="0"/>
            </w:tcBorders>
            <w:noWrap w:val="0"/>
            <w:vAlign w:val="center"/>
          </w:tcPr>
          <w:p w14:paraId="44D95D49">
            <w:pPr>
              <w:keepNext w:val="0"/>
              <w:keepLines w:val="0"/>
              <w:widowControl/>
              <w:suppressLineNumbers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培训</w:t>
            </w:r>
          </w:p>
          <w:p w14:paraId="55B8935E">
            <w:pPr>
              <w:keepNext w:val="0"/>
              <w:keepLines w:val="0"/>
              <w:widowControl/>
              <w:suppressLineNumbers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方案</w:t>
            </w:r>
          </w:p>
        </w:tc>
        <w:tc>
          <w:tcPr>
            <w:tcW w:w="808" w:type="dxa"/>
            <w:tcBorders>
              <w:top w:val="single" w:color="auto" w:sz="4" w:space="0"/>
              <w:left w:val="single" w:color="auto" w:sz="4" w:space="0"/>
              <w:right w:val="single" w:color="auto" w:sz="4" w:space="0"/>
            </w:tcBorders>
            <w:noWrap w:val="0"/>
            <w:vAlign w:val="center"/>
          </w:tcPr>
          <w:p w14:paraId="17947C9F">
            <w:pPr>
              <w:adjustRightInd w:val="0"/>
              <w:snapToGrid w:val="0"/>
              <w:spacing w:line="276"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4分</w:t>
            </w:r>
          </w:p>
        </w:tc>
        <w:tc>
          <w:tcPr>
            <w:tcW w:w="6925" w:type="dxa"/>
            <w:tcBorders>
              <w:top w:val="single" w:color="auto" w:sz="4" w:space="0"/>
              <w:left w:val="single" w:color="auto" w:sz="4" w:space="0"/>
              <w:bottom w:val="single" w:color="auto" w:sz="4" w:space="0"/>
              <w:right w:val="single" w:color="auto" w:sz="4" w:space="0"/>
            </w:tcBorders>
            <w:noWrap w:val="0"/>
            <w:vAlign w:val="center"/>
          </w:tcPr>
          <w:p w14:paraId="27D2F80D">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方案</w:t>
            </w:r>
            <w:r>
              <w:rPr>
                <w:rFonts w:hint="eastAsia" w:ascii="宋体" w:hAnsi="宋体" w:eastAsia="宋体" w:cs="宋体"/>
                <w:color w:val="auto"/>
                <w:sz w:val="24"/>
                <w:highlight w:val="none"/>
                <w:lang w:val="zh-CN"/>
              </w:rPr>
              <w:t>内容包括：①培训人数；②培训时间；③培训内容；④培训方式等。</w:t>
            </w:r>
          </w:p>
          <w:p w14:paraId="3D735D68">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培训方案各项内容全面详细、阐述条理清晰、针对性、可实施性强，能够向采购人提供专业的培训服务。</w:t>
            </w:r>
          </w:p>
          <w:p w14:paraId="48742858">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每项满分1分，缺项不得分，每有一处内容存在缺陷，扣0.5分，扣完为止。</w:t>
            </w:r>
          </w:p>
        </w:tc>
      </w:tr>
      <w:tr w14:paraId="7EADC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5" w:hRule="atLeast"/>
          <w:jc w:val="center"/>
        </w:trPr>
        <w:tc>
          <w:tcPr>
            <w:tcW w:w="928" w:type="dxa"/>
            <w:tcBorders>
              <w:left w:val="single" w:color="auto" w:sz="4" w:space="0"/>
              <w:right w:val="single" w:color="auto" w:sz="4" w:space="0"/>
            </w:tcBorders>
            <w:noWrap w:val="0"/>
            <w:vAlign w:val="center"/>
          </w:tcPr>
          <w:p w14:paraId="497E063E">
            <w:pPr>
              <w:adjustRightInd w:val="0"/>
              <w:snapToGrid w:val="0"/>
              <w:spacing w:line="360" w:lineRule="auto"/>
              <w:jc w:val="center"/>
              <w:rPr>
                <w:rFonts w:hint="eastAsia" w:ascii="宋体" w:hAnsi="宋体" w:eastAsia="宋体" w:cs="宋体"/>
                <w:color w:val="auto"/>
                <w:sz w:val="24"/>
                <w:highlight w:val="none"/>
              </w:rPr>
            </w:pPr>
          </w:p>
        </w:tc>
        <w:tc>
          <w:tcPr>
            <w:tcW w:w="1116" w:type="dxa"/>
            <w:tcBorders>
              <w:top w:val="single" w:color="auto" w:sz="4" w:space="0"/>
              <w:left w:val="single" w:color="auto" w:sz="4" w:space="0"/>
              <w:right w:val="single" w:color="auto" w:sz="4" w:space="0"/>
            </w:tcBorders>
            <w:noWrap w:val="0"/>
            <w:vAlign w:val="center"/>
          </w:tcPr>
          <w:p w14:paraId="2D5981BF">
            <w:pPr>
              <w:keepNext w:val="0"/>
              <w:keepLines w:val="0"/>
              <w:widowControl/>
              <w:suppressLineNumbers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售后</w:t>
            </w:r>
          </w:p>
          <w:p w14:paraId="508770F7">
            <w:pPr>
              <w:keepNext w:val="0"/>
              <w:keepLines w:val="0"/>
              <w:widowControl/>
              <w:suppressLineNumbers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服务</w:t>
            </w:r>
          </w:p>
          <w:p w14:paraId="63270BB3">
            <w:pPr>
              <w:keepNext w:val="0"/>
              <w:keepLines w:val="0"/>
              <w:widowControl/>
              <w:suppressLineNumbers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方案</w:t>
            </w:r>
          </w:p>
        </w:tc>
        <w:tc>
          <w:tcPr>
            <w:tcW w:w="808" w:type="dxa"/>
            <w:tcBorders>
              <w:top w:val="single" w:color="auto" w:sz="4" w:space="0"/>
              <w:left w:val="single" w:color="auto" w:sz="4" w:space="0"/>
              <w:right w:val="single" w:color="auto" w:sz="4" w:space="0"/>
            </w:tcBorders>
            <w:noWrap w:val="0"/>
            <w:vAlign w:val="center"/>
          </w:tcPr>
          <w:p w14:paraId="7330D23B">
            <w:pPr>
              <w:adjustRightInd w:val="0"/>
              <w:snapToGrid w:val="0"/>
              <w:spacing w:line="276"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6分</w:t>
            </w:r>
          </w:p>
        </w:tc>
        <w:tc>
          <w:tcPr>
            <w:tcW w:w="6925" w:type="dxa"/>
            <w:tcBorders>
              <w:top w:val="single" w:color="auto" w:sz="4" w:space="0"/>
              <w:left w:val="single" w:color="auto" w:sz="4" w:space="0"/>
              <w:bottom w:val="single" w:color="auto" w:sz="4" w:space="0"/>
              <w:right w:val="single" w:color="auto" w:sz="4" w:space="0"/>
            </w:tcBorders>
            <w:noWrap w:val="0"/>
            <w:vAlign w:val="center"/>
          </w:tcPr>
          <w:p w14:paraId="1A0CFB85">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方案</w:t>
            </w:r>
            <w:r>
              <w:rPr>
                <w:rFonts w:hint="eastAsia" w:ascii="宋体" w:hAnsi="宋体" w:eastAsia="宋体" w:cs="宋体"/>
                <w:color w:val="auto"/>
                <w:sz w:val="24"/>
                <w:highlight w:val="none"/>
                <w:lang w:val="zh-CN"/>
              </w:rPr>
              <w:t>内容包括：①售后服务体系及人员配置；②售后服务内容；③项目交付采购人后出现故障的响应时间、解决故障时间；④补救措施；⑤定期巡检维护方案；⑥售后服务承诺等。</w:t>
            </w:r>
          </w:p>
          <w:p w14:paraId="5811E7CC">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售后服务方案各项内容全面详细、阐述条理清晰、针对性、可实施性强，能够向采购人提供专业的售后服务。</w:t>
            </w:r>
          </w:p>
          <w:p w14:paraId="170710B6">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每项满分 1 分，缺项不得分，每有一处内容存在缺陷，扣 0.5</w:t>
            </w:r>
          </w:p>
          <w:p w14:paraId="7FE488B0">
            <w:pPr>
              <w:adjustRightInd w:val="0"/>
              <w:snapToGrid w:val="0"/>
              <w:spacing w:line="276" w:lineRule="auto"/>
              <w:jc w:val="both"/>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分。</w:t>
            </w:r>
          </w:p>
        </w:tc>
      </w:tr>
      <w:tr w14:paraId="1F6B5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928" w:type="dxa"/>
            <w:tcBorders>
              <w:top w:val="single" w:color="auto" w:sz="4" w:space="0"/>
              <w:left w:val="single" w:color="auto" w:sz="4" w:space="0"/>
              <w:right w:val="single" w:color="auto" w:sz="4" w:space="0"/>
            </w:tcBorders>
            <w:noWrap w:val="0"/>
            <w:vAlign w:val="center"/>
          </w:tcPr>
          <w:p w14:paraId="30F90252">
            <w:pPr>
              <w:adjustRightInd w:val="0"/>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商务</w:t>
            </w:r>
            <w:r>
              <w:rPr>
                <w:rFonts w:hint="eastAsia" w:ascii="宋体" w:hAnsi="宋体" w:eastAsia="宋体" w:cs="宋体"/>
                <w:color w:val="auto"/>
                <w:sz w:val="24"/>
                <w:highlight w:val="none"/>
                <w:lang w:val="en-US" w:eastAsia="zh-CN"/>
              </w:rPr>
              <w:t>评审</w:t>
            </w:r>
          </w:p>
        </w:tc>
        <w:tc>
          <w:tcPr>
            <w:tcW w:w="1116" w:type="dxa"/>
            <w:tcBorders>
              <w:top w:val="single" w:color="auto" w:sz="4" w:space="0"/>
              <w:left w:val="single" w:color="auto" w:sz="4" w:space="0"/>
              <w:bottom w:val="single" w:color="auto" w:sz="4" w:space="0"/>
              <w:right w:val="single" w:color="auto" w:sz="4" w:space="0"/>
            </w:tcBorders>
            <w:noWrap w:val="0"/>
            <w:vAlign w:val="center"/>
          </w:tcPr>
          <w:p w14:paraId="68765758">
            <w:pPr>
              <w:adjustRightInd w:val="0"/>
              <w:snapToGrid w:val="0"/>
              <w:spacing w:line="276"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业绩</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2591E868">
            <w:pPr>
              <w:adjustRightInd w:val="0"/>
              <w:snapToGrid w:val="0"/>
              <w:spacing w:line="360" w:lineRule="auto"/>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p>
        </w:tc>
        <w:tc>
          <w:tcPr>
            <w:tcW w:w="6925" w:type="dxa"/>
            <w:tcBorders>
              <w:top w:val="single" w:color="auto" w:sz="4" w:space="0"/>
              <w:left w:val="single" w:color="auto" w:sz="4" w:space="0"/>
              <w:bottom w:val="single" w:color="auto" w:sz="4" w:space="0"/>
              <w:right w:val="single" w:color="auto" w:sz="4" w:space="0"/>
            </w:tcBorders>
            <w:noWrap w:val="0"/>
            <w:vAlign w:val="center"/>
          </w:tcPr>
          <w:p w14:paraId="7D004666">
            <w:pPr>
              <w:shd w:val="clear" w:color="auto" w:fill="auto"/>
              <w:autoSpaceDE w:val="0"/>
              <w:autoSpaceDN w:val="0"/>
              <w:adjustRightInd w:val="0"/>
              <w:snapToGrid w:val="0"/>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提供202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zh-CN"/>
              </w:rPr>
              <w:t>至</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val="zh-CN"/>
              </w:rPr>
              <w:t>截止时间（以合同签订时间为准）</w:t>
            </w:r>
            <w:r>
              <w:rPr>
                <w:rFonts w:hint="eastAsia" w:ascii="宋体" w:hAnsi="宋体" w:cs="宋体"/>
                <w:color w:val="auto"/>
                <w:sz w:val="24"/>
                <w:szCs w:val="24"/>
                <w:highlight w:val="none"/>
                <w:lang w:val="en-US" w:eastAsia="zh-CN"/>
              </w:rPr>
              <w:t>类似</w:t>
            </w:r>
            <w:r>
              <w:rPr>
                <w:rFonts w:hint="eastAsia" w:ascii="宋体" w:hAnsi="宋体" w:eastAsia="宋体" w:cs="宋体"/>
                <w:color w:val="auto"/>
                <w:sz w:val="24"/>
                <w:szCs w:val="24"/>
                <w:highlight w:val="none"/>
                <w:lang w:val="zh-CN"/>
              </w:rPr>
              <w:t>业绩，每提供一个业绩得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分，满分</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rPr>
              <w:t>分。</w:t>
            </w:r>
          </w:p>
          <w:p w14:paraId="4E7391AD">
            <w:pPr>
              <w:adjustRightInd w:val="0"/>
              <w:snapToGrid w:val="0"/>
              <w:spacing w:line="276" w:lineRule="auto"/>
              <w:jc w:val="left"/>
              <w:rPr>
                <w:rFonts w:hint="eastAsia" w:ascii="宋体" w:hAnsi="宋体" w:eastAsia="宋体" w:cs="宋体"/>
                <w:color w:val="auto"/>
                <w:highlight w:val="none"/>
                <w:lang w:val="zh-CN"/>
              </w:rPr>
            </w:pPr>
            <w:r>
              <w:rPr>
                <w:rFonts w:hint="eastAsia" w:ascii="宋体" w:hAnsi="宋体" w:eastAsia="宋体" w:cs="宋体"/>
                <w:b/>
                <w:color w:val="auto"/>
                <w:sz w:val="24"/>
                <w:szCs w:val="24"/>
                <w:highlight w:val="none"/>
                <w:lang w:val="zh-CN"/>
              </w:rPr>
              <w:t>评审依据：</w:t>
            </w:r>
            <w:r>
              <w:rPr>
                <w:rFonts w:hint="eastAsia" w:ascii="宋体" w:hAnsi="宋体" w:eastAsia="宋体" w:cs="宋体"/>
                <w:color w:val="auto"/>
                <w:sz w:val="24"/>
                <w:szCs w:val="24"/>
                <w:highlight w:val="none"/>
                <w:lang w:val="zh-CN"/>
              </w:rPr>
              <w:t>以加盖公章的业绩合同复印件为准，合同至少需包含合同首页、产品页、签章页。</w:t>
            </w:r>
          </w:p>
        </w:tc>
      </w:tr>
      <w:tr w14:paraId="260BB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852" w:type="dxa"/>
            <w:gridSpan w:val="3"/>
            <w:tcBorders>
              <w:top w:val="single" w:color="auto" w:sz="4" w:space="0"/>
              <w:left w:val="single" w:color="auto" w:sz="4" w:space="0"/>
              <w:bottom w:val="single" w:color="auto" w:sz="4" w:space="0"/>
              <w:right w:val="single" w:color="auto" w:sz="4" w:space="0"/>
            </w:tcBorders>
            <w:noWrap w:val="0"/>
            <w:vAlign w:val="center"/>
          </w:tcPr>
          <w:p w14:paraId="3B28E2B1">
            <w:pPr>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满</w:t>
            </w:r>
            <w:r>
              <w:rPr>
                <w:rFonts w:hint="eastAsia" w:ascii="宋体" w:hAnsi="宋体" w:eastAsia="宋体" w:cs="宋体"/>
                <w:color w:val="auto"/>
                <w:sz w:val="24"/>
                <w:highlight w:val="none"/>
              </w:rPr>
              <w:t>分</w:t>
            </w:r>
          </w:p>
        </w:tc>
        <w:tc>
          <w:tcPr>
            <w:tcW w:w="6925" w:type="dxa"/>
            <w:tcBorders>
              <w:top w:val="single" w:color="auto" w:sz="4" w:space="0"/>
              <w:left w:val="single" w:color="auto" w:sz="4" w:space="0"/>
              <w:bottom w:val="single" w:color="auto" w:sz="4" w:space="0"/>
              <w:right w:val="single" w:color="auto" w:sz="4" w:space="0"/>
            </w:tcBorders>
            <w:noWrap w:val="0"/>
            <w:vAlign w:val="center"/>
          </w:tcPr>
          <w:p w14:paraId="7D6FB9B7">
            <w:pPr>
              <w:adjustRightInd w:val="0"/>
              <w:snapToGrid w:val="0"/>
              <w:spacing w:line="276"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100分</w:t>
            </w:r>
          </w:p>
        </w:tc>
      </w:tr>
    </w:tbl>
    <w:p w14:paraId="5A73C118">
      <w:pPr>
        <w:spacing w:line="360" w:lineRule="auto"/>
        <w:jc w:val="both"/>
        <w:rPr>
          <w:rFonts w:hint="eastAsia" w:ascii="宋体" w:hAnsi="宋体" w:eastAsia="宋体" w:cs="宋体"/>
          <w:color w:val="auto"/>
          <w:highlight w:val="none"/>
          <w:lang w:val="en-US" w:eastAsia="zh-CN"/>
        </w:rPr>
      </w:pPr>
    </w:p>
    <w:p w14:paraId="7963D863">
      <w:pPr>
        <w:spacing w:before="156" w:line="218" w:lineRule="auto"/>
        <w:ind w:left="902"/>
        <w:rPr>
          <w:rFonts w:hint="eastAsia" w:ascii="宋体" w:hAnsi="宋体" w:eastAsia="宋体" w:cs="宋体"/>
          <w:color w:val="auto"/>
          <w:sz w:val="24"/>
          <w:szCs w:val="24"/>
          <w:highlight w:val="none"/>
        </w:rPr>
      </w:pPr>
      <w:bookmarkStart w:id="292" w:name="_Toc6865"/>
      <w:bookmarkStart w:id="293" w:name="_Toc532473757"/>
      <w:bookmarkStart w:id="294" w:name="_Toc4796"/>
      <w:bookmarkStart w:id="295" w:name="_Toc532044541"/>
      <w:bookmarkStart w:id="296" w:name="_Toc515647833"/>
      <w:bookmarkStart w:id="297" w:name="_Toc62194342"/>
      <w:r>
        <w:rPr>
          <w:rStyle w:val="22"/>
          <w:rFonts w:hint="eastAsia" w:ascii="宋体" w:hAnsi="宋体" w:eastAsia="宋体" w:cs="宋体"/>
          <w:color w:val="auto"/>
          <w:sz w:val="24"/>
          <w:szCs w:val="24"/>
          <w:highlight w:val="none"/>
          <w:lang w:eastAsia="zh-CN"/>
        </w:rPr>
        <w:t>四、</w:t>
      </w:r>
      <w:r>
        <w:rPr>
          <w:rFonts w:hint="eastAsia" w:ascii="宋体" w:hAnsi="宋体" w:eastAsia="宋体" w:cs="宋体"/>
          <w:b/>
          <w:bCs/>
          <w:color w:val="auto"/>
          <w:spacing w:val="-3"/>
          <w:sz w:val="24"/>
          <w:szCs w:val="24"/>
          <w:highlight w:val="none"/>
        </w:rPr>
        <w:t>异常低价投标审查程序</w:t>
      </w:r>
    </w:p>
    <w:p w14:paraId="71427E82">
      <w:pPr>
        <w:spacing w:before="158" w:line="218" w:lineRule="auto"/>
        <w:ind w:left="902"/>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21.1</w:t>
      </w:r>
      <w:r>
        <w:rPr>
          <w:rFonts w:hint="eastAsia" w:ascii="宋体" w:hAnsi="宋体" w:eastAsia="宋体" w:cs="宋体"/>
          <w:color w:val="auto"/>
          <w:spacing w:val="-3"/>
          <w:sz w:val="24"/>
          <w:szCs w:val="24"/>
          <w:highlight w:val="none"/>
        </w:rPr>
        <w:t xml:space="preserve"> </w:t>
      </w:r>
      <w:r>
        <w:rPr>
          <w:rFonts w:hint="eastAsia" w:ascii="宋体" w:hAnsi="宋体" w:eastAsia="宋体" w:cs="宋体"/>
          <w:b/>
          <w:bCs/>
          <w:color w:val="auto"/>
          <w:spacing w:val="-3"/>
          <w:sz w:val="24"/>
          <w:szCs w:val="24"/>
          <w:highlight w:val="none"/>
        </w:rPr>
        <w:t>异常低价投标审查程序启动</w:t>
      </w:r>
    </w:p>
    <w:p w14:paraId="3BA93B35">
      <w:pPr>
        <w:spacing w:before="156" w:line="278" w:lineRule="auto"/>
        <w:ind w:left="437" w:right="445" w:firstLine="47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（1）投标报价低于全部通过符合性审查供应商投标报价平均值</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4"/>
          <w:sz w:val="24"/>
          <w:szCs w:val="24"/>
          <w:highlight w:val="none"/>
        </w:rPr>
        <w:t>50%的，即投标报价</w:t>
      </w:r>
      <w:r>
        <w:rPr>
          <w:rFonts w:hint="eastAsia" w:ascii="宋体" w:hAnsi="宋体" w:eastAsia="宋体" w:cs="宋体"/>
          <w:color w:val="auto"/>
          <w:spacing w:val="3"/>
          <w:sz w:val="24"/>
          <w:szCs w:val="24"/>
          <w:highlight w:val="none"/>
        </w:rPr>
        <w:t>&lt;全部通过符合性审查供应商投标报价平均值×50%；</w:t>
      </w:r>
    </w:p>
    <w:p w14:paraId="07BB960E">
      <w:pPr>
        <w:spacing w:before="158" w:line="278" w:lineRule="auto"/>
        <w:ind w:left="437" w:right="445" w:firstLine="47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（2）投标报价低于通过符合性审查的次低报价供应商投标报价</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4"/>
          <w:sz w:val="24"/>
          <w:szCs w:val="24"/>
          <w:highlight w:val="none"/>
        </w:rPr>
        <w:t>50%的，即投标报价</w:t>
      </w:r>
      <w:r>
        <w:rPr>
          <w:rFonts w:hint="eastAsia" w:ascii="宋体" w:hAnsi="宋体" w:eastAsia="宋体" w:cs="宋体"/>
          <w:color w:val="auto"/>
          <w:spacing w:val="3"/>
          <w:sz w:val="24"/>
          <w:szCs w:val="24"/>
          <w:highlight w:val="none"/>
        </w:rPr>
        <w:t>&lt;通过符合性审查的次低报价供应商投标报价×50%；</w:t>
      </w:r>
    </w:p>
    <w:p w14:paraId="4F262F32">
      <w:pPr>
        <w:spacing w:before="155" w:line="281" w:lineRule="auto"/>
        <w:ind w:left="419" w:right="447" w:firstLine="492"/>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（3）投标报价低于采购项目最高限价</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3"/>
          <w:sz w:val="24"/>
          <w:szCs w:val="24"/>
          <w:highlight w:val="none"/>
        </w:rPr>
        <w:t>45%</w:t>
      </w:r>
      <w:r>
        <w:rPr>
          <w:rFonts w:hint="eastAsia" w:ascii="宋体" w:hAnsi="宋体" w:eastAsia="宋体" w:cs="宋体"/>
          <w:color w:val="auto"/>
          <w:spacing w:val="2"/>
          <w:sz w:val="24"/>
          <w:szCs w:val="24"/>
          <w:highlight w:val="none"/>
        </w:rPr>
        <w:t>的，即投标报价＜采购项目最高限价×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45%；</w:t>
      </w:r>
    </w:p>
    <w:p w14:paraId="0D430B96">
      <w:pPr>
        <w:spacing w:before="150" w:line="279" w:lineRule="auto"/>
        <w:ind w:left="423" w:right="445" w:firstLine="487"/>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（4）评审委员会基于专业判断，认为供应商报价过低，有可能影响产品质量或者</w:t>
      </w:r>
      <w:r>
        <w:rPr>
          <w:rFonts w:hint="eastAsia" w:ascii="宋体" w:hAnsi="宋体" w:eastAsia="宋体" w:cs="宋体"/>
          <w:color w:val="auto"/>
          <w:spacing w:val="-2"/>
          <w:sz w:val="24"/>
          <w:szCs w:val="24"/>
          <w:highlight w:val="none"/>
        </w:rPr>
        <w:t>不能诚信履约的其他情形。</w:t>
      </w:r>
    </w:p>
    <w:p w14:paraId="2504ACE2">
      <w:pPr>
        <w:spacing w:before="78" w:line="219" w:lineRule="auto"/>
        <w:ind w:left="902"/>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21.2</w:t>
      </w:r>
      <w:r>
        <w:rPr>
          <w:rFonts w:hint="eastAsia" w:ascii="宋体" w:hAnsi="宋体" w:eastAsia="宋体" w:cs="宋体"/>
          <w:color w:val="auto"/>
          <w:spacing w:val="-3"/>
          <w:sz w:val="24"/>
          <w:szCs w:val="24"/>
          <w:highlight w:val="none"/>
        </w:rPr>
        <w:t xml:space="preserve"> </w:t>
      </w:r>
      <w:r>
        <w:rPr>
          <w:rFonts w:hint="eastAsia" w:ascii="宋体" w:hAnsi="宋体" w:eastAsia="宋体" w:cs="宋体"/>
          <w:b/>
          <w:bCs/>
          <w:color w:val="auto"/>
          <w:spacing w:val="-3"/>
          <w:sz w:val="24"/>
          <w:szCs w:val="24"/>
          <w:highlight w:val="none"/>
        </w:rPr>
        <w:t>供应商证明资料提供</w:t>
      </w:r>
    </w:p>
    <w:p w14:paraId="2765E4A1">
      <w:pPr>
        <w:spacing w:before="158" w:line="338" w:lineRule="auto"/>
        <w:ind w:left="420" w:right="365" w:firstLine="478"/>
        <w:jc w:val="both"/>
        <w:rPr>
          <w:rFonts w:hint="eastAsia" w:ascii="宋体" w:hAnsi="宋体" w:eastAsia="宋体" w:cs="宋体"/>
          <w:b/>
          <w:bCs/>
          <w:color w:val="auto"/>
          <w:spacing w:val="-3"/>
          <w:sz w:val="24"/>
          <w:szCs w:val="24"/>
          <w:highlight w:val="none"/>
        </w:rPr>
      </w:pPr>
      <w:r>
        <w:rPr>
          <w:rFonts w:hint="eastAsia" w:ascii="宋体" w:hAnsi="宋体" w:eastAsia="宋体" w:cs="宋体"/>
          <w:color w:val="auto"/>
          <w:spacing w:val="-1"/>
          <w:sz w:val="24"/>
          <w:szCs w:val="24"/>
          <w:highlight w:val="none"/>
        </w:rPr>
        <w:t>评审委员会启动异常低价投标审查后，属于</w:t>
      </w:r>
      <w:r>
        <w:rPr>
          <w:rFonts w:hint="eastAsia" w:ascii="宋体" w:hAnsi="宋体" w:eastAsia="宋体" w:cs="宋体"/>
          <w:color w:val="auto"/>
          <w:spacing w:val="-2"/>
          <w:sz w:val="24"/>
          <w:szCs w:val="24"/>
          <w:highlight w:val="none"/>
        </w:rPr>
        <w:t>前述第（1）项至第（4）项情形的，要求相关供应商在评审现场合理的时间内对投标价格作出解释，提供项目具体成本测算等</w:t>
      </w:r>
      <w:r>
        <w:rPr>
          <w:rFonts w:hint="eastAsia" w:ascii="宋体" w:hAnsi="宋体" w:eastAsia="宋体" w:cs="宋体"/>
          <w:color w:val="auto"/>
          <w:spacing w:val="-6"/>
          <w:sz w:val="24"/>
          <w:szCs w:val="24"/>
          <w:highlight w:val="none"/>
        </w:rPr>
        <w:t>与报价合理性相关的书面说明及必要的证明材料，包括但不限于原材料成本、人工成本、</w:t>
      </w:r>
      <w:r>
        <w:rPr>
          <w:rFonts w:hint="eastAsia" w:ascii="宋体" w:hAnsi="宋体" w:eastAsia="宋体" w:cs="宋体"/>
          <w:color w:val="auto"/>
          <w:spacing w:val="-2"/>
          <w:sz w:val="24"/>
          <w:szCs w:val="24"/>
          <w:highlight w:val="none"/>
        </w:rPr>
        <w:t>制造费用等，相关资料时间为</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2"/>
          <w:sz w:val="24"/>
          <w:szCs w:val="24"/>
          <w:highlight w:val="none"/>
        </w:rPr>
        <w:t>30</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2"/>
          <w:sz w:val="24"/>
          <w:szCs w:val="24"/>
          <w:highlight w:val="none"/>
        </w:rPr>
        <w:t>分钟（其中属于第（3）项情形，供</w:t>
      </w:r>
      <w:r>
        <w:rPr>
          <w:rFonts w:hint="eastAsia" w:ascii="宋体" w:hAnsi="宋体" w:eastAsia="宋体" w:cs="宋体"/>
          <w:color w:val="auto"/>
          <w:spacing w:val="-3"/>
          <w:sz w:val="24"/>
          <w:szCs w:val="24"/>
          <w:highlight w:val="none"/>
        </w:rPr>
        <w:t>应商已随投标文件</w:t>
      </w:r>
      <w:r>
        <w:rPr>
          <w:rFonts w:hint="eastAsia" w:ascii="宋体" w:hAnsi="宋体" w:eastAsia="宋体" w:cs="宋体"/>
          <w:color w:val="auto"/>
          <w:sz w:val="24"/>
          <w:szCs w:val="24"/>
          <w:highlight w:val="none"/>
        </w:rPr>
        <w:t>一并提交相关书面说明及必要的证明材料的，在评</w:t>
      </w:r>
      <w:r>
        <w:rPr>
          <w:rFonts w:hint="eastAsia" w:ascii="宋体" w:hAnsi="宋体" w:eastAsia="宋体" w:cs="宋体"/>
          <w:color w:val="auto"/>
          <w:spacing w:val="-1"/>
          <w:sz w:val="24"/>
          <w:szCs w:val="24"/>
          <w:highlight w:val="none"/>
        </w:rPr>
        <w:t>审现场可不再重复提交）。</w:t>
      </w:r>
    </w:p>
    <w:p w14:paraId="2DE39458">
      <w:pPr>
        <w:spacing w:before="1" w:line="217" w:lineRule="auto"/>
        <w:ind w:left="902"/>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21.3</w:t>
      </w:r>
      <w:r>
        <w:rPr>
          <w:rFonts w:hint="eastAsia" w:ascii="宋体" w:hAnsi="宋体" w:eastAsia="宋体" w:cs="宋体"/>
          <w:color w:val="auto"/>
          <w:spacing w:val="-3"/>
          <w:sz w:val="24"/>
          <w:szCs w:val="24"/>
          <w:highlight w:val="none"/>
        </w:rPr>
        <w:t xml:space="preserve"> </w:t>
      </w:r>
      <w:r>
        <w:rPr>
          <w:rFonts w:hint="eastAsia" w:ascii="宋体" w:hAnsi="宋体" w:eastAsia="宋体" w:cs="宋体"/>
          <w:b/>
          <w:bCs/>
          <w:color w:val="auto"/>
          <w:spacing w:val="-3"/>
          <w:sz w:val="24"/>
          <w:szCs w:val="24"/>
          <w:highlight w:val="none"/>
        </w:rPr>
        <w:t>异常低价投标判定</w:t>
      </w:r>
    </w:p>
    <w:p w14:paraId="21F7E0EC">
      <w:pPr>
        <w:spacing w:before="159" w:line="338" w:lineRule="auto"/>
        <w:ind w:left="419" w:right="418" w:firstLine="480"/>
        <w:jc w:val="both"/>
        <w:rPr>
          <w:rFonts w:hint="eastAsia" w:ascii="宋体" w:hAnsi="宋体" w:eastAsia="宋体" w:cs="宋体"/>
          <w:color w:val="auto"/>
          <w:sz w:val="24"/>
          <w:szCs w:val="24"/>
          <w:highlight w:val="none"/>
        </w:rPr>
        <w:sectPr>
          <w:footerReference r:id="rId6" w:type="default"/>
          <w:pgSz w:w="11906" w:h="16839"/>
          <w:pgMar w:top="1173" w:right="915" w:bottom="1611" w:left="1062" w:header="822" w:footer="1100" w:gutter="0"/>
          <w:cols w:space="720" w:num="1"/>
        </w:sectPr>
      </w:pPr>
      <w:r>
        <w:rPr>
          <w:rFonts w:hint="eastAsia" w:ascii="宋体" w:hAnsi="宋体" w:eastAsia="宋体" w:cs="宋体"/>
          <w:color w:val="auto"/>
          <w:spacing w:val="-2"/>
          <w:sz w:val="24"/>
          <w:szCs w:val="24"/>
          <w:highlight w:val="none"/>
        </w:rPr>
        <w:t>评审委员会依据专业经验，参考同类项目中标（成交）价格、类似产品市场价格水平、行业人工费用标准、国家有关部门指导行业协会发布的行业平均成本等情况，对报</w:t>
      </w:r>
      <w:r>
        <w:rPr>
          <w:rFonts w:hint="eastAsia" w:ascii="宋体" w:hAnsi="宋体" w:eastAsia="宋体" w:cs="宋体"/>
          <w:color w:val="auto"/>
          <w:spacing w:val="-3"/>
          <w:sz w:val="24"/>
          <w:szCs w:val="24"/>
          <w:highlight w:val="none"/>
        </w:rPr>
        <w:t>价合理性进行判断。</w:t>
      </w:r>
      <w:r>
        <w:rPr>
          <w:rFonts w:hint="eastAsia" w:ascii="宋体" w:hAnsi="宋体" w:eastAsia="宋体" w:cs="宋体"/>
          <w:b/>
          <w:bCs/>
          <w:color w:val="auto"/>
          <w:spacing w:val="-3"/>
          <w:sz w:val="24"/>
          <w:szCs w:val="24"/>
          <w:highlight w:val="none"/>
        </w:rPr>
        <w:t>投标供应商不能提供书面说明、证明材料或者提供的书面说明、证</w:t>
      </w:r>
      <w:r>
        <w:rPr>
          <w:rFonts w:hint="eastAsia" w:ascii="宋体" w:hAnsi="宋体" w:eastAsia="宋体" w:cs="宋体"/>
          <w:b/>
          <w:bCs/>
          <w:color w:val="auto"/>
          <w:spacing w:val="-2"/>
          <w:sz w:val="24"/>
          <w:szCs w:val="24"/>
          <w:highlight w:val="none"/>
        </w:rPr>
        <w:t>明材料不能证明其报价合理性的，评审委员会应当将其作为无效投标处理。</w:t>
      </w:r>
    </w:p>
    <w:p w14:paraId="61C73ECB">
      <w:pPr>
        <w:spacing w:line="360" w:lineRule="auto"/>
        <w:jc w:val="center"/>
        <w:outlineLvl w:val="0"/>
        <w:rPr>
          <w:rFonts w:hint="eastAsia" w:ascii="宋体" w:hAnsi="宋体" w:eastAsia="宋体" w:cs="宋体"/>
          <w:color w:val="auto"/>
          <w:sz w:val="32"/>
          <w:szCs w:val="32"/>
          <w:highlight w:val="none"/>
        </w:rPr>
      </w:pPr>
      <w:r>
        <w:rPr>
          <w:rStyle w:val="22"/>
          <w:rFonts w:hint="eastAsia" w:ascii="宋体" w:hAnsi="宋体" w:eastAsia="宋体" w:cs="宋体"/>
          <w:color w:val="auto"/>
          <w:szCs w:val="32"/>
          <w:highlight w:val="none"/>
        </w:rPr>
        <w:t>第四章  拟签订的合同</w:t>
      </w:r>
      <w:bookmarkEnd w:id="292"/>
      <w:bookmarkEnd w:id="293"/>
      <w:bookmarkEnd w:id="294"/>
      <w:bookmarkEnd w:id="295"/>
      <w:bookmarkEnd w:id="296"/>
      <w:bookmarkStart w:id="298" w:name="_Hlt487972895"/>
      <w:bookmarkEnd w:id="298"/>
      <w:bookmarkStart w:id="299" w:name="_Toc487900382"/>
      <w:bookmarkStart w:id="300" w:name="_Toc216513788"/>
      <w:r>
        <w:rPr>
          <w:rStyle w:val="22"/>
          <w:rFonts w:hint="eastAsia" w:ascii="宋体" w:hAnsi="宋体" w:eastAsia="宋体" w:cs="宋体"/>
          <w:color w:val="auto"/>
          <w:szCs w:val="32"/>
          <w:highlight w:val="none"/>
        </w:rPr>
        <w:t>文本</w:t>
      </w:r>
      <w:bookmarkEnd w:id="297"/>
    </w:p>
    <w:bookmarkEnd w:id="299"/>
    <w:bookmarkEnd w:id="300"/>
    <w:p w14:paraId="3C0E8A5A">
      <w:pPr>
        <w:spacing w:line="360" w:lineRule="auto"/>
        <w:rPr>
          <w:rFonts w:hint="eastAsia" w:ascii="宋体" w:hAnsi="宋体" w:eastAsia="宋体" w:cs="宋体"/>
          <w:b/>
          <w:color w:val="auto"/>
          <w:kern w:val="44"/>
          <w:sz w:val="32"/>
          <w:szCs w:val="20"/>
          <w:highlight w:val="none"/>
        </w:rPr>
      </w:pPr>
    </w:p>
    <w:p w14:paraId="3E65F46B">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采购方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旬阳市人民医院   </w:t>
      </w:r>
    </w:p>
    <w:p w14:paraId="2A706D07">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供货方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p>
    <w:p w14:paraId="06D5A90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甲乙</w:t>
      </w:r>
      <w:r>
        <w:rPr>
          <w:rFonts w:hint="eastAsia" w:ascii="宋体" w:hAnsi="宋体" w:eastAsia="宋体" w:cs="宋体"/>
          <w:color w:val="auto"/>
          <w:sz w:val="24"/>
          <w:szCs w:val="24"/>
          <w:highlight w:val="none"/>
        </w:rPr>
        <w:t>双方协商，</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根据《中华人民共和国</w:t>
      </w:r>
      <w:r>
        <w:rPr>
          <w:rFonts w:hint="eastAsia" w:ascii="宋体" w:hAnsi="宋体" w:eastAsia="宋体" w:cs="宋体"/>
          <w:color w:val="auto"/>
          <w:sz w:val="24"/>
          <w:szCs w:val="24"/>
          <w:highlight w:val="none"/>
          <w:lang w:val="en-US" w:eastAsia="zh-CN"/>
        </w:rPr>
        <w:t>民法典</w:t>
      </w:r>
      <w:r>
        <w:rPr>
          <w:rFonts w:hint="eastAsia" w:ascii="宋体" w:hAnsi="宋体" w:eastAsia="宋体" w:cs="宋体"/>
          <w:color w:val="auto"/>
          <w:sz w:val="24"/>
          <w:szCs w:val="24"/>
          <w:highlight w:val="none"/>
        </w:rPr>
        <w:t>》以及相关法律法规的规定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在平等互利、协商一致的基础上，</w:t>
      </w:r>
      <w:r>
        <w:rPr>
          <w:rFonts w:hint="eastAsia" w:ascii="宋体" w:hAnsi="宋体" w:eastAsia="宋体" w:cs="宋体"/>
          <w:color w:val="auto"/>
          <w:sz w:val="24"/>
          <w:szCs w:val="24"/>
          <w:highlight w:val="none"/>
        </w:rPr>
        <w:t>双方自愿达成如下协议</w:t>
      </w:r>
      <w:r>
        <w:rPr>
          <w:rFonts w:hint="eastAsia" w:ascii="宋体" w:hAnsi="宋体" w:eastAsia="宋体" w:cs="宋体"/>
          <w:color w:val="auto"/>
          <w:sz w:val="24"/>
          <w:szCs w:val="24"/>
          <w:highlight w:val="none"/>
          <w:lang w:eastAsia="zh-CN"/>
        </w:rPr>
        <w:t>：</w:t>
      </w:r>
    </w:p>
    <w:p w14:paraId="3E38D1B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第一条 </w:t>
      </w:r>
      <w:r>
        <w:rPr>
          <w:rFonts w:hint="eastAsia" w:ascii="宋体" w:hAnsi="宋体" w:eastAsia="宋体" w:cs="宋体"/>
          <w:color w:val="auto"/>
          <w:sz w:val="24"/>
          <w:szCs w:val="24"/>
          <w:highlight w:val="none"/>
        </w:rPr>
        <w:t>设备明细表如下</w:t>
      </w:r>
      <w:r>
        <w:rPr>
          <w:rFonts w:hint="eastAsia" w:ascii="宋体" w:hAnsi="宋体" w:eastAsia="宋体" w:cs="宋体"/>
          <w:color w:val="auto"/>
          <w:sz w:val="24"/>
          <w:szCs w:val="24"/>
          <w:highlight w:val="none"/>
          <w:lang w:eastAsia="zh-CN"/>
        </w:rPr>
        <w:t>：</w:t>
      </w:r>
    </w:p>
    <w:tbl>
      <w:tblPr>
        <w:tblStyle w:val="1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63"/>
        <w:gridCol w:w="897"/>
        <w:gridCol w:w="1880"/>
        <w:gridCol w:w="1035"/>
        <w:gridCol w:w="1098"/>
        <w:gridCol w:w="1129"/>
        <w:gridCol w:w="1178"/>
      </w:tblGrid>
      <w:tr w14:paraId="24C30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pct"/>
            <w:noWrap w:val="0"/>
            <w:vAlign w:val="top"/>
          </w:tcPr>
          <w:p w14:paraId="075B5F4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货物</w:t>
            </w:r>
            <w:r>
              <w:rPr>
                <w:rFonts w:hint="eastAsia" w:ascii="宋体" w:hAnsi="宋体" w:eastAsia="宋体" w:cs="宋体"/>
                <w:color w:val="auto"/>
                <w:sz w:val="24"/>
                <w:szCs w:val="24"/>
                <w:highlight w:val="none"/>
              </w:rPr>
              <w:t>名称</w:t>
            </w:r>
          </w:p>
        </w:tc>
        <w:tc>
          <w:tcPr>
            <w:tcW w:w="483" w:type="pct"/>
            <w:noWrap w:val="0"/>
            <w:vAlign w:val="top"/>
          </w:tcPr>
          <w:p w14:paraId="6268433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品牌</w:t>
            </w:r>
          </w:p>
        </w:tc>
        <w:tc>
          <w:tcPr>
            <w:tcW w:w="1012" w:type="pct"/>
            <w:noWrap w:val="0"/>
            <w:vAlign w:val="top"/>
          </w:tcPr>
          <w:p w14:paraId="307BC234">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规格</w:t>
            </w:r>
            <w:r>
              <w:rPr>
                <w:rFonts w:hint="eastAsia" w:ascii="宋体" w:hAnsi="宋体" w:eastAsia="宋体" w:cs="宋体"/>
                <w:color w:val="auto"/>
                <w:sz w:val="24"/>
                <w:szCs w:val="24"/>
                <w:highlight w:val="none"/>
                <w:lang w:eastAsia="zh-CN"/>
              </w:rPr>
              <w:t>型号</w:t>
            </w:r>
          </w:p>
        </w:tc>
        <w:tc>
          <w:tcPr>
            <w:tcW w:w="557" w:type="pct"/>
            <w:noWrap w:val="0"/>
            <w:vAlign w:val="top"/>
          </w:tcPr>
          <w:p w14:paraId="532E55F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591" w:type="pct"/>
            <w:noWrap w:val="0"/>
            <w:vAlign w:val="top"/>
          </w:tcPr>
          <w:p w14:paraId="699129A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单位</w:t>
            </w:r>
          </w:p>
        </w:tc>
        <w:tc>
          <w:tcPr>
            <w:tcW w:w="608" w:type="pct"/>
            <w:noWrap w:val="0"/>
            <w:vAlign w:val="top"/>
          </w:tcPr>
          <w:p w14:paraId="75EA5E25">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单价</w:t>
            </w:r>
          </w:p>
        </w:tc>
        <w:tc>
          <w:tcPr>
            <w:tcW w:w="634" w:type="pct"/>
            <w:noWrap w:val="0"/>
            <w:vAlign w:val="top"/>
          </w:tcPr>
          <w:p w14:paraId="7BDDC5EA">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总价</w:t>
            </w:r>
          </w:p>
        </w:tc>
      </w:tr>
      <w:tr w14:paraId="35DDC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pct"/>
            <w:noWrap w:val="0"/>
            <w:vAlign w:val="top"/>
          </w:tcPr>
          <w:p w14:paraId="6F746D80">
            <w:pPr>
              <w:spacing w:line="360" w:lineRule="auto"/>
              <w:jc w:val="center"/>
              <w:rPr>
                <w:rFonts w:hint="eastAsia" w:ascii="宋体" w:hAnsi="宋体" w:eastAsia="宋体" w:cs="宋体"/>
                <w:color w:val="auto"/>
                <w:sz w:val="24"/>
                <w:szCs w:val="24"/>
                <w:highlight w:val="none"/>
                <w:lang w:eastAsia="zh-CN"/>
              </w:rPr>
            </w:pPr>
          </w:p>
        </w:tc>
        <w:tc>
          <w:tcPr>
            <w:tcW w:w="483" w:type="pct"/>
            <w:noWrap w:val="0"/>
            <w:vAlign w:val="top"/>
          </w:tcPr>
          <w:p w14:paraId="181E3950">
            <w:pPr>
              <w:spacing w:line="360" w:lineRule="auto"/>
              <w:jc w:val="center"/>
              <w:rPr>
                <w:rFonts w:hint="eastAsia" w:ascii="宋体" w:hAnsi="宋体" w:eastAsia="宋体" w:cs="宋体"/>
                <w:color w:val="auto"/>
                <w:sz w:val="24"/>
                <w:szCs w:val="24"/>
                <w:highlight w:val="none"/>
              </w:rPr>
            </w:pPr>
          </w:p>
        </w:tc>
        <w:tc>
          <w:tcPr>
            <w:tcW w:w="1012" w:type="pct"/>
            <w:noWrap w:val="0"/>
            <w:vAlign w:val="top"/>
          </w:tcPr>
          <w:p w14:paraId="6DACFF2D">
            <w:pPr>
              <w:spacing w:line="360" w:lineRule="auto"/>
              <w:jc w:val="center"/>
              <w:rPr>
                <w:rFonts w:hint="eastAsia" w:ascii="宋体" w:hAnsi="宋体" w:eastAsia="宋体" w:cs="宋体"/>
                <w:color w:val="auto"/>
                <w:sz w:val="24"/>
                <w:szCs w:val="24"/>
                <w:highlight w:val="none"/>
              </w:rPr>
            </w:pPr>
          </w:p>
        </w:tc>
        <w:tc>
          <w:tcPr>
            <w:tcW w:w="557" w:type="pct"/>
            <w:noWrap w:val="0"/>
            <w:vAlign w:val="top"/>
          </w:tcPr>
          <w:p w14:paraId="628F7191">
            <w:pPr>
              <w:spacing w:line="360" w:lineRule="auto"/>
              <w:jc w:val="center"/>
              <w:rPr>
                <w:rFonts w:hint="eastAsia" w:ascii="宋体" w:hAnsi="宋体" w:eastAsia="宋体" w:cs="宋体"/>
                <w:color w:val="auto"/>
                <w:sz w:val="24"/>
                <w:szCs w:val="24"/>
                <w:highlight w:val="none"/>
                <w:lang w:val="en-US" w:eastAsia="zh-CN"/>
              </w:rPr>
            </w:pPr>
          </w:p>
        </w:tc>
        <w:tc>
          <w:tcPr>
            <w:tcW w:w="591" w:type="pct"/>
            <w:noWrap w:val="0"/>
            <w:vAlign w:val="top"/>
          </w:tcPr>
          <w:p w14:paraId="304AF59B">
            <w:pPr>
              <w:spacing w:line="360" w:lineRule="auto"/>
              <w:jc w:val="center"/>
              <w:rPr>
                <w:rFonts w:hint="eastAsia" w:ascii="宋体" w:hAnsi="宋体" w:eastAsia="宋体" w:cs="宋体"/>
                <w:color w:val="auto"/>
                <w:sz w:val="24"/>
                <w:szCs w:val="24"/>
                <w:highlight w:val="none"/>
                <w:lang w:eastAsia="zh-CN"/>
              </w:rPr>
            </w:pPr>
          </w:p>
        </w:tc>
        <w:tc>
          <w:tcPr>
            <w:tcW w:w="608" w:type="pct"/>
            <w:noWrap w:val="0"/>
            <w:vAlign w:val="top"/>
          </w:tcPr>
          <w:p w14:paraId="3447CE8E">
            <w:pPr>
              <w:spacing w:line="360" w:lineRule="auto"/>
              <w:jc w:val="center"/>
              <w:rPr>
                <w:rFonts w:hint="eastAsia" w:ascii="宋体" w:hAnsi="宋体" w:eastAsia="宋体" w:cs="宋体"/>
                <w:color w:val="auto"/>
                <w:sz w:val="24"/>
                <w:szCs w:val="24"/>
                <w:highlight w:val="none"/>
              </w:rPr>
            </w:pPr>
          </w:p>
        </w:tc>
        <w:tc>
          <w:tcPr>
            <w:tcW w:w="634" w:type="pct"/>
            <w:noWrap w:val="0"/>
            <w:vAlign w:val="top"/>
          </w:tcPr>
          <w:p w14:paraId="079E23BB">
            <w:pPr>
              <w:spacing w:line="360" w:lineRule="auto"/>
              <w:jc w:val="center"/>
              <w:rPr>
                <w:rFonts w:hint="eastAsia" w:ascii="宋体" w:hAnsi="宋体" w:eastAsia="宋体" w:cs="宋体"/>
                <w:color w:val="auto"/>
                <w:sz w:val="24"/>
                <w:szCs w:val="24"/>
                <w:highlight w:val="none"/>
              </w:rPr>
            </w:pPr>
          </w:p>
        </w:tc>
      </w:tr>
      <w:tr w14:paraId="2CF92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pct"/>
            <w:noWrap w:val="0"/>
            <w:vAlign w:val="top"/>
          </w:tcPr>
          <w:p w14:paraId="3C47DED9">
            <w:pPr>
              <w:spacing w:line="360" w:lineRule="auto"/>
              <w:jc w:val="center"/>
              <w:rPr>
                <w:rFonts w:hint="eastAsia" w:ascii="宋体" w:hAnsi="宋体" w:eastAsia="宋体" w:cs="宋体"/>
                <w:color w:val="auto"/>
                <w:sz w:val="24"/>
                <w:szCs w:val="24"/>
                <w:highlight w:val="none"/>
                <w:lang w:val="en-US" w:eastAsia="zh-CN"/>
              </w:rPr>
            </w:pPr>
          </w:p>
        </w:tc>
        <w:tc>
          <w:tcPr>
            <w:tcW w:w="483" w:type="pct"/>
            <w:noWrap w:val="0"/>
            <w:vAlign w:val="top"/>
          </w:tcPr>
          <w:p w14:paraId="1184450C">
            <w:pPr>
              <w:spacing w:line="360" w:lineRule="auto"/>
              <w:jc w:val="center"/>
              <w:rPr>
                <w:rFonts w:hint="eastAsia" w:ascii="宋体" w:hAnsi="宋体" w:eastAsia="宋体" w:cs="宋体"/>
                <w:color w:val="auto"/>
                <w:sz w:val="24"/>
                <w:szCs w:val="24"/>
                <w:highlight w:val="none"/>
              </w:rPr>
            </w:pPr>
          </w:p>
        </w:tc>
        <w:tc>
          <w:tcPr>
            <w:tcW w:w="1012" w:type="pct"/>
            <w:noWrap w:val="0"/>
            <w:vAlign w:val="top"/>
          </w:tcPr>
          <w:p w14:paraId="0039494D">
            <w:pPr>
              <w:spacing w:line="360" w:lineRule="auto"/>
              <w:jc w:val="center"/>
              <w:rPr>
                <w:rFonts w:hint="eastAsia" w:ascii="宋体" w:hAnsi="宋体" w:eastAsia="宋体" w:cs="宋体"/>
                <w:color w:val="auto"/>
                <w:sz w:val="24"/>
                <w:szCs w:val="24"/>
                <w:highlight w:val="none"/>
              </w:rPr>
            </w:pPr>
          </w:p>
        </w:tc>
        <w:tc>
          <w:tcPr>
            <w:tcW w:w="557" w:type="pct"/>
            <w:noWrap w:val="0"/>
            <w:vAlign w:val="top"/>
          </w:tcPr>
          <w:p w14:paraId="7EE1A3A4">
            <w:pPr>
              <w:spacing w:line="360" w:lineRule="auto"/>
              <w:jc w:val="center"/>
              <w:rPr>
                <w:rFonts w:hint="eastAsia" w:ascii="宋体" w:hAnsi="宋体" w:eastAsia="宋体" w:cs="宋体"/>
                <w:color w:val="auto"/>
                <w:sz w:val="24"/>
                <w:szCs w:val="24"/>
                <w:highlight w:val="none"/>
                <w:lang w:val="en-US" w:eastAsia="zh-CN"/>
              </w:rPr>
            </w:pPr>
          </w:p>
        </w:tc>
        <w:tc>
          <w:tcPr>
            <w:tcW w:w="591" w:type="pct"/>
            <w:noWrap w:val="0"/>
            <w:vAlign w:val="top"/>
          </w:tcPr>
          <w:p w14:paraId="51658853">
            <w:pPr>
              <w:spacing w:line="360" w:lineRule="auto"/>
              <w:jc w:val="center"/>
              <w:rPr>
                <w:rFonts w:hint="eastAsia" w:ascii="宋体" w:hAnsi="宋体" w:eastAsia="宋体" w:cs="宋体"/>
                <w:color w:val="auto"/>
                <w:sz w:val="24"/>
                <w:szCs w:val="24"/>
                <w:highlight w:val="none"/>
                <w:lang w:eastAsia="zh-CN"/>
              </w:rPr>
            </w:pPr>
          </w:p>
        </w:tc>
        <w:tc>
          <w:tcPr>
            <w:tcW w:w="608" w:type="pct"/>
            <w:noWrap w:val="0"/>
            <w:vAlign w:val="top"/>
          </w:tcPr>
          <w:p w14:paraId="7C152C1C">
            <w:pPr>
              <w:spacing w:line="360" w:lineRule="auto"/>
              <w:jc w:val="center"/>
              <w:rPr>
                <w:rFonts w:hint="eastAsia" w:ascii="宋体" w:hAnsi="宋体" w:eastAsia="宋体" w:cs="宋体"/>
                <w:color w:val="auto"/>
                <w:sz w:val="24"/>
                <w:szCs w:val="24"/>
                <w:highlight w:val="none"/>
              </w:rPr>
            </w:pPr>
          </w:p>
        </w:tc>
        <w:tc>
          <w:tcPr>
            <w:tcW w:w="634" w:type="pct"/>
            <w:noWrap w:val="0"/>
            <w:vAlign w:val="top"/>
          </w:tcPr>
          <w:p w14:paraId="79F7F889">
            <w:pPr>
              <w:spacing w:line="360" w:lineRule="auto"/>
              <w:jc w:val="center"/>
              <w:rPr>
                <w:rFonts w:hint="eastAsia" w:ascii="宋体" w:hAnsi="宋体" w:eastAsia="宋体" w:cs="宋体"/>
                <w:color w:val="auto"/>
                <w:sz w:val="24"/>
                <w:szCs w:val="24"/>
                <w:highlight w:val="none"/>
              </w:rPr>
            </w:pPr>
          </w:p>
        </w:tc>
      </w:tr>
    </w:tbl>
    <w:p w14:paraId="2F6D468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乙方应随货提供设备的技术文件，包括相应的图纸、操作手册、维护手册、质量保证文件、</w:t>
      </w:r>
      <w:r>
        <w:rPr>
          <w:rFonts w:hint="eastAsia" w:ascii="宋体" w:hAnsi="宋体" w:eastAsia="宋体" w:cs="宋体"/>
          <w:color w:val="auto"/>
          <w:sz w:val="24"/>
          <w:szCs w:val="24"/>
          <w:highlight w:val="none"/>
          <w:lang w:eastAsia="zh-CN"/>
        </w:rPr>
        <w:t>检验合格证、</w:t>
      </w:r>
      <w:r>
        <w:rPr>
          <w:rFonts w:hint="eastAsia" w:ascii="宋体" w:hAnsi="宋体" w:eastAsia="宋体" w:cs="宋体"/>
          <w:color w:val="auto"/>
          <w:sz w:val="24"/>
          <w:szCs w:val="24"/>
          <w:highlight w:val="none"/>
        </w:rPr>
        <w:t>服务指南等。</w:t>
      </w:r>
    </w:p>
    <w:p w14:paraId="3916163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 技术标准</w:t>
      </w:r>
    </w:p>
    <w:p w14:paraId="59B0E87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在符合</w:t>
      </w:r>
      <w:r>
        <w:rPr>
          <w:rFonts w:hint="eastAsia" w:ascii="宋体" w:hAnsi="宋体" w:eastAsia="宋体" w:cs="宋体"/>
          <w:color w:val="auto"/>
          <w:sz w:val="24"/>
          <w:szCs w:val="24"/>
          <w:highlight w:val="none"/>
          <w:lang w:val="en-US" w:eastAsia="zh-CN"/>
        </w:rPr>
        <w:t>招标文件采购需求和技术要求以及</w:t>
      </w:r>
      <w:r>
        <w:rPr>
          <w:rFonts w:hint="eastAsia" w:ascii="宋体" w:hAnsi="宋体" w:eastAsia="宋体" w:cs="宋体"/>
          <w:color w:val="auto"/>
          <w:sz w:val="24"/>
          <w:szCs w:val="24"/>
          <w:highlight w:val="none"/>
        </w:rPr>
        <w:t>国家相关技术标准的基础上，甲、乙双方根据</w:t>
      </w:r>
      <w:r>
        <w:rPr>
          <w:rFonts w:hint="eastAsia" w:ascii="宋体" w:hAnsi="宋体" w:eastAsia="宋体" w:cs="宋体"/>
          <w:color w:val="auto"/>
          <w:sz w:val="24"/>
          <w:szCs w:val="24"/>
          <w:highlight w:val="none"/>
          <w:lang w:val="en-US" w:eastAsia="zh-CN"/>
        </w:rPr>
        <w:t>投标文件、技术标准和规范及本</w:t>
      </w:r>
      <w:r>
        <w:rPr>
          <w:rFonts w:hint="eastAsia" w:ascii="宋体" w:hAnsi="宋体" w:eastAsia="宋体" w:cs="宋体"/>
          <w:color w:val="auto"/>
          <w:sz w:val="24"/>
          <w:szCs w:val="24"/>
          <w:highlight w:val="none"/>
        </w:rPr>
        <w:t>合同约定进行技术验收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甲方验收合格后，双方在《验收合格单》上签字确认。</w:t>
      </w:r>
    </w:p>
    <w:p w14:paraId="279A928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 供货时间及交付地点</w:t>
      </w:r>
      <w:r>
        <w:rPr>
          <w:rFonts w:hint="eastAsia" w:ascii="宋体" w:hAnsi="宋体" w:eastAsia="宋体" w:cs="宋体"/>
          <w:color w:val="auto"/>
          <w:sz w:val="24"/>
          <w:szCs w:val="24"/>
          <w:highlight w:val="none"/>
          <w:lang w:eastAsia="zh-CN"/>
        </w:rPr>
        <w:t>：</w:t>
      </w:r>
    </w:p>
    <w:p w14:paraId="545B5B59">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1.交货期：14日历天</w:t>
      </w:r>
    </w:p>
    <w:p w14:paraId="066F55D8">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交付地点</w:t>
      </w:r>
      <w:r>
        <w:rPr>
          <w:rFonts w:hint="eastAsia" w:ascii="宋体" w:hAnsi="宋体" w:eastAsia="宋体" w:cs="宋体"/>
          <w:color w:val="auto"/>
          <w:sz w:val="24"/>
          <w:szCs w:val="24"/>
          <w:highlight w:val="none"/>
          <w:lang w:eastAsia="zh-CN"/>
        </w:rPr>
        <w:t>：采购人指定地点</w:t>
      </w:r>
    </w:p>
    <w:p w14:paraId="2EB452F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乙方确保设备安全无损地运抵甲方指定现场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并承担运费、保险费、税费</w:t>
      </w:r>
      <w:r>
        <w:rPr>
          <w:rFonts w:hint="eastAsia" w:ascii="宋体" w:hAnsi="宋体" w:eastAsia="宋体" w:cs="宋体"/>
          <w:color w:val="auto"/>
          <w:sz w:val="24"/>
          <w:szCs w:val="24"/>
          <w:highlight w:val="none"/>
          <w:lang w:eastAsia="zh-CN"/>
        </w:rPr>
        <w:t>及设备的</w:t>
      </w:r>
      <w:r>
        <w:rPr>
          <w:rFonts w:hint="eastAsia" w:ascii="宋体" w:hAnsi="宋体" w:eastAsia="宋体" w:cs="宋体"/>
          <w:color w:val="auto"/>
          <w:sz w:val="24"/>
          <w:szCs w:val="24"/>
          <w:highlight w:val="none"/>
        </w:rPr>
        <w:t>安装调试。</w:t>
      </w:r>
    </w:p>
    <w:p w14:paraId="0F92F744">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第四条</w:t>
      </w:r>
      <w:r>
        <w:rPr>
          <w:rFonts w:hint="eastAsia" w:ascii="宋体" w:hAnsi="宋体" w:eastAsia="宋体" w:cs="宋体"/>
          <w:color w:val="auto"/>
          <w:sz w:val="24"/>
          <w:szCs w:val="24"/>
          <w:highlight w:val="none"/>
          <w:lang w:val="en-US" w:eastAsia="zh-CN"/>
        </w:rPr>
        <w:t xml:space="preserve"> 安装和验收</w:t>
      </w:r>
    </w:p>
    <w:p w14:paraId="099142B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1.设备到货后，乙方应在接到甲方通知后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天内安装调试完成。  　</w:t>
      </w:r>
    </w:p>
    <w:p w14:paraId="76EFFE36">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2.甲、乙双方在符合国家相关技术标准的基础上，根据合同的技术标准进行技术验收，验收合格后，双方在甲方《验收合格单》上签字确认。</w:t>
      </w:r>
    </w:p>
    <w:p w14:paraId="4A75971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货款及支付方式</w:t>
      </w:r>
    </w:p>
    <w:p w14:paraId="7EA0A99F">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1.合同总价为人民币</w:t>
      </w:r>
      <w:r>
        <w:rPr>
          <w:rFonts w:hint="eastAsia" w:ascii="宋体" w:hAnsi="宋体" w:eastAsia="宋体" w:cs="宋体"/>
          <w:color w:val="auto"/>
          <w:sz w:val="24"/>
          <w:szCs w:val="24"/>
          <w:highlight w:val="none"/>
          <w:lang w:eastAsia="zh-CN"/>
        </w:rPr>
        <w:t>：（大写）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w:t>
      </w:r>
    </w:p>
    <w:p w14:paraId="078A3A48">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2.合同签订后</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eastAsia="zh-CN"/>
        </w:rPr>
        <w:t>后设备安装调试正常运行一个月验收合格后支付合同总额95%的设备款，余款满三年设备使用正常后付清。</w:t>
      </w:r>
    </w:p>
    <w:p w14:paraId="57C71CD8">
      <w:pPr>
        <w:spacing w:line="360" w:lineRule="auto"/>
        <w:rPr>
          <w:rFonts w:hint="eastAsia" w:ascii="宋体" w:hAnsi="宋体" w:eastAsia="宋体" w:cs="宋体"/>
          <w:color w:val="auto"/>
          <w:sz w:val="24"/>
          <w:szCs w:val="24"/>
          <w:highlight w:val="none"/>
        </w:rPr>
      </w:pPr>
    </w:p>
    <w:p w14:paraId="4CA5715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六</w:t>
      </w:r>
      <w:r>
        <w:rPr>
          <w:rFonts w:hint="eastAsia" w:ascii="宋体" w:hAnsi="宋体" w:eastAsia="宋体" w:cs="宋体"/>
          <w:color w:val="auto"/>
          <w:sz w:val="24"/>
          <w:szCs w:val="24"/>
          <w:highlight w:val="none"/>
        </w:rPr>
        <w:t>条 售后服务及质量保证</w:t>
      </w:r>
    </w:p>
    <w:p w14:paraId="18ADA34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1.乙方对货物实行三包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包修、包换、包退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509AF6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2.乙方自收到甲方电话、传真等维修要求后应当在</w:t>
      </w:r>
      <w:r>
        <w:rPr>
          <w:rFonts w:hint="eastAsia" w:ascii="宋体" w:hAnsi="宋体" w:eastAsia="宋体" w:cs="宋体"/>
          <w:color w:val="auto"/>
          <w:sz w:val="24"/>
          <w:szCs w:val="24"/>
          <w:highlight w:val="none"/>
          <w:lang w:val="en-US" w:eastAsia="zh-CN"/>
        </w:rPr>
        <w:t>半</w:t>
      </w:r>
      <w:r>
        <w:rPr>
          <w:rFonts w:hint="eastAsia" w:ascii="宋体" w:hAnsi="宋体" w:eastAsia="宋体" w:cs="宋体"/>
          <w:color w:val="auto"/>
          <w:sz w:val="24"/>
          <w:szCs w:val="24"/>
          <w:highlight w:val="none"/>
        </w:rPr>
        <w:t>小时内响应，</w:t>
      </w:r>
      <w:r>
        <w:rPr>
          <w:rFonts w:hint="eastAsia" w:ascii="宋体" w:hAnsi="宋体" w:eastAsia="宋体" w:cs="宋体"/>
          <w:color w:val="auto"/>
          <w:sz w:val="24"/>
          <w:szCs w:val="24"/>
          <w:highlight w:val="none"/>
          <w:lang w:val="en-US" w:eastAsia="zh-CN"/>
        </w:rPr>
        <w:t xml:space="preserve">24 </w:t>
      </w:r>
      <w:r>
        <w:rPr>
          <w:rFonts w:hint="eastAsia" w:ascii="宋体" w:hAnsi="宋体" w:eastAsia="宋体" w:cs="宋体"/>
          <w:color w:val="auto"/>
          <w:sz w:val="24"/>
          <w:szCs w:val="24"/>
          <w:highlight w:val="none"/>
        </w:rPr>
        <w:t>小时内解决问题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逾期甲方可自行组织维修，费用由乙方承担。</w:t>
      </w:r>
    </w:p>
    <w:p w14:paraId="56CF0FD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3.免费质保期为</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年，自设备安装调试合格之日起算。在免费质保期内，乙方履行保修义务应免收材料和人工等一切费用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免费质保期满后，乙方履行保修义务只收取</w:t>
      </w:r>
      <w:r>
        <w:rPr>
          <w:rFonts w:hint="eastAsia" w:ascii="宋体" w:hAnsi="宋体" w:eastAsia="宋体" w:cs="宋体"/>
          <w:color w:val="auto"/>
          <w:sz w:val="24"/>
          <w:szCs w:val="24"/>
          <w:highlight w:val="none"/>
          <w:lang w:eastAsia="zh-CN"/>
        </w:rPr>
        <w:t>材料</w:t>
      </w:r>
      <w:r>
        <w:rPr>
          <w:rFonts w:hint="eastAsia" w:ascii="宋体" w:hAnsi="宋体" w:eastAsia="宋体" w:cs="宋体"/>
          <w:color w:val="auto"/>
          <w:sz w:val="24"/>
          <w:szCs w:val="24"/>
          <w:highlight w:val="none"/>
        </w:rPr>
        <w:t>费。</w:t>
      </w:r>
    </w:p>
    <w:p w14:paraId="0C72E6B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4.设备运至甲方指定处，乙方应指派技师对甲方操作人员安装、使用设备进行培训，直至甲方操作人员能熟练操作为止，乙方承担培训技师的薪资等全部费用。</w:t>
      </w:r>
    </w:p>
    <w:p w14:paraId="5640C6D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第七条 </w:t>
      </w:r>
      <w:r>
        <w:rPr>
          <w:rFonts w:hint="eastAsia" w:ascii="宋体" w:hAnsi="宋体" w:eastAsia="宋体" w:cs="宋体"/>
          <w:color w:val="auto"/>
          <w:sz w:val="24"/>
          <w:szCs w:val="24"/>
          <w:highlight w:val="none"/>
        </w:rPr>
        <w:t>违约责任</w:t>
      </w:r>
    </w:p>
    <w:p w14:paraId="3832A4D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.乙方逾期供货，每逾期一日，按合同总金额的</w:t>
      </w:r>
      <w:r>
        <w:rPr>
          <w:rFonts w:hint="eastAsia" w:ascii="宋体" w:hAnsi="宋体" w:eastAsia="宋体" w:cs="宋体"/>
          <w:color w:val="auto"/>
          <w:sz w:val="24"/>
          <w:szCs w:val="24"/>
          <w:highlight w:val="none"/>
          <w:lang w:val="en-US" w:eastAsia="zh-CN"/>
        </w:rPr>
        <w:t>0.1 ‰</w:t>
      </w:r>
      <w:r>
        <w:rPr>
          <w:rFonts w:hint="eastAsia" w:ascii="宋体" w:hAnsi="宋体" w:eastAsia="宋体" w:cs="宋体"/>
          <w:color w:val="auto"/>
          <w:sz w:val="24"/>
          <w:szCs w:val="24"/>
          <w:highlight w:val="none"/>
        </w:rPr>
        <w:t>向甲方支付违约金。</w:t>
      </w:r>
    </w:p>
    <w:p w14:paraId="159BF31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.乙方逾期供货超过30日，甲方有权解除合同，并按合同总金额的</w:t>
      </w:r>
      <w:r>
        <w:rPr>
          <w:rFonts w:hint="eastAsia" w:ascii="宋体" w:hAnsi="宋体" w:eastAsia="宋体" w:cs="宋体"/>
          <w:color w:val="auto"/>
          <w:sz w:val="24"/>
          <w:szCs w:val="24"/>
          <w:highlight w:val="none"/>
          <w:lang w:val="en-US" w:eastAsia="zh-CN"/>
        </w:rPr>
        <w:t xml:space="preserve"> 1 %</w:t>
      </w:r>
      <w:r>
        <w:rPr>
          <w:rFonts w:hint="eastAsia" w:ascii="宋体" w:hAnsi="宋体" w:eastAsia="宋体" w:cs="宋体"/>
          <w:color w:val="auto"/>
          <w:sz w:val="24"/>
          <w:szCs w:val="24"/>
          <w:highlight w:val="none"/>
        </w:rPr>
        <w:t>向甲方支付违约金。</w:t>
      </w:r>
    </w:p>
    <w:p w14:paraId="6F33A73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.乙方违反质量条款交付产品，乙方应在甲方书面通知七日内提供符合约定质量标准的产品，每逾期一日承担合同金额</w:t>
      </w:r>
      <w:r>
        <w:rPr>
          <w:rFonts w:hint="eastAsia" w:ascii="宋体" w:hAnsi="宋体" w:eastAsia="宋体" w:cs="宋体"/>
          <w:color w:val="auto"/>
          <w:sz w:val="24"/>
          <w:szCs w:val="24"/>
          <w:highlight w:val="none"/>
          <w:lang w:val="en-US" w:eastAsia="zh-CN"/>
        </w:rPr>
        <w:t>0.1 %</w:t>
      </w:r>
      <w:r>
        <w:rPr>
          <w:rFonts w:hint="eastAsia" w:ascii="宋体" w:hAnsi="宋体" w:eastAsia="宋体" w:cs="宋体"/>
          <w:color w:val="auto"/>
          <w:sz w:val="24"/>
          <w:szCs w:val="24"/>
          <w:highlight w:val="none"/>
        </w:rPr>
        <w:t>的违约金。</w:t>
      </w:r>
    </w:p>
    <w:p w14:paraId="5536743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八</w:t>
      </w:r>
      <w:r>
        <w:rPr>
          <w:rFonts w:hint="eastAsia" w:ascii="宋体" w:hAnsi="宋体" w:eastAsia="宋体" w:cs="宋体"/>
          <w:color w:val="auto"/>
          <w:sz w:val="24"/>
          <w:szCs w:val="24"/>
          <w:highlight w:val="none"/>
        </w:rPr>
        <w:t>条 不可抗力</w:t>
      </w:r>
    </w:p>
    <w:p w14:paraId="5E3A53A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甲、乙任何一方由于不可抗力原因不能履行合同时，应及时向对方通报不能履行或不能完全履行的理由，以减轻可能给对方造成的损失，并根据情况可部分或全部免予承担违约责任。</w:t>
      </w:r>
    </w:p>
    <w:p w14:paraId="45E4096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九</w:t>
      </w:r>
      <w:r>
        <w:rPr>
          <w:rFonts w:hint="eastAsia" w:ascii="宋体" w:hAnsi="宋体" w:eastAsia="宋体" w:cs="宋体"/>
          <w:color w:val="auto"/>
          <w:sz w:val="24"/>
          <w:szCs w:val="24"/>
          <w:highlight w:val="none"/>
        </w:rPr>
        <w:t>条 争议解决方法</w:t>
      </w:r>
    </w:p>
    <w:p w14:paraId="1B95820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甲、乙双方因履行本合同发生争议时，应友好协商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如协商未果</w:t>
      </w:r>
      <w:r>
        <w:rPr>
          <w:rFonts w:hint="eastAsia" w:ascii="宋体" w:hAnsi="宋体" w:eastAsia="宋体" w:cs="宋体"/>
          <w:color w:val="auto"/>
          <w:sz w:val="24"/>
          <w:szCs w:val="24"/>
          <w:highlight w:val="none"/>
          <w:lang w:val="en-US" w:eastAsia="zh-CN"/>
        </w:rPr>
        <w:t>的，任何一方均有权将争议向合同签订所在地人民法院提起诉讼。</w:t>
      </w:r>
    </w:p>
    <w:p w14:paraId="112C0044">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十</w:t>
      </w:r>
      <w:r>
        <w:rPr>
          <w:rFonts w:hint="eastAsia" w:ascii="宋体" w:hAnsi="宋体" w:eastAsia="宋体" w:cs="宋体"/>
          <w:color w:val="auto"/>
          <w:sz w:val="24"/>
          <w:szCs w:val="24"/>
          <w:highlight w:val="none"/>
        </w:rPr>
        <w:t>条 其他</w:t>
      </w:r>
      <w:r>
        <w:rPr>
          <w:rFonts w:hint="eastAsia" w:ascii="宋体" w:hAnsi="宋体" w:eastAsia="宋体" w:cs="宋体"/>
          <w:color w:val="auto"/>
          <w:sz w:val="24"/>
          <w:szCs w:val="24"/>
          <w:highlight w:val="none"/>
          <w:lang w:val="en-US" w:eastAsia="zh-CN"/>
        </w:rPr>
        <w:t>内容</w:t>
      </w:r>
    </w:p>
    <w:p w14:paraId="54738C7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本合同未尽事宜，由甲乙双方另行签订补充协议，补充协议是本合同的组成部分，与本合同具有同等法律效力。</w:t>
      </w:r>
    </w:p>
    <w:p w14:paraId="02FAD24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lang w:val="en-US" w:eastAsia="zh-CN"/>
        </w:rPr>
        <w:t xml:space="preserve"> 4</w:t>
      </w:r>
      <w:r>
        <w:rPr>
          <w:rFonts w:hint="eastAsia" w:ascii="宋体" w:hAnsi="宋体" w:eastAsia="宋体" w:cs="宋体"/>
          <w:color w:val="auto"/>
          <w:sz w:val="24"/>
          <w:szCs w:val="24"/>
          <w:highlight w:val="none"/>
        </w:rPr>
        <w:t>份，甲</w:t>
      </w:r>
      <w:r>
        <w:rPr>
          <w:rFonts w:hint="eastAsia" w:ascii="宋体" w:hAnsi="宋体" w:eastAsia="宋体" w:cs="宋体"/>
          <w:color w:val="auto"/>
          <w:sz w:val="24"/>
          <w:szCs w:val="24"/>
          <w:highlight w:val="none"/>
          <w:lang w:eastAsia="zh-CN"/>
        </w:rPr>
        <w:t>方</w:t>
      </w:r>
      <w:r>
        <w:rPr>
          <w:rFonts w:hint="eastAsia" w:ascii="宋体" w:hAnsi="宋体" w:eastAsia="宋体" w:cs="宋体"/>
          <w:color w:val="auto"/>
          <w:sz w:val="24"/>
          <w:szCs w:val="24"/>
          <w:highlight w:val="none"/>
          <w:lang w:val="en-US" w:eastAsia="zh-CN"/>
        </w:rPr>
        <w:t>3人</w:t>
      </w:r>
      <w:r>
        <w:rPr>
          <w:rFonts w:hint="eastAsia" w:ascii="宋体" w:hAnsi="宋体" w:eastAsia="宋体" w:cs="宋体"/>
          <w:color w:val="auto"/>
          <w:sz w:val="24"/>
          <w:szCs w:val="24"/>
          <w:highlight w:val="none"/>
        </w:rPr>
        <w:t>、乙</w:t>
      </w:r>
      <w:r>
        <w:rPr>
          <w:rFonts w:hint="eastAsia" w:ascii="宋体" w:hAnsi="宋体" w:eastAsia="宋体" w:cs="宋体"/>
          <w:color w:val="auto"/>
          <w:sz w:val="24"/>
          <w:szCs w:val="24"/>
          <w:highlight w:val="none"/>
          <w:lang w:eastAsia="zh-CN"/>
        </w:rPr>
        <w:t>方</w:t>
      </w:r>
      <w:r>
        <w:rPr>
          <w:rFonts w:hint="eastAsia" w:ascii="宋体" w:hAnsi="宋体" w:eastAsia="宋体" w:cs="宋体"/>
          <w:color w:val="auto"/>
          <w:sz w:val="24"/>
          <w:szCs w:val="24"/>
          <w:highlight w:val="none"/>
          <w:lang w:val="en-US" w:eastAsia="zh-CN"/>
        </w:rPr>
        <w:t xml:space="preserve"> 1 </w:t>
      </w:r>
      <w:r>
        <w:rPr>
          <w:rFonts w:hint="eastAsia" w:ascii="宋体" w:hAnsi="宋体" w:eastAsia="宋体" w:cs="宋体"/>
          <w:color w:val="auto"/>
          <w:sz w:val="24"/>
          <w:szCs w:val="24"/>
          <w:highlight w:val="none"/>
        </w:rPr>
        <w:t>份，自双方签字、盖章</w:t>
      </w:r>
      <w:r>
        <w:rPr>
          <w:rFonts w:hint="eastAsia" w:ascii="宋体" w:hAnsi="宋体" w:eastAsia="宋体" w:cs="宋体"/>
          <w:color w:val="auto"/>
          <w:sz w:val="24"/>
          <w:szCs w:val="24"/>
          <w:highlight w:val="none"/>
          <w:lang w:eastAsia="zh-CN"/>
        </w:rPr>
        <w:t>之日起</w:t>
      </w:r>
      <w:r>
        <w:rPr>
          <w:rFonts w:hint="eastAsia" w:ascii="宋体" w:hAnsi="宋体" w:eastAsia="宋体" w:cs="宋体"/>
          <w:color w:val="auto"/>
          <w:sz w:val="24"/>
          <w:szCs w:val="24"/>
          <w:highlight w:val="none"/>
        </w:rPr>
        <w:t>生效。</w:t>
      </w:r>
    </w:p>
    <w:p w14:paraId="4839CAE6">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3.乙方指定专人（姓名：     ，电话：     通讯地址：      ）作为本次项目的负责人、对接人和联络人，负责与甲方协调、沟通履行本合同过程中的相关事宜，并作为乙方指定接收甲方法律文书、函件、通知等内容的专职负责人，如该指定专人发生变更、</w:t>
      </w:r>
    </w:p>
    <w:p w14:paraId="7642031E">
      <w:pPr>
        <w:spacing w:line="360" w:lineRule="auto"/>
        <w:rPr>
          <w:rFonts w:hint="eastAsia" w:ascii="宋体" w:hAnsi="宋体" w:eastAsia="宋体" w:cs="宋体"/>
          <w:color w:val="auto"/>
          <w:sz w:val="24"/>
          <w:szCs w:val="24"/>
          <w:highlight w:val="none"/>
          <w:lang w:val="en-US" w:eastAsia="zh-CN"/>
        </w:rPr>
      </w:pPr>
    </w:p>
    <w:p w14:paraId="5C8750BC">
      <w:pPr>
        <w:spacing w:line="360" w:lineRule="auto"/>
        <w:rPr>
          <w:rFonts w:hint="eastAsia" w:ascii="宋体" w:hAnsi="宋体" w:eastAsia="宋体" w:cs="宋体"/>
          <w:color w:val="auto"/>
          <w:sz w:val="24"/>
          <w:szCs w:val="24"/>
          <w:highlight w:val="none"/>
          <w:lang w:val="en-US" w:eastAsia="zh-CN"/>
        </w:rPr>
      </w:pPr>
    </w:p>
    <w:p w14:paraId="782D95E2">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乙方应在发生变更后三日书面通知甲方，未书面通知的由此造成的法律后果均由乙方承担。</w:t>
      </w:r>
    </w:p>
    <w:p w14:paraId="143C67EA">
      <w:pPr>
        <w:spacing w:line="360" w:lineRule="auto"/>
        <w:rPr>
          <w:rFonts w:hint="eastAsia" w:ascii="宋体" w:hAnsi="宋体" w:eastAsia="宋体" w:cs="宋体"/>
          <w:color w:val="auto"/>
          <w:sz w:val="24"/>
          <w:szCs w:val="24"/>
          <w:highlight w:val="none"/>
          <w:lang w:val="en-US" w:eastAsia="zh-CN"/>
        </w:rPr>
      </w:pPr>
    </w:p>
    <w:p w14:paraId="7AECADB2">
      <w:pPr>
        <w:spacing w:line="360" w:lineRule="auto"/>
        <w:rPr>
          <w:rFonts w:hint="eastAsia" w:ascii="宋体" w:hAnsi="宋体" w:eastAsia="宋体" w:cs="宋体"/>
          <w:color w:val="auto"/>
          <w:sz w:val="24"/>
          <w:szCs w:val="24"/>
          <w:highlight w:val="none"/>
          <w:lang w:val="en-US" w:eastAsia="zh-CN"/>
        </w:rPr>
      </w:pPr>
    </w:p>
    <w:p w14:paraId="457BDCB9">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乙方：（</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p>
    <w:p w14:paraId="4139E286">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经办人：</w:t>
      </w:r>
    </w:p>
    <w:p w14:paraId="4703AD0A">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科室负责人：</w:t>
      </w:r>
    </w:p>
    <w:p w14:paraId="11C8104D">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使用科室负责人：</w:t>
      </w:r>
    </w:p>
    <w:p w14:paraId="36C493F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法人或法人委托人：            法定代表人或代理人：      </w:t>
      </w:r>
    </w:p>
    <w:p w14:paraId="79D38706">
      <w:pPr>
        <w:rPr>
          <w:rFonts w:hint="eastAsia" w:ascii="宋体" w:hAnsi="宋体" w:eastAsia="宋体" w:cs="宋体"/>
          <w:color w:val="auto"/>
          <w:sz w:val="24"/>
          <w:szCs w:val="24"/>
          <w:highlight w:val="none"/>
          <w:lang w:val="en-US" w:eastAsia="zh-CN"/>
        </w:rPr>
        <w:sectPr>
          <w:footerReference r:id="rId7" w:type="default"/>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r>
        <w:rPr>
          <w:rFonts w:hint="eastAsia" w:ascii="宋体" w:hAnsi="宋体" w:eastAsia="宋体" w:cs="宋体"/>
          <w:color w:val="auto"/>
          <w:sz w:val="24"/>
          <w:szCs w:val="24"/>
          <w:highlight w:val="none"/>
          <w:lang w:val="en-US" w:eastAsia="zh-CN"/>
        </w:rPr>
        <w:t>日期：                       日期：</w:t>
      </w:r>
    </w:p>
    <w:p w14:paraId="63A9C16B">
      <w:pPr>
        <w:pStyle w:val="14"/>
        <w:numPr>
          <w:ilvl w:val="0"/>
          <w:numId w:val="0"/>
        </w:num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第五章 </w:t>
      </w:r>
      <w:r>
        <w:rPr>
          <w:rFonts w:hint="eastAsia" w:ascii="宋体" w:hAnsi="宋体" w:eastAsia="宋体" w:cs="宋体"/>
          <w:color w:val="auto"/>
          <w:highlight w:val="none"/>
        </w:rPr>
        <w:t>采购需求及要求</w:t>
      </w:r>
    </w:p>
    <w:p w14:paraId="27961971"/>
    <w:p w14:paraId="38B9B894"/>
    <w:p w14:paraId="1783AFC0">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 软件测试功能</w:t>
      </w:r>
      <w:r>
        <w:rPr>
          <w:rFonts w:hint="eastAsia" w:ascii="宋体" w:hAnsi="宋体" w:eastAsia="宋体" w:cs="宋体"/>
          <w:color w:val="auto"/>
          <w:sz w:val="24"/>
          <w:highlight w:val="none"/>
        </w:rPr>
        <w:tab/>
      </w:r>
    </w:p>
    <w:p w14:paraId="27CDF3DD">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1.1 具备BAEP/ABR脑干听觉诱发电位测试功能</w:t>
      </w:r>
      <w:r>
        <w:rPr>
          <w:rFonts w:hint="eastAsia" w:ascii="宋体" w:hAnsi="宋体" w:eastAsia="宋体" w:cs="宋体"/>
          <w:color w:val="auto"/>
          <w:sz w:val="24"/>
          <w:highlight w:val="none"/>
        </w:rPr>
        <w:tab/>
      </w:r>
    </w:p>
    <w:p w14:paraId="57D9E23D">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1.2 具备MultiASSR多频听觉稳态反应测试功能，刺激声频率0.5kHz，1kHz，2kHz，4kHz</w:t>
      </w:r>
      <w:r>
        <w:rPr>
          <w:rFonts w:hint="eastAsia" w:ascii="宋体" w:hAnsi="宋体" w:eastAsia="宋体" w:cs="宋体"/>
          <w:color w:val="auto"/>
          <w:sz w:val="24"/>
          <w:highlight w:val="none"/>
        </w:rPr>
        <w:tab/>
      </w:r>
    </w:p>
    <w:p w14:paraId="01CB249C">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w:t>
      </w:r>
      <w:r>
        <w:rPr>
          <w:rFonts w:hint="eastAsia" w:ascii="宋体" w:hAnsi="宋体" w:eastAsia="宋体" w:cs="宋体"/>
          <w:color w:val="auto"/>
          <w:sz w:val="24"/>
          <w:highlight w:val="none"/>
        </w:rPr>
        <w:t>1.3 具备ASSR听觉稳态反应测试功能，测试频率范围250-8000Hz</w:t>
      </w:r>
      <w:r>
        <w:rPr>
          <w:rFonts w:hint="eastAsia" w:ascii="宋体" w:hAnsi="宋体" w:eastAsia="宋体" w:cs="宋体"/>
          <w:color w:val="auto"/>
          <w:sz w:val="24"/>
          <w:highlight w:val="none"/>
        </w:rPr>
        <w:tab/>
      </w:r>
    </w:p>
    <w:p w14:paraId="54B2F472">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1.4 具备ECochG耳蜗电图测试功能</w:t>
      </w:r>
      <w:r>
        <w:rPr>
          <w:rFonts w:hint="eastAsia" w:ascii="宋体" w:hAnsi="宋体" w:eastAsia="宋体" w:cs="宋体"/>
          <w:color w:val="auto"/>
          <w:sz w:val="24"/>
          <w:highlight w:val="none"/>
        </w:rPr>
        <w:tab/>
      </w:r>
    </w:p>
    <w:p w14:paraId="3D2C472B">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1.5 具备VEMP前庭诱发肌源性电位测试功能,包括cVEMP、oVEMP</w:t>
      </w:r>
      <w:r>
        <w:rPr>
          <w:rFonts w:hint="eastAsia" w:ascii="宋体" w:hAnsi="宋体" w:eastAsia="宋体" w:cs="宋体"/>
          <w:color w:val="auto"/>
          <w:sz w:val="24"/>
          <w:highlight w:val="none"/>
        </w:rPr>
        <w:tab/>
      </w:r>
    </w:p>
    <w:p w14:paraId="0D68231E">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w:t>
      </w:r>
      <w:r>
        <w:rPr>
          <w:rFonts w:hint="eastAsia" w:ascii="宋体" w:hAnsi="宋体" w:eastAsia="宋体" w:cs="宋体"/>
          <w:color w:val="auto"/>
          <w:sz w:val="24"/>
          <w:highlight w:val="none"/>
        </w:rPr>
        <w:t>1.6 具备耳声发射系检测技术，含DPOAE、TEOAE、SOAE等</w:t>
      </w:r>
      <w:r>
        <w:rPr>
          <w:rFonts w:hint="eastAsia" w:ascii="宋体" w:hAnsi="宋体" w:eastAsia="宋体" w:cs="宋体"/>
          <w:color w:val="auto"/>
          <w:sz w:val="24"/>
          <w:highlight w:val="none"/>
        </w:rPr>
        <w:tab/>
      </w:r>
    </w:p>
    <w:p w14:paraId="175DDD11">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w:t>
      </w:r>
      <w:r>
        <w:rPr>
          <w:rFonts w:hint="eastAsia" w:ascii="宋体" w:hAnsi="宋体" w:eastAsia="宋体" w:cs="宋体"/>
          <w:color w:val="auto"/>
          <w:sz w:val="24"/>
          <w:highlight w:val="none"/>
        </w:rPr>
        <w:t>1.7 具备40Hz听觉事件相关电位</w:t>
      </w:r>
      <w:r>
        <w:rPr>
          <w:rFonts w:hint="eastAsia" w:ascii="宋体" w:hAnsi="宋体" w:eastAsia="宋体" w:cs="宋体"/>
          <w:color w:val="auto"/>
          <w:sz w:val="24"/>
          <w:highlight w:val="none"/>
        </w:rPr>
        <w:tab/>
      </w:r>
    </w:p>
    <w:p w14:paraId="4887B704">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1.8 具备PTA纯音测听功能</w:t>
      </w:r>
      <w:r>
        <w:rPr>
          <w:rFonts w:hint="eastAsia" w:ascii="宋体" w:hAnsi="宋体" w:eastAsia="宋体" w:cs="宋体"/>
          <w:color w:val="auto"/>
          <w:sz w:val="24"/>
          <w:highlight w:val="none"/>
        </w:rPr>
        <w:tab/>
      </w:r>
    </w:p>
    <w:p w14:paraId="55F99314">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w:t>
      </w:r>
      <w:r>
        <w:rPr>
          <w:rFonts w:hint="eastAsia" w:ascii="宋体" w:hAnsi="宋体" w:eastAsia="宋体" w:cs="宋体"/>
          <w:color w:val="auto"/>
          <w:sz w:val="24"/>
          <w:highlight w:val="none"/>
        </w:rPr>
        <w:t>1.9 具备CAEP皮层诱发电位功能</w:t>
      </w:r>
    </w:p>
    <w:p w14:paraId="3F708BC4">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  ECochG耳蜗电图技术要求</w:t>
      </w:r>
      <w:r>
        <w:rPr>
          <w:rFonts w:hint="eastAsia" w:ascii="宋体" w:hAnsi="宋体" w:eastAsia="宋体" w:cs="宋体"/>
          <w:color w:val="auto"/>
          <w:sz w:val="24"/>
          <w:highlight w:val="none"/>
        </w:rPr>
        <w:tab/>
      </w:r>
    </w:p>
    <w:p w14:paraId="75268A27">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2.1 用于耳蜗神经生理功能评估，和耳蜗积水情况评估</w:t>
      </w:r>
      <w:r>
        <w:rPr>
          <w:rFonts w:hint="eastAsia" w:ascii="宋体" w:hAnsi="宋体" w:eastAsia="宋体" w:cs="宋体"/>
          <w:color w:val="auto"/>
          <w:sz w:val="24"/>
          <w:highlight w:val="none"/>
        </w:rPr>
        <w:tab/>
      </w:r>
    </w:p>
    <w:p w14:paraId="2864510D">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2.2 刺激声信号类型包括短声、短纯音、Chirp等，刺激强度范围：短声信号≥0-100dB nHL</w:t>
      </w:r>
      <w:r>
        <w:rPr>
          <w:rFonts w:hint="eastAsia" w:ascii="宋体" w:hAnsi="宋体" w:eastAsia="宋体" w:cs="宋体"/>
          <w:color w:val="auto"/>
          <w:sz w:val="24"/>
          <w:highlight w:val="none"/>
        </w:rPr>
        <w:tab/>
      </w:r>
    </w:p>
    <w:p w14:paraId="22501A76">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w:t>
      </w:r>
      <w:r>
        <w:rPr>
          <w:rFonts w:hint="eastAsia" w:ascii="宋体" w:hAnsi="宋体" w:eastAsia="宋体" w:cs="宋体"/>
          <w:color w:val="auto"/>
          <w:sz w:val="24"/>
          <w:highlight w:val="none"/>
        </w:rPr>
        <w:t>2.3 评价指标：要同时具备SP/AP振幅比和面积比，提高耳蜗积水评估敏感性</w:t>
      </w:r>
    </w:p>
    <w:p w14:paraId="00E1943A">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  BAEP/ABR听觉诱发电位技术要求</w:t>
      </w:r>
      <w:r>
        <w:rPr>
          <w:rFonts w:hint="eastAsia" w:ascii="宋体" w:hAnsi="宋体" w:eastAsia="宋体" w:cs="宋体"/>
          <w:color w:val="auto"/>
          <w:sz w:val="24"/>
          <w:highlight w:val="none"/>
        </w:rPr>
        <w:tab/>
      </w:r>
    </w:p>
    <w:p w14:paraId="37F489CC">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3.1 刺激声类型：短声、短纯音、Chirp声及NB Chirp声等</w:t>
      </w:r>
      <w:r>
        <w:rPr>
          <w:rFonts w:hint="eastAsia" w:ascii="宋体" w:hAnsi="宋体" w:eastAsia="宋体" w:cs="宋体"/>
          <w:color w:val="auto"/>
          <w:sz w:val="24"/>
          <w:highlight w:val="none"/>
        </w:rPr>
        <w:tab/>
      </w:r>
    </w:p>
    <w:p w14:paraId="7DC69C05">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3.2 具备自动增益控制，CMRR最小值：≥100dB</w:t>
      </w:r>
      <w:r>
        <w:rPr>
          <w:rFonts w:hint="eastAsia" w:ascii="宋体" w:hAnsi="宋体" w:eastAsia="宋体" w:cs="宋体"/>
          <w:color w:val="auto"/>
          <w:sz w:val="24"/>
          <w:highlight w:val="none"/>
        </w:rPr>
        <w:tab/>
      </w:r>
    </w:p>
    <w:p w14:paraId="07BBF2E4">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3.3 刺激强度范围：≥0–100dB nHL（短声），1dB步进</w:t>
      </w:r>
      <w:r>
        <w:rPr>
          <w:rFonts w:hint="eastAsia" w:ascii="宋体" w:hAnsi="宋体" w:eastAsia="宋体" w:cs="宋体"/>
          <w:color w:val="auto"/>
          <w:sz w:val="24"/>
          <w:highlight w:val="none"/>
        </w:rPr>
        <w:tab/>
      </w:r>
    </w:p>
    <w:p w14:paraId="6B6A6805">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  VEMP前庭肌源诱发电位技术要求</w:t>
      </w:r>
      <w:r>
        <w:rPr>
          <w:rFonts w:hint="eastAsia" w:ascii="宋体" w:hAnsi="宋体" w:eastAsia="宋体" w:cs="宋体"/>
          <w:color w:val="auto"/>
          <w:sz w:val="24"/>
          <w:highlight w:val="none"/>
        </w:rPr>
        <w:tab/>
      </w:r>
    </w:p>
    <w:p w14:paraId="5E8D89E3">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w:t>
      </w:r>
      <w:r>
        <w:rPr>
          <w:rFonts w:hint="eastAsia" w:ascii="宋体" w:hAnsi="宋体" w:eastAsia="宋体" w:cs="宋体"/>
          <w:color w:val="auto"/>
          <w:sz w:val="24"/>
          <w:highlight w:val="none"/>
        </w:rPr>
        <w:t>4.1 配置cVEMP、oVEMP等测试模板，用于球囊和椭圆囊生理功能评估</w:t>
      </w:r>
      <w:r>
        <w:rPr>
          <w:rFonts w:hint="eastAsia" w:ascii="宋体" w:hAnsi="宋体" w:eastAsia="宋体" w:cs="宋体"/>
          <w:color w:val="auto"/>
          <w:sz w:val="24"/>
          <w:highlight w:val="none"/>
        </w:rPr>
        <w:tab/>
      </w:r>
    </w:p>
    <w:p w14:paraId="615AEC7B">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4.2 刺激声类型：短声、短纯音和Chirp声等，刺激强度范围：≥0–100dB nHL（短声）</w:t>
      </w:r>
      <w:r>
        <w:rPr>
          <w:rFonts w:hint="eastAsia" w:ascii="宋体" w:hAnsi="宋体" w:eastAsia="宋体" w:cs="宋体"/>
          <w:color w:val="auto"/>
          <w:sz w:val="24"/>
          <w:highlight w:val="none"/>
        </w:rPr>
        <w:tab/>
      </w:r>
    </w:p>
    <w:p w14:paraId="123187C8">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4.3 通过生物反馈技术实时监测肌张力</w:t>
      </w:r>
      <w:r>
        <w:rPr>
          <w:rFonts w:hint="eastAsia" w:ascii="宋体" w:hAnsi="宋体" w:eastAsia="宋体" w:cs="宋体"/>
          <w:color w:val="auto"/>
          <w:sz w:val="24"/>
          <w:highlight w:val="none"/>
        </w:rPr>
        <w:tab/>
      </w:r>
    </w:p>
    <w:p w14:paraId="753DF810">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耳声发射功能技术要求（DPOAE、TEOAE、SOAE）</w:t>
      </w:r>
      <w:r>
        <w:rPr>
          <w:rFonts w:hint="eastAsia" w:ascii="宋体" w:hAnsi="宋体" w:eastAsia="宋体" w:cs="宋体"/>
          <w:color w:val="auto"/>
          <w:sz w:val="24"/>
          <w:highlight w:val="none"/>
        </w:rPr>
        <w:tab/>
      </w:r>
    </w:p>
    <w:p w14:paraId="06F77D80">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w:t>
      </w:r>
      <w:r>
        <w:rPr>
          <w:rFonts w:hint="eastAsia" w:ascii="宋体" w:hAnsi="宋体" w:eastAsia="宋体" w:cs="宋体"/>
          <w:color w:val="auto"/>
          <w:sz w:val="24"/>
          <w:highlight w:val="none"/>
        </w:rPr>
        <w:t>5.1 用于术前对耳蜗内外毛细胞功能评估，测试频率范围：≥550-12000Hz，</w:t>
      </w:r>
    </w:p>
    <w:p w14:paraId="59F87996">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5.2 DPOAE刺激强度：≥30-70dB SPL；TEOAE刺激强度：≥30-80dB SPL</w:t>
      </w:r>
      <w:r>
        <w:rPr>
          <w:rFonts w:hint="eastAsia" w:ascii="宋体" w:hAnsi="宋体" w:eastAsia="宋体" w:cs="宋体"/>
          <w:color w:val="auto"/>
          <w:sz w:val="24"/>
          <w:highlight w:val="none"/>
        </w:rPr>
        <w:tab/>
      </w:r>
    </w:p>
    <w:p w14:paraId="55E21A2E">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6  40Hz事件相关电位技术要求</w:t>
      </w:r>
      <w:r>
        <w:rPr>
          <w:rFonts w:hint="eastAsia" w:ascii="宋体" w:hAnsi="宋体" w:eastAsia="宋体" w:cs="宋体"/>
          <w:color w:val="auto"/>
          <w:sz w:val="24"/>
          <w:highlight w:val="none"/>
        </w:rPr>
        <w:tab/>
      </w:r>
    </w:p>
    <w:p w14:paraId="7D8BCB89">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6.1 刺激声类型：短纯音，测试频率范围250-8000Hz，刺激声强度：≥0–100 dB nHL</w:t>
      </w:r>
    </w:p>
    <w:p w14:paraId="0201446B">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6.2 具备正弦波形显示功能</w:t>
      </w:r>
      <w:r>
        <w:rPr>
          <w:rFonts w:hint="eastAsia" w:ascii="宋体" w:hAnsi="宋体" w:eastAsia="宋体" w:cs="宋体"/>
          <w:color w:val="auto"/>
          <w:sz w:val="24"/>
          <w:highlight w:val="none"/>
        </w:rPr>
        <w:tab/>
      </w:r>
    </w:p>
    <w:p w14:paraId="244D9449">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7 纯音测听功能（PTA）技术要求</w:t>
      </w:r>
      <w:r>
        <w:rPr>
          <w:rFonts w:hint="eastAsia" w:ascii="宋体" w:hAnsi="宋体" w:eastAsia="宋体" w:cs="宋体"/>
          <w:color w:val="auto"/>
          <w:sz w:val="24"/>
          <w:highlight w:val="none"/>
        </w:rPr>
        <w:tab/>
      </w:r>
    </w:p>
    <w:p w14:paraId="3ECA32C0">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w:t>
      </w:r>
      <w:r>
        <w:rPr>
          <w:rFonts w:hint="eastAsia" w:ascii="宋体" w:hAnsi="宋体" w:eastAsia="宋体" w:cs="宋体"/>
          <w:color w:val="auto"/>
          <w:sz w:val="24"/>
          <w:highlight w:val="none"/>
        </w:rPr>
        <w:t>7.1 可以进行气导和骨导纯音听阈测试，声场测试功能</w:t>
      </w:r>
      <w:r>
        <w:rPr>
          <w:rFonts w:hint="eastAsia" w:ascii="宋体" w:hAnsi="宋体" w:eastAsia="宋体" w:cs="宋体"/>
          <w:color w:val="auto"/>
          <w:sz w:val="24"/>
          <w:highlight w:val="none"/>
        </w:rPr>
        <w:tab/>
      </w:r>
    </w:p>
    <w:p w14:paraId="695DC0FB">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7.2 测试频率范围：250-8000Hz,测试强度范围：0-120dB HL，步进1或5dB</w:t>
      </w:r>
      <w:r>
        <w:rPr>
          <w:rFonts w:hint="eastAsia" w:ascii="宋体" w:hAnsi="宋体" w:eastAsia="宋体" w:cs="宋体"/>
          <w:color w:val="auto"/>
          <w:sz w:val="24"/>
          <w:highlight w:val="none"/>
        </w:rPr>
        <w:tab/>
      </w:r>
    </w:p>
    <w:p w14:paraId="28B12AB4">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8  硬件性能要求</w:t>
      </w:r>
      <w:r>
        <w:rPr>
          <w:rFonts w:hint="eastAsia" w:ascii="宋体" w:hAnsi="宋体" w:eastAsia="宋体" w:cs="宋体"/>
          <w:color w:val="auto"/>
          <w:sz w:val="24"/>
          <w:highlight w:val="none"/>
        </w:rPr>
        <w:tab/>
      </w:r>
    </w:p>
    <w:p w14:paraId="2210025D">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8.1 主机与电脑连接应采用通用高速接口（如USB等），即插即用，无需打开机箱安装内置板卡。</w:t>
      </w:r>
    </w:p>
    <w:p w14:paraId="4085E6B7">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8.2 具备电极接触阻抗检测功能，可以同步在软件界面显示具体阻抗数值</w:t>
      </w:r>
    </w:p>
    <w:p w14:paraId="51D12735">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9 其他技术及性能要求</w:t>
      </w:r>
      <w:r>
        <w:rPr>
          <w:rFonts w:hint="eastAsia" w:ascii="宋体" w:hAnsi="宋体" w:eastAsia="宋体" w:cs="宋体"/>
          <w:color w:val="auto"/>
          <w:sz w:val="24"/>
          <w:highlight w:val="none"/>
        </w:rPr>
        <w:tab/>
      </w:r>
    </w:p>
    <w:p w14:paraId="27F37108">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9.1 曲线编辑：手动和自动Ⅰ、Ⅲ、Ⅴ波标记；A、B曲线分离；对侧曲线显示、曲线加、减处理；峰值-基线计算；峰值-波谷计算</w:t>
      </w:r>
      <w:r>
        <w:rPr>
          <w:rFonts w:hint="eastAsia" w:ascii="宋体" w:hAnsi="宋体" w:eastAsia="宋体" w:cs="宋体"/>
          <w:color w:val="auto"/>
          <w:sz w:val="24"/>
          <w:highlight w:val="none"/>
        </w:rPr>
        <w:tab/>
      </w:r>
    </w:p>
    <w:p w14:paraId="109AE570">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w:t>
      </w:r>
      <w:r>
        <w:rPr>
          <w:rFonts w:hint="eastAsia" w:ascii="宋体" w:hAnsi="宋体" w:eastAsia="宋体" w:cs="宋体"/>
          <w:color w:val="auto"/>
          <w:sz w:val="24"/>
          <w:highlight w:val="none"/>
        </w:rPr>
        <w:t>9.2 报告输出：报告可导出/保存为RTF/Word/PDF；提供可定制报告模板（可用Word编辑或等效编辑器），支持中英文，可直接打印/归档。</w:t>
      </w:r>
    </w:p>
    <w:p w14:paraId="3AB859F9">
      <w:pPr>
        <w:tabs>
          <w:tab w:val="left" w:pos="567"/>
        </w:tabs>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w:t>
      </w:r>
      <w:r>
        <w:rPr>
          <w:rFonts w:hint="eastAsia" w:ascii="宋体" w:hAnsi="宋体" w:eastAsia="宋体" w:cs="宋体"/>
          <w:color w:val="auto"/>
          <w:sz w:val="24"/>
          <w:highlight w:val="none"/>
        </w:rPr>
        <w:t>10 配置要求：主机一台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包含主要功能模块：听性脑干反应系统（ABR）、听性多频稳态脑干反应（ASSR）、40Hz相关电位、前庭诱发肌源性电位（VEMP）、皮层诱发电位（CAEP）、诊断型耳声发射系统（DPOAE+TEOAE+SOAE）、纯音测听功能（PTA）、耳蜗电图（ECOG AREA RATIO）和自动听性脑干反应（AABR）</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、插入式耳机一副、电极线一套、探头一个、皮肤清洁膏一个、导电膏一个、便携箱一个、Y线一个、探头支架一个、耳膜头一盒、电极片一包、操作手册一本。</w:t>
      </w:r>
    </w:p>
    <w:p w14:paraId="3A6398F2">
      <w:pPr>
        <w:pStyle w:val="8"/>
        <w:rPr>
          <w:rFonts w:hint="eastAsia" w:eastAsia="宋体" w:cs="宋体"/>
          <w:color w:val="auto"/>
          <w:highlight w:val="none"/>
        </w:rPr>
      </w:pPr>
      <w:bookmarkStart w:id="301" w:name="_Toc62194343"/>
      <w:r>
        <w:rPr>
          <w:rFonts w:hint="eastAsia" w:ascii="宋体" w:hAnsi="宋体" w:eastAsia="宋体" w:cs="宋体"/>
          <w:color w:val="auto"/>
          <w:highlight w:val="none"/>
        </w:rPr>
        <w:t xml:space="preserve"> </w:t>
      </w:r>
      <w:bookmarkEnd w:id="301"/>
    </w:p>
    <w:p w14:paraId="1BD7F728">
      <w:pPr>
        <w:rPr>
          <w:rFonts w:hint="eastAsia" w:ascii="宋体" w:hAnsi="宋体" w:eastAsia="宋体" w:cs="宋体"/>
          <w:color w:val="auto"/>
          <w:highlight w:val="none"/>
        </w:rPr>
      </w:pPr>
    </w:p>
    <w:p w14:paraId="7B7AB660">
      <w:pPr>
        <w:pStyle w:val="8"/>
        <w:rPr>
          <w:rFonts w:hint="eastAsia" w:eastAsia="宋体" w:cs="宋体"/>
          <w:color w:val="auto"/>
          <w:highlight w:val="none"/>
        </w:rPr>
      </w:pPr>
    </w:p>
    <w:p w14:paraId="13FC34B0">
      <w:pPr>
        <w:rPr>
          <w:rFonts w:hint="eastAsia" w:ascii="宋体" w:hAnsi="宋体" w:eastAsia="宋体" w:cs="宋体"/>
          <w:color w:val="auto"/>
          <w:highlight w:val="none"/>
        </w:rPr>
      </w:pPr>
    </w:p>
    <w:p w14:paraId="32548A47">
      <w:pPr>
        <w:pStyle w:val="8"/>
        <w:rPr>
          <w:rFonts w:hint="eastAsia" w:eastAsia="宋体" w:cs="宋体"/>
          <w:color w:val="auto"/>
          <w:highlight w:val="none"/>
        </w:rPr>
      </w:pPr>
    </w:p>
    <w:p w14:paraId="290B7F78">
      <w:pPr>
        <w:rPr>
          <w:rFonts w:hint="eastAsia" w:ascii="宋体" w:hAnsi="宋体" w:eastAsia="宋体" w:cs="宋体"/>
          <w:color w:val="auto"/>
          <w:highlight w:val="none"/>
        </w:rPr>
      </w:pPr>
    </w:p>
    <w:p w14:paraId="2F286127">
      <w:pPr>
        <w:pStyle w:val="8"/>
        <w:rPr>
          <w:rFonts w:hint="eastAsia" w:eastAsia="宋体" w:cs="宋体"/>
          <w:color w:val="auto"/>
          <w:highlight w:val="none"/>
        </w:rPr>
      </w:pPr>
    </w:p>
    <w:p w14:paraId="73A84EBC">
      <w:pPr>
        <w:rPr>
          <w:rFonts w:hint="eastAsia" w:ascii="宋体" w:hAnsi="宋体" w:eastAsia="宋体" w:cs="宋体"/>
          <w:color w:val="auto"/>
          <w:highlight w:val="none"/>
        </w:rPr>
      </w:pPr>
    </w:p>
    <w:p w14:paraId="61E4CA39">
      <w:pPr>
        <w:pStyle w:val="8"/>
        <w:rPr>
          <w:rFonts w:hint="eastAsia" w:eastAsia="宋体" w:cs="宋体"/>
          <w:color w:val="auto"/>
          <w:highlight w:val="none"/>
        </w:rPr>
      </w:pPr>
    </w:p>
    <w:p w14:paraId="004923D7">
      <w:pPr>
        <w:pStyle w:val="14"/>
        <w:rPr>
          <w:rFonts w:hint="eastAsia" w:ascii="宋体" w:hAnsi="宋体" w:eastAsia="宋体" w:cs="宋体"/>
          <w:color w:val="auto"/>
          <w:highlight w:val="none"/>
        </w:rPr>
      </w:pPr>
      <w:r>
        <w:rPr>
          <w:rFonts w:hint="eastAsia" w:ascii="宋体" w:hAnsi="宋体" w:eastAsia="宋体" w:cs="宋体"/>
          <w:color w:val="auto"/>
          <w:highlight w:val="none"/>
        </w:rPr>
        <w:t>第六章  投标文件格式</w:t>
      </w:r>
      <w:bookmarkEnd w:id="287"/>
      <w:bookmarkEnd w:id="288"/>
      <w:bookmarkEnd w:id="289"/>
      <w:bookmarkEnd w:id="290"/>
      <w:bookmarkEnd w:id="291"/>
    </w:p>
    <w:p w14:paraId="38F44213">
      <w:pPr>
        <w:shd w:val="clear" w:color="auto" w:fill="auto"/>
        <w:adjustRightInd w:val="0"/>
        <w:snapToGrid w:val="0"/>
        <w:spacing w:line="360" w:lineRule="auto"/>
        <w:jc w:val="left"/>
        <w:rPr>
          <w:rFonts w:hint="eastAsia" w:ascii="宋体" w:hAnsi="宋体" w:eastAsia="宋体" w:cs="宋体"/>
          <w:color w:val="auto"/>
          <w:szCs w:val="30"/>
          <w:highlight w:val="none"/>
          <w:lang w:val="zh-CN"/>
        </w:rPr>
      </w:pPr>
      <w:r>
        <w:rPr>
          <w:rFonts w:hint="eastAsia" w:ascii="宋体" w:hAnsi="宋体" w:eastAsia="宋体" w:cs="宋体"/>
          <w:color w:val="auto"/>
          <w:szCs w:val="30"/>
          <w:highlight w:val="none"/>
          <w:lang w:val="zh-CN"/>
        </w:rPr>
        <w:br w:type="page"/>
      </w:r>
    </w:p>
    <w:p w14:paraId="511276AF">
      <w:pPr>
        <w:shd w:val="clear" w:color="auto" w:fill="auto"/>
        <w:adjustRightInd w:val="0"/>
        <w:snapToGrid w:val="0"/>
        <w:spacing w:line="360" w:lineRule="auto"/>
        <w:jc w:val="left"/>
        <w:rPr>
          <w:rFonts w:hint="eastAsia" w:ascii="宋体" w:hAnsi="宋体" w:eastAsia="宋体" w:cs="宋体"/>
          <w:color w:val="auto"/>
          <w:szCs w:val="30"/>
          <w:highlight w:val="none"/>
          <w:lang w:val="zh-CN"/>
        </w:rPr>
      </w:pPr>
    </w:p>
    <w:p w14:paraId="6E39CE05">
      <w:pPr>
        <w:shd w:val="clear" w:color="auto" w:fill="auto"/>
        <w:adjustRightInd w:val="0"/>
        <w:snapToGrid w:val="0"/>
        <w:spacing w:line="360" w:lineRule="auto"/>
        <w:jc w:val="lef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项目编号：</w:t>
      </w:r>
    </w:p>
    <w:p w14:paraId="0A60B021">
      <w:pPr>
        <w:shd w:val="clear" w:color="auto" w:fill="auto"/>
        <w:spacing w:line="360" w:lineRule="auto"/>
        <w:jc w:val="both"/>
        <w:rPr>
          <w:rFonts w:hint="eastAsia" w:ascii="宋体" w:hAnsi="宋体" w:eastAsia="宋体" w:cs="宋体"/>
          <w:b/>
          <w:color w:val="auto"/>
          <w:sz w:val="52"/>
          <w:szCs w:val="52"/>
          <w:highlight w:val="none"/>
        </w:rPr>
      </w:pPr>
    </w:p>
    <w:p w14:paraId="0FDF9AE6">
      <w:pPr>
        <w:shd w:val="clear" w:color="auto" w:fill="auto"/>
        <w:adjustRightInd w:val="0"/>
        <w:snapToGrid w:val="0"/>
        <w:spacing w:line="360" w:lineRule="auto"/>
        <w:jc w:val="center"/>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t>旬阳市人民医院耳声发射听觉脑干诱发电位一套</w:t>
      </w:r>
    </w:p>
    <w:p w14:paraId="00B3C751">
      <w:pPr>
        <w:pStyle w:val="8"/>
        <w:shd w:val="clear" w:color="auto" w:fill="auto"/>
        <w:rPr>
          <w:rFonts w:hint="eastAsia" w:ascii="宋体" w:hAnsi="宋体" w:eastAsia="宋体" w:cs="宋体"/>
          <w:b/>
          <w:color w:val="auto"/>
          <w:sz w:val="56"/>
          <w:szCs w:val="56"/>
          <w:highlight w:val="none"/>
        </w:rPr>
      </w:pPr>
    </w:p>
    <w:p w14:paraId="59197F86">
      <w:pPr>
        <w:shd w:val="clear" w:color="auto" w:fill="auto"/>
        <w:rPr>
          <w:rFonts w:hint="eastAsia" w:ascii="宋体" w:hAnsi="宋体" w:eastAsia="宋体" w:cs="宋体"/>
          <w:color w:val="auto"/>
          <w:highlight w:val="none"/>
        </w:rPr>
      </w:pPr>
    </w:p>
    <w:p w14:paraId="5A8D4F40">
      <w:pPr>
        <w:shd w:val="clear" w:color="auto" w:fill="auto"/>
        <w:adjustRightInd w:val="0"/>
        <w:snapToGrid w:val="0"/>
        <w:spacing w:line="360" w:lineRule="auto"/>
        <w:jc w:val="center"/>
        <w:rPr>
          <w:rFonts w:hint="eastAsia" w:ascii="宋体" w:hAnsi="宋体" w:eastAsia="宋体" w:cs="宋体"/>
          <w:b/>
          <w:color w:val="auto"/>
          <w:sz w:val="112"/>
          <w:szCs w:val="112"/>
          <w:highlight w:val="none"/>
        </w:rPr>
      </w:pPr>
      <w:r>
        <w:rPr>
          <w:rFonts w:hint="eastAsia" w:ascii="宋体" w:hAnsi="宋体" w:eastAsia="宋体" w:cs="宋体"/>
          <w:b/>
          <w:color w:val="auto"/>
          <w:sz w:val="112"/>
          <w:szCs w:val="112"/>
          <w:highlight w:val="none"/>
        </w:rPr>
        <w:t>投标文件</w:t>
      </w:r>
    </w:p>
    <w:p w14:paraId="65DB20E9">
      <w:pPr>
        <w:shd w:val="clear" w:color="auto" w:fill="auto"/>
        <w:adjustRightInd w:val="0"/>
        <w:snapToGrid w:val="0"/>
        <w:spacing w:line="360" w:lineRule="auto"/>
        <w:rPr>
          <w:rFonts w:hint="eastAsia" w:ascii="宋体" w:hAnsi="宋体" w:eastAsia="宋体" w:cs="宋体"/>
          <w:color w:val="auto"/>
          <w:sz w:val="30"/>
          <w:highlight w:val="none"/>
        </w:rPr>
      </w:pPr>
    </w:p>
    <w:p w14:paraId="41B76622">
      <w:pPr>
        <w:shd w:val="clear" w:color="auto" w:fill="auto"/>
        <w:adjustRightInd w:val="0"/>
        <w:snapToGrid w:val="0"/>
        <w:spacing w:line="360" w:lineRule="auto"/>
        <w:rPr>
          <w:rFonts w:hint="eastAsia" w:ascii="宋体" w:hAnsi="宋体" w:eastAsia="宋体" w:cs="宋体"/>
          <w:color w:val="auto"/>
          <w:sz w:val="30"/>
          <w:highlight w:val="none"/>
        </w:rPr>
      </w:pPr>
    </w:p>
    <w:p w14:paraId="5FC12132">
      <w:pPr>
        <w:pStyle w:val="8"/>
        <w:shd w:val="clear" w:color="auto" w:fill="auto"/>
        <w:spacing w:line="360" w:lineRule="auto"/>
        <w:rPr>
          <w:rFonts w:hint="eastAsia" w:ascii="宋体" w:hAnsi="宋体" w:eastAsia="宋体" w:cs="宋体"/>
          <w:color w:val="auto"/>
          <w:sz w:val="30"/>
          <w:highlight w:val="none"/>
        </w:rPr>
      </w:pPr>
    </w:p>
    <w:p w14:paraId="76F6CBDA">
      <w:pPr>
        <w:pStyle w:val="8"/>
        <w:shd w:val="clear" w:color="auto" w:fill="auto"/>
        <w:rPr>
          <w:rFonts w:hint="eastAsia" w:ascii="宋体" w:hAnsi="宋体" w:eastAsia="宋体" w:cs="宋体"/>
          <w:color w:val="auto"/>
          <w:highlight w:val="none"/>
        </w:rPr>
      </w:pPr>
    </w:p>
    <w:p w14:paraId="57504EDC">
      <w:pPr>
        <w:pStyle w:val="8"/>
        <w:shd w:val="clear" w:color="auto" w:fill="auto"/>
        <w:rPr>
          <w:rFonts w:hint="eastAsia" w:ascii="宋体" w:hAnsi="宋体" w:eastAsia="宋体" w:cs="宋体"/>
          <w:color w:val="auto"/>
          <w:highlight w:val="none"/>
        </w:rPr>
      </w:pPr>
    </w:p>
    <w:p w14:paraId="1BBB19CE">
      <w:pPr>
        <w:shd w:val="clear" w:color="auto" w:fill="auto"/>
        <w:spacing w:line="360" w:lineRule="auto"/>
        <w:rPr>
          <w:rFonts w:hint="eastAsia" w:ascii="宋体" w:hAnsi="宋体" w:eastAsia="宋体" w:cs="宋体"/>
          <w:color w:val="auto"/>
          <w:highlight w:val="none"/>
        </w:rPr>
      </w:pPr>
    </w:p>
    <w:p w14:paraId="7EAED29E">
      <w:pPr>
        <w:pStyle w:val="8"/>
        <w:rPr>
          <w:rFonts w:hint="eastAsia" w:eastAsia="宋体" w:cs="宋体"/>
          <w:color w:val="auto"/>
          <w:highlight w:val="none"/>
        </w:rPr>
      </w:pPr>
    </w:p>
    <w:p w14:paraId="2EF86D5C">
      <w:pPr>
        <w:shd w:val="clear" w:color="auto" w:fill="auto"/>
        <w:adjustRightInd w:val="0"/>
        <w:snapToGrid w:val="0"/>
        <w:spacing w:line="360" w:lineRule="auto"/>
        <w:ind w:firstLine="640" w:firstLineChars="200"/>
        <w:rPr>
          <w:rFonts w:hint="eastAsia" w:ascii="宋体" w:hAnsi="宋体" w:eastAsia="宋体" w:cs="宋体"/>
          <w:color w:val="auto"/>
          <w:sz w:val="32"/>
          <w:szCs w:val="32"/>
          <w:highlight w:val="none"/>
          <w:u w:val="single"/>
        </w:rPr>
      </w:pPr>
      <w:r>
        <w:rPr>
          <w:rFonts w:hint="eastAsia" w:ascii="宋体" w:hAnsi="宋体" w:eastAsia="宋体" w:cs="宋体"/>
          <w:b/>
          <w:bCs/>
          <w:color w:val="auto"/>
          <w:sz w:val="32"/>
          <w:szCs w:val="32"/>
          <w:highlight w:val="none"/>
        </w:rPr>
        <w:t>投 标 人</w:t>
      </w:r>
      <w:r>
        <w:rPr>
          <w:rFonts w:hint="eastAsia" w:ascii="宋体" w:hAnsi="宋体" w:eastAsia="宋体" w:cs="宋体"/>
          <w:b/>
          <w:color w:val="auto"/>
          <w:sz w:val="32"/>
          <w:szCs w:val="32"/>
          <w:highlight w:val="none"/>
        </w:rPr>
        <w:t>：</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 xml:space="preserve">（盖章）    </w:t>
      </w:r>
    </w:p>
    <w:p w14:paraId="16933080">
      <w:pPr>
        <w:shd w:val="clear" w:color="auto" w:fill="auto"/>
        <w:adjustRightInd w:val="0"/>
        <w:snapToGrid w:val="0"/>
        <w:spacing w:line="360" w:lineRule="auto"/>
        <w:ind w:firstLine="640" w:firstLineChars="200"/>
        <w:rPr>
          <w:rFonts w:hint="eastAsia" w:ascii="宋体" w:hAnsi="宋体" w:eastAsia="宋体" w:cs="宋体"/>
          <w:color w:val="auto"/>
          <w:sz w:val="32"/>
          <w:szCs w:val="32"/>
          <w:highlight w:val="none"/>
          <w:u w:val="single"/>
        </w:rPr>
      </w:pPr>
      <w:r>
        <w:rPr>
          <w:rFonts w:hint="eastAsia" w:ascii="宋体" w:hAnsi="宋体" w:eastAsia="宋体" w:cs="宋体"/>
          <w:b/>
          <w:bCs/>
          <w:color w:val="auto"/>
          <w:sz w:val="32"/>
          <w:szCs w:val="32"/>
          <w:highlight w:val="none"/>
        </w:rPr>
        <w:t>法人或授权代表</w:t>
      </w:r>
      <w:r>
        <w:rPr>
          <w:rFonts w:hint="eastAsia" w:ascii="宋体" w:hAnsi="宋体" w:eastAsia="宋体" w:cs="宋体"/>
          <w:b/>
          <w:color w:val="auto"/>
          <w:sz w:val="32"/>
          <w:szCs w:val="32"/>
          <w:highlight w:val="none"/>
        </w:rPr>
        <w:t>：</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 xml:space="preserve">（签字或盖章） </w:t>
      </w:r>
    </w:p>
    <w:p w14:paraId="0578624D">
      <w:pPr>
        <w:shd w:val="clear" w:color="auto" w:fill="auto"/>
        <w:adjustRightInd w:val="0"/>
        <w:snapToGrid w:val="0"/>
        <w:spacing w:line="360" w:lineRule="auto"/>
        <w:ind w:firstLine="640" w:firstLineChars="200"/>
        <w:rPr>
          <w:rFonts w:hint="eastAsia" w:ascii="宋体" w:hAnsi="宋体" w:eastAsia="宋体" w:cs="宋体"/>
          <w:color w:val="auto"/>
          <w:sz w:val="32"/>
          <w:szCs w:val="32"/>
          <w:highlight w:val="none"/>
          <w:u w:val="single"/>
        </w:rPr>
      </w:pPr>
      <w:r>
        <w:rPr>
          <w:rFonts w:hint="eastAsia" w:ascii="宋体" w:hAnsi="宋体" w:eastAsia="宋体" w:cs="宋体"/>
          <w:b/>
          <w:color w:val="auto"/>
          <w:sz w:val="32"/>
          <w:szCs w:val="32"/>
          <w:highlight w:val="none"/>
        </w:rPr>
        <w:t>时    间</w:t>
      </w:r>
      <w:r>
        <w:rPr>
          <w:rFonts w:hint="eastAsia" w:ascii="宋体" w:hAnsi="宋体" w:eastAsia="宋体" w:cs="宋体"/>
          <w:color w:val="auto"/>
          <w:sz w:val="32"/>
          <w:szCs w:val="32"/>
          <w:highlight w:val="none"/>
        </w:rPr>
        <w:t>：</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 xml:space="preserve">       </w:t>
      </w:r>
    </w:p>
    <w:p w14:paraId="5CB63652">
      <w:pPr>
        <w:shd w:val="clear" w:color="auto" w:fill="auto"/>
        <w:spacing w:line="360" w:lineRule="auto"/>
        <w:jc w:val="center"/>
        <w:rPr>
          <w:rFonts w:hint="eastAsia" w:ascii="宋体" w:hAnsi="宋体" w:eastAsia="宋体" w:cs="宋体"/>
          <w:b/>
          <w:color w:val="auto"/>
          <w:sz w:val="48"/>
          <w:szCs w:val="48"/>
          <w:highlight w:val="none"/>
        </w:rPr>
      </w:pPr>
    </w:p>
    <w:p w14:paraId="120D81CA">
      <w:pPr>
        <w:shd w:val="clear" w:color="auto" w:fill="auto"/>
        <w:spacing w:line="360" w:lineRule="auto"/>
        <w:jc w:val="center"/>
        <w:rPr>
          <w:rFonts w:hint="eastAsia" w:ascii="宋体" w:hAnsi="宋体" w:eastAsia="宋体" w:cs="宋体"/>
          <w:b/>
          <w:color w:val="auto"/>
          <w:sz w:val="48"/>
          <w:szCs w:val="48"/>
          <w:highlight w:val="none"/>
        </w:rPr>
      </w:pPr>
    </w:p>
    <w:p w14:paraId="1AB8E542">
      <w:pPr>
        <w:shd w:val="clear" w:color="auto" w:fill="auto"/>
        <w:spacing w:line="360" w:lineRule="auto"/>
        <w:jc w:val="center"/>
        <w:rPr>
          <w:rFonts w:hint="eastAsia" w:ascii="宋体" w:hAnsi="宋体" w:eastAsia="宋体" w:cs="宋体"/>
          <w:b/>
          <w:color w:val="auto"/>
          <w:sz w:val="48"/>
          <w:szCs w:val="48"/>
          <w:highlight w:val="none"/>
        </w:rPr>
      </w:pPr>
    </w:p>
    <w:p w14:paraId="2E297941">
      <w:pPr>
        <w:shd w:val="clear" w:color="auto" w:fill="auto"/>
        <w:spacing w:line="360" w:lineRule="auto"/>
        <w:jc w:val="center"/>
        <w:rPr>
          <w:rFonts w:hint="eastAsia" w:ascii="宋体" w:hAnsi="宋体" w:eastAsia="宋体" w:cs="宋体"/>
          <w:b/>
          <w:color w:val="auto"/>
          <w:sz w:val="48"/>
          <w:szCs w:val="48"/>
          <w:highlight w:val="none"/>
        </w:rPr>
      </w:pPr>
    </w:p>
    <w:p w14:paraId="7D967B24">
      <w:pPr>
        <w:shd w:val="clear" w:color="auto" w:fill="auto"/>
        <w:spacing w:line="560" w:lineRule="exact"/>
        <w:ind w:firstLine="880" w:firstLineChars="20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目    录</w:t>
      </w:r>
    </w:p>
    <w:p w14:paraId="0A29C098">
      <w:pPr>
        <w:shd w:val="clear" w:color="auto" w:fill="auto"/>
        <w:spacing w:line="560" w:lineRule="exact"/>
        <w:ind w:firstLine="640" w:firstLineChars="200"/>
        <w:rPr>
          <w:rFonts w:hint="eastAsia" w:ascii="宋体" w:hAnsi="宋体" w:eastAsia="宋体" w:cs="宋体"/>
          <w:color w:val="auto"/>
          <w:sz w:val="32"/>
          <w:szCs w:val="32"/>
          <w:highlight w:val="none"/>
        </w:rPr>
      </w:pPr>
    </w:p>
    <w:p w14:paraId="7E608054">
      <w:pPr>
        <w:shd w:val="clear" w:color="auto" w:fill="auto"/>
        <w:spacing w:line="360" w:lineRule="auto"/>
        <w:ind w:firstLine="640" w:firstLineChars="200"/>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第一部分  投标函</w:t>
      </w:r>
    </w:p>
    <w:p w14:paraId="18AEFC5B">
      <w:pPr>
        <w:shd w:val="clear" w:color="auto" w:fill="auto"/>
        <w:spacing w:line="360" w:lineRule="auto"/>
        <w:ind w:firstLine="640" w:firstLineChars="200"/>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第二部分  开标一览表</w:t>
      </w:r>
    </w:p>
    <w:p w14:paraId="3EFBB952">
      <w:pPr>
        <w:shd w:val="clear" w:color="auto" w:fill="auto"/>
        <w:spacing w:line="360" w:lineRule="auto"/>
        <w:ind w:firstLine="640" w:firstLineChars="200"/>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第三部分  资格证明文件</w:t>
      </w:r>
    </w:p>
    <w:p w14:paraId="3F218B03">
      <w:pPr>
        <w:shd w:val="clear" w:color="auto" w:fill="auto"/>
        <w:spacing w:line="360" w:lineRule="auto"/>
        <w:ind w:firstLine="640" w:firstLineChars="200"/>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第四部分  投标人概况</w:t>
      </w:r>
    </w:p>
    <w:p w14:paraId="373D15F2">
      <w:pPr>
        <w:shd w:val="clear" w:color="auto" w:fill="auto"/>
        <w:spacing w:line="360" w:lineRule="auto"/>
        <w:ind w:firstLine="640" w:firstLineChars="200"/>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第五部分  投标人参加政府采购活动承诺书</w:t>
      </w:r>
    </w:p>
    <w:p w14:paraId="6DF3A050">
      <w:pPr>
        <w:shd w:val="clear" w:color="auto" w:fill="auto"/>
        <w:spacing w:line="360" w:lineRule="auto"/>
        <w:ind w:firstLine="640" w:firstLineChars="200"/>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第六部分  投标方案</w:t>
      </w:r>
    </w:p>
    <w:p w14:paraId="0CACA440">
      <w:pPr>
        <w:pStyle w:val="8"/>
        <w:rPr>
          <w:rFonts w:hint="eastAsia" w:eastAsia="宋体" w:cs="宋体"/>
          <w:color w:val="auto"/>
          <w:highlight w:val="none"/>
          <w:lang w:val="en-US" w:eastAsia="zh-CN"/>
        </w:rPr>
      </w:pPr>
      <w:r>
        <w:rPr>
          <w:rFonts w:hint="eastAsia" w:eastAsia="宋体" w:cs="宋体"/>
          <w:color w:val="auto"/>
          <w:sz w:val="32"/>
          <w:szCs w:val="32"/>
          <w:highlight w:val="none"/>
          <w:lang w:val="en-US" w:eastAsia="zh-CN"/>
        </w:rPr>
        <w:t xml:space="preserve"> </w:t>
      </w:r>
    </w:p>
    <w:p w14:paraId="542DF485">
      <w:pPr>
        <w:bidi w:val="0"/>
        <w:rPr>
          <w:rFonts w:hint="eastAsia" w:ascii="宋体" w:hAnsi="宋体" w:eastAsia="宋体" w:cs="宋体"/>
          <w:color w:val="auto"/>
          <w:highlight w:val="none"/>
        </w:rPr>
      </w:pPr>
    </w:p>
    <w:p w14:paraId="572957A4">
      <w:pPr>
        <w:pStyle w:val="4"/>
        <w:shd w:val="clear" w:color="auto" w:fill="auto"/>
        <w:rPr>
          <w:rFonts w:hint="eastAsia" w:ascii="宋体" w:hAnsi="宋体" w:eastAsia="宋体" w:cs="宋体"/>
          <w:color w:val="auto"/>
          <w:sz w:val="32"/>
          <w:szCs w:val="32"/>
          <w:highlight w:val="none"/>
        </w:rPr>
      </w:pPr>
    </w:p>
    <w:p w14:paraId="270BBFAC">
      <w:pPr>
        <w:pStyle w:val="4"/>
        <w:shd w:val="clear" w:color="auto" w:fill="auto"/>
        <w:rPr>
          <w:rFonts w:hint="eastAsia" w:ascii="宋体" w:hAnsi="宋体" w:eastAsia="宋体" w:cs="宋体"/>
          <w:color w:val="auto"/>
          <w:sz w:val="32"/>
          <w:szCs w:val="32"/>
          <w:highlight w:val="none"/>
        </w:rPr>
      </w:pPr>
    </w:p>
    <w:p w14:paraId="2009095A">
      <w:pPr>
        <w:pStyle w:val="4"/>
        <w:shd w:val="clear" w:color="auto" w:fill="auto"/>
        <w:rPr>
          <w:rFonts w:hint="eastAsia" w:ascii="宋体" w:hAnsi="宋体" w:eastAsia="宋体" w:cs="宋体"/>
          <w:color w:val="auto"/>
          <w:sz w:val="32"/>
          <w:szCs w:val="32"/>
          <w:highlight w:val="none"/>
        </w:rPr>
      </w:pPr>
    </w:p>
    <w:p w14:paraId="270B0745">
      <w:pPr>
        <w:pStyle w:val="4"/>
        <w:shd w:val="clear" w:color="auto" w:fill="auto"/>
        <w:rPr>
          <w:rFonts w:hint="eastAsia" w:ascii="宋体" w:hAnsi="宋体" w:eastAsia="宋体" w:cs="宋体"/>
          <w:color w:val="auto"/>
          <w:sz w:val="32"/>
          <w:szCs w:val="32"/>
          <w:highlight w:val="none"/>
        </w:rPr>
      </w:pPr>
    </w:p>
    <w:p w14:paraId="1BF2A185">
      <w:pPr>
        <w:pStyle w:val="4"/>
        <w:shd w:val="clear" w:color="auto" w:fill="auto"/>
        <w:rPr>
          <w:rFonts w:hint="eastAsia" w:ascii="宋体" w:hAnsi="宋体" w:eastAsia="宋体" w:cs="宋体"/>
          <w:color w:val="auto"/>
          <w:sz w:val="32"/>
          <w:szCs w:val="32"/>
          <w:highlight w:val="none"/>
        </w:rPr>
      </w:pPr>
    </w:p>
    <w:p w14:paraId="3F3186A6">
      <w:pPr>
        <w:pStyle w:val="4"/>
        <w:shd w:val="clear" w:color="auto" w:fill="auto"/>
        <w:rPr>
          <w:rFonts w:hint="eastAsia" w:ascii="宋体" w:hAnsi="宋体" w:eastAsia="宋体" w:cs="宋体"/>
          <w:color w:val="auto"/>
          <w:sz w:val="32"/>
          <w:szCs w:val="32"/>
          <w:highlight w:val="none"/>
        </w:rPr>
      </w:pPr>
    </w:p>
    <w:p w14:paraId="00A93835">
      <w:pPr>
        <w:pStyle w:val="4"/>
        <w:shd w:val="clear" w:color="auto" w:fill="auto"/>
        <w:rPr>
          <w:rFonts w:hint="eastAsia" w:ascii="宋体" w:hAnsi="宋体" w:eastAsia="宋体" w:cs="宋体"/>
          <w:color w:val="auto"/>
          <w:sz w:val="32"/>
          <w:szCs w:val="32"/>
          <w:highlight w:val="none"/>
        </w:rPr>
      </w:pPr>
    </w:p>
    <w:p w14:paraId="295A438B">
      <w:pPr>
        <w:pStyle w:val="4"/>
        <w:shd w:val="clear" w:color="auto" w:fill="auto"/>
        <w:rPr>
          <w:rFonts w:hint="eastAsia" w:ascii="宋体" w:hAnsi="宋体" w:eastAsia="宋体" w:cs="宋体"/>
          <w:color w:val="auto"/>
          <w:sz w:val="32"/>
          <w:szCs w:val="32"/>
          <w:highlight w:val="none"/>
        </w:rPr>
      </w:pPr>
    </w:p>
    <w:p w14:paraId="191246F6">
      <w:pPr>
        <w:pStyle w:val="4"/>
        <w:shd w:val="clear" w:color="auto" w:fill="auto"/>
        <w:rPr>
          <w:rFonts w:hint="eastAsia" w:ascii="宋体" w:hAnsi="宋体" w:eastAsia="宋体" w:cs="宋体"/>
          <w:color w:val="auto"/>
          <w:sz w:val="32"/>
          <w:szCs w:val="32"/>
          <w:highlight w:val="none"/>
        </w:rPr>
      </w:pPr>
    </w:p>
    <w:p w14:paraId="4A7FE262">
      <w:pPr>
        <w:pStyle w:val="4"/>
        <w:shd w:val="clear" w:color="auto" w:fill="auto"/>
        <w:rPr>
          <w:rFonts w:hint="eastAsia" w:ascii="宋体" w:hAnsi="宋体" w:eastAsia="宋体" w:cs="宋体"/>
          <w:color w:val="auto"/>
          <w:sz w:val="32"/>
          <w:szCs w:val="32"/>
          <w:highlight w:val="none"/>
        </w:rPr>
      </w:pPr>
    </w:p>
    <w:p w14:paraId="55725C55">
      <w:pPr>
        <w:pStyle w:val="4"/>
        <w:shd w:val="clear" w:color="auto" w:fill="auto"/>
        <w:rPr>
          <w:rFonts w:hint="eastAsia" w:ascii="宋体" w:hAnsi="宋体" w:eastAsia="宋体" w:cs="宋体"/>
          <w:color w:val="auto"/>
          <w:sz w:val="32"/>
          <w:szCs w:val="32"/>
          <w:highlight w:val="none"/>
        </w:rPr>
      </w:pPr>
    </w:p>
    <w:p w14:paraId="79DFFF35">
      <w:pPr>
        <w:pStyle w:val="4"/>
        <w:shd w:val="clear" w:color="auto" w:fill="auto"/>
        <w:rPr>
          <w:rFonts w:hint="eastAsia" w:ascii="宋体" w:hAnsi="宋体" w:eastAsia="宋体" w:cs="宋体"/>
          <w:color w:val="auto"/>
          <w:sz w:val="32"/>
          <w:szCs w:val="32"/>
          <w:highlight w:val="none"/>
        </w:rPr>
      </w:pPr>
    </w:p>
    <w:p w14:paraId="68072A39">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en-US" w:eastAsia="zh-CN" w:bidi="ar-SA"/>
        </w:rPr>
      </w:pPr>
      <w:bookmarkStart w:id="302" w:name="_Toc5707"/>
      <w:bookmarkStart w:id="303" w:name="_Toc142559894"/>
      <w:r>
        <w:rPr>
          <w:rFonts w:hint="eastAsia" w:ascii="宋体" w:hAnsi="宋体" w:eastAsia="宋体" w:cs="宋体"/>
          <w:b/>
          <w:color w:val="auto"/>
          <w:kern w:val="0"/>
          <w:sz w:val="30"/>
          <w:szCs w:val="20"/>
          <w:highlight w:val="none"/>
          <w:lang w:val="en-US" w:eastAsia="zh-CN" w:bidi="ar-SA"/>
        </w:rPr>
        <w:t>第一部分  投标函</w:t>
      </w:r>
      <w:bookmarkEnd w:id="302"/>
      <w:bookmarkEnd w:id="303"/>
    </w:p>
    <w:p w14:paraId="13AA92F7">
      <w:pPr>
        <w:pStyle w:val="4"/>
        <w:numPr>
          <w:ilvl w:val="0"/>
          <w:numId w:val="0"/>
        </w:numPr>
        <w:shd w:val="clear" w:color="auto" w:fill="auto"/>
        <w:ind w:leftChars="0"/>
        <w:jc w:val="center"/>
        <w:rPr>
          <w:rFonts w:hint="eastAsia" w:ascii="宋体" w:hAnsi="宋体" w:eastAsia="宋体" w:cs="宋体"/>
          <w:b/>
          <w:color w:val="auto"/>
          <w:kern w:val="0"/>
          <w:sz w:val="30"/>
          <w:szCs w:val="20"/>
          <w:highlight w:val="none"/>
          <w:lang w:val="en-US" w:eastAsia="zh-CN" w:bidi="ar-SA"/>
        </w:rPr>
      </w:pPr>
    </w:p>
    <w:p w14:paraId="1F128F7B">
      <w:pPr>
        <w:shd w:val="clear" w:color="auto" w:fill="auto"/>
        <w:tabs>
          <w:tab w:val="left" w:pos="5580"/>
        </w:tabs>
        <w:snapToGrid w:val="0"/>
        <w:spacing w:line="360" w:lineRule="auto"/>
        <w:ind w:left="1080" w:hanging="1080"/>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（采购人）   </w:t>
      </w:r>
    </w:p>
    <w:p w14:paraId="262E3CC1">
      <w:pPr>
        <w:pStyle w:val="9"/>
        <w:shd w:val="clear" w:color="auto" w:fill="auto"/>
        <w:tabs>
          <w:tab w:val="left" w:pos="5580"/>
        </w:tabs>
        <w:snapToGrid w:val="0"/>
        <w:spacing w:line="360" w:lineRule="auto"/>
        <w:ind w:left="107" w:leftChars="51"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根据贵方(</w:t>
      </w:r>
      <w:r>
        <w:rPr>
          <w:rFonts w:hint="eastAsia" w:ascii="宋体" w:hAnsi="宋体" w:eastAsia="宋体" w:cs="宋体"/>
          <w:color w:val="auto"/>
          <w:sz w:val="24"/>
          <w:highlight w:val="none"/>
          <w:u w:val="single"/>
        </w:rPr>
        <w:t>项目名称、采购项目编号</w:t>
      </w:r>
      <w:r>
        <w:rPr>
          <w:rFonts w:hint="eastAsia" w:ascii="宋体" w:hAnsi="宋体" w:eastAsia="宋体" w:cs="宋体"/>
          <w:color w:val="auto"/>
          <w:sz w:val="24"/>
          <w:highlight w:val="none"/>
        </w:rPr>
        <w:t>)项目的招标文件，签字代表(</w:t>
      </w:r>
      <w:r>
        <w:rPr>
          <w:rFonts w:hint="eastAsia" w:ascii="宋体" w:hAnsi="宋体" w:eastAsia="宋体" w:cs="宋体"/>
          <w:color w:val="auto"/>
          <w:sz w:val="24"/>
          <w:highlight w:val="none"/>
          <w:u w:val="single"/>
        </w:rPr>
        <w:t>姓名、职务</w:t>
      </w:r>
      <w:r>
        <w:rPr>
          <w:rFonts w:hint="eastAsia" w:ascii="宋体" w:hAnsi="宋体" w:eastAsia="宋体" w:cs="宋体"/>
          <w:color w:val="auto"/>
          <w:sz w:val="24"/>
          <w:highlight w:val="none"/>
        </w:rPr>
        <w:t>)经正式授权并代表投标人（</w:t>
      </w:r>
      <w:r>
        <w:rPr>
          <w:rFonts w:hint="eastAsia" w:ascii="宋体" w:hAnsi="宋体" w:eastAsia="宋体" w:cs="宋体"/>
          <w:color w:val="auto"/>
          <w:sz w:val="24"/>
          <w:highlight w:val="none"/>
          <w:u w:val="single"/>
        </w:rPr>
        <w:t>名称</w:t>
      </w:r>
      <w:r>
        <w:rPr>
          <w:rFonts w:hint="eastAsia" w:ascii="宋体" w:hAnsi="宋体" w:eastAsia="宋体" w:cs="宋体"/>
          <w:color w:val="auto"/>
          <w:sz w:val="24"/>
          <w:highlight w:val="none"/>
        </w:rPr>
        <w:t>）提交下述文件电子文档</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份。为此，我方郑重声明以下诸点，并负法律责任</w:t>
      </w:r>
      <w:r>
        <w:rPr>
          <w:rFonts w:hint="eastAsia" w:ascii="宋体" w:hAnsi="宋体" w:eastAsia="宋体" w:cs="宋体"/>
          <w:color w:val="auto"/>
          <w:sz w:val="24"/>
          <w:szCs w:val="24"/>
          <w:highlight w:val="none"/>
          <w:lang w:val="zh-CN"/>
        </w:rPr>
        <w:t>。</w:t>
      </w:r>
    </w:p>
    <w:p w14:paraId="6ACFFB4F">
      <w:pPr>
        <w:pStyle w:val="9"/>
        <w:keepNext w:val="0"/>
        <w:keepLines w:val="0"/>
        <w:pageBreakBefore w:val="0"/>
        <w:widowControl w:val="0"/>
        <w:shd w:val="clear" w:color="auto" w:fill="auto"/>
        <w:tabs>
          <w:tab w:val="left" w:pos="720"/>
          <w:tab w:val="left" w:pos="900"/>
        </w:tabs>
        <w:kinsoku/>
        <w:wordWrap/>
        <w:overflowPunct/>
        <w:topLinePunct w:val="0"/>
        <w:autoSpaceDE/>
        <w:autoSpaceDN/>
        <w:bidi w:val="0"/>
        <w:adjustRightInd/>
        <w:snapToGrid w:val="0"/>
        <w:spacing w:line="360" w:lineRule="auto"/>
        <w:ind w:left="0" w:leftChars="0" w:firstLine="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（1）按照招标文件的规定，我公司投标总价为：</w:t>
      </w:r>
      <w:r>
        <w:rPr>
          <w:rFonts w:hint="eastAsia" w:ascii="宋体" w:hAnsi="宋体" w:eastAsia="宋体" w:cs="宋体"/>
          <w:color w:val="auto"/>
          <w:sz w:val="24"/>
          <w:highlight w:val="none"/>
          <w:u w:val="single"/>
        </w:rPr>
        <w:t>人民币（大写）　　  元（￥：   元）</w:t>
      </w:r>
      <w:r>
        <w:rPr>
          <w:rFonts w:hint="eastAsia" w:ascii="宋体" w:hAnsi="宋体" w:eastAsia="宋体" w:cs="宋体"/>
          <w:color w:val="auto"/>
          <w:sz w:val="24"/>
          <w:highlight w:val="none"/>
        </w:rPr>
        <w:t>。</w:t>
      </w:r>
    </w:p>
    <w:p w14:paraId="7975EB47">
      <w:pPr>
        <w:pStyle w:val="9"/>
        <w:keepNext w:val="0"/>
        <w:keepLines w:val="0"/>
        <w:pageBreakBefore w:val="0"/>
        <w:widowControl w:val="0"/>
        <w:shd w:val="clear" w:color="auto" w:fill="auto"/>
        <w:tabs>
          <w:tab w:val="left" w:pos="5580"/>
        </w:tabs>
        <w:kinsoku/>
        <w:wordWrap/>
        <w:overflowPunct/>
        <w:topLinePunct w:val="0"/>
        <w:autoSpaceDE/>
        <w:autoSpaceDN/>
        <w:bidi w:val="0"/>
        <w:adjustRightInd/>
        <w:snapToGrid w:val="0"/>
        <w:spacing w:line="360" w:lineRule="auto"/>
        <w:ind w:left="0" w:leftChars="0" w:firstLine="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（2）本投标有效期为自</w:t>
      </w:r>
      <w:r>
        <w:rPr>
          <w:rFonts w:hint="eastAsia" w:ascii="宋体" w:hAnsi="宋体" w:eastAsia="宋体" w:cs="宋体"/>
          <w:color w:val="auto"/>
          <w:sz w:val="24"/>
          <w:szCs w:val="24"/>
          <w:highlight w:val="none"/>
        </w:rPr>
        <w:t>投标截止之日起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个日历日</w:t>
      </w:r>
      <w:r>
        <w:rPr>
          <w:rFonts w:hint="eastAsia" w:ascii="宋体" w:hAnsi="宋体" w:eastAsia="宋体" w:cs="宋体"/>
          <w:color w:val="auto"/>
          <w:sz w:val="24"/>
          <w:szCs w:val="24"/>
          <w:highlight w:val="none"/>
          <w:lang w:val="zh-CN"/>
        </w:rPr>
        <w:t>，若我方中标，投标文件有效期自动延长至合同执行完毕。</w:t>
      </w:r>
    </w:p>
    <w:p w14:paraId="632AD9B4">
      <w:pPr>
        <w:pStyle w:val="9"/>
        <w:keepNext w:val="0"/>
        <w:keepLines w:val="0"/>
        <w:pageBreakBefore w:val="0"/>
        <w:widowControl w:val="0"/>
        <w:shd w:val="clear" w:color="auto" w:fill="auto"/>
        <w:tabs>
          <w:tab w:val="left" w:pos="5580"/>
        </w:tabs>
        <w:kinsoku/>
        <w:wordWrap/>
        <w:overflowPunct/>
        <w:topLinePunct w:val="0"/>
        <w:autoSpaceDE/>
        <w:autoSpaceDN/>
        <w:bidi w:val="0"/>
        <w:adjustRightInd/>
        <w:snapToGrid w:val="0"/>
        <w:spacing w:line="360" w:lineRule="auto"/>
        <w:ind w:left="0" w:leftChars="0" w:firstLine="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（3）已详细审查全部招标文件，包括所有补充通知（如果有的话），完全理解并同意放弃对这方面有不明、误解的权利。</w:t>
      </w:r>
    </w:p>
    <w:p w14:paraId="54DF3626">
      <w:pPr>
        <w:pStyle w:val="9"/>
        <w:keepNext w:val="0"/>
        <w:keepLines w:val="0"/>
        <w:pageBreakBefore w:val="0"/>
        <w:widowControl w:val="0"/>
        <w:shd w:val="clear" w:color="auto" w:fill="auto"/>
        <w:tabs>
          <w:tab w:val="left" w:pos="5580"/>
        </w:tabs>
        <w:kinsoku/>
        <w:wordWrap/>
        <w:overflowPunct/>
        <w:topLinePunct w:val="0"/>
        <w:autoSpaceDE/>
        <w:autoSpaceDN/>
        <w:bidi w:val="0"/>
        <w:adjustRightInd/>
        <w:snapToGrid w:val="0"/>
        <w:spacing w:line="360" w:lineRule="auto"/>
        <w:ind w:left="0" w:leftChars="0" w:firstLine="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）按照贵方可能的要求，提供与投标有关的一切数据或资料，我们完全理解最低投标报价不作为中标的唯一条件，且尊重评标结论和定标结果。</w:t>
      </w:r>
    </w:p>
    <w:p w14:paraId="147B87E0">
      <w:pPr>
        <w:pStyle w:val="9"/>
        <w:keepNext w:val="0"/>
        <w:keepLines w:val="0"/>
        <w:pageBreakBefore w:val="0"/>
        <w:widowControl w:val="0"/>
        <w:shd w:val="clear" w:color="auto" w:fill="auto"/>
        <w:tabs>
          <w:tab w:val="left" w:pos="5580"/>
        </w:tabs>
        <w:kinsoku/>
        <w:wordWrap/>
        <w:overflowPunct/>
        <w:topLinePunct w:val="0"/>
        <w:autoSpaceDE/>
        <w:autoSpaceDN/>
        <w:bidi w:val="0"/>
        <w:adjustRightInd/>
        <w:snapToGrid w:val="0"/>
        <w:spacing w:line="360" w:lineRule="auto"/>
        <w:ind w:left="0" w:leftChars="0" w:firstLine="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）完全理解并无条件承担中标后不依法与采购人签订合同的法律后果。</w:t>
      </w:r>
    </w:p>
    <w:p w14:paraId="490E5764">
      <w:pPr>
        <w:pStyle w:val="9"/>
        <w:shd w:val="clear" w:color="auto" w:fill="auto"/>
        <w:tabs>
          <w:tab w:val="left" w:pos="5580"/>
        </w:tabs>
        <w:snapToGrid w:val="0"/>
        <w:spacing w:line="360" w:lineRule="auto"/>
        <w:ind w:left="343" w:leftChars="118" w:hanging="96" w:hangingChars="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131A326B">
      <w:pPr>
        <w:shd w:val="clear" w:color="auto" w:fill="auto"/>
        <w:autoSpaceDE w:val="0"/>
        <w:autoSpaceDN w:val="0"/>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bookmarkStart w:id="304" w:name="_Toc23473"/>
      <w:bookmarkStart w:id="305" w:name="_Toc532473506"/>
      <w:bookmarkStart w:id="306" w:name="_Toc1266"/>
      <w:r>
        <w:rPr>
          <w:rFonts w:hint="eastAsia" w:ascii="宋体" w:hAnsi="宋体" w:eastAsia="宋体" w:cs="宋体"/>
          <w:color w:val="auto"/>
          <w:sz w:val="24"/>
          <w:highlight w:val="none"/>
          <w:lang w:val="zh-CN"/>
        </w:rPr>
        <w:t>投标人全称（公章）：</w:t>
      </w:r>
      <w:r>
        <w:rPr>
          <w:rFonts w:hint="eastAsia" w:ascii="宋体" w:hAnsi="宋体" w:eastAsia="宋体" w:cs="宋体"/>
          <w:color w:val="auto"/>
          <w:sz w:val="24"/>
          <w:highlight w:val="none"/>
        </w:rPr>
        <w:t>__________________________________________</w:t>
      </w:r>
    </w:p>
    <w:p w14:paraId="4E0C3D32">
      <w:pPr>
        <w:shd w:val="clear" w:color="auto" w:fill="auto"/>
        <w:autoSpaceDE w:val="0"/>
        <w:autoSpaceDN w:val="0"/>
        <w:adjustRightInd w:val="0"/>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地址：</w:t>
      </w:r>
      <w:r>
        <w:rPr>
          <w:rFonts w:hint="eastAsia" w:ascii="宋体" w:hAnsi="宋体" w:eastAsia="宋体" w:cs="宋体"/>
          <w:color w:val="auto"/>
          <w:sz w:val="24"/>
          <w:highlight w:val="none"/>
        </w:rPr>
        <w:t>__________________________________________</w:t>
      </w:r>
    </w:p>
    <w:p w14:paraId="051FB6B7">
      <w:pPr>
        <w:shd w:val="clear" w:color="auto" w:fill="auto"/>
        <w:autoSpaceDE w:val="0"/>
        <w:autoSpaceDN w:val="0"/>
        <w:adjustRightInd w:val="0"/>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开户银行：</w:t>
      </w:r>
      <w:r>
        <w:rPr>
          <w:rFonts w:hint="eastAsia" w:ascii="宋体" w:hAnsi="宋体" w:eastAsia="宋体" w:cs="宋体"/>
          <w:color w:val="auto"/>
          <w:sz w:val="24"/>
          <w:highlight w:val="none"/>
        </w:rPr>
        <w:t>__________________________________________</w:t>
      </w:r>
    </w:p>
    <w:p w14:paraId="5619F82F">
      <w:pPr>
        <w:shd w:val="clear" w:color="auto" w:fill="auto"/>
        <w:autoSpaceDE w:val="0"/>
        <w:autoSpaceDN w:val="0"/>
        <w:adjustRightInd w:val="0"/>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账号：</w:t>
      </w:r>
      <w:r>
        <w:rPr>
          <w:rFonts w:hint="eastAsia" w:ascii="宋体" w:hAnsi="宋体" w:eastAsia="宋体" w:cs="宋体"/>
          <w:color w:val="auto"/>
          <w:sz w:val="24"/>
          <w:highlight w:val="none"/>
        </w:rPr>
        <w:t>__________________________________________</w:t>
      </w:r>
    </w:p>
    <w:p w14:paraId="71E1648C">
      <w:pPr>
        <w:shd w:val="clear" w:color="auto" w:fill="auto"/>
        <w:autoSpaceDE w:val="0"/>
        <w:autoSpaceDN w:val="0"/>
        <w:adjustRightInd w:val="0"/>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电话：</w:t>
      </w:r>
      <w:r>
        <w:rPr>
          <w:rFonts w:hint="eastAsia" w:ascii="宋体" w:hAnsi="宋体" w:eastAsia="宋体" w:cs="宋体"/>
          <w:color w:val="auto"/>
          <w:sz w:val="24"/>
          <w:highlight w:val="none"/>
        </w:rPr>
        <w:t>__________________________________________</w:t>
      </w:r>
    </w:p>
    <w:p w14:paraId="0DB39D94">
      <w:pPr>
        <w:shd w:val="clear" w:color="auto" w:fill="auto"/>
        <w:autoSpaceDE w:val="0"/>
        <w:autoSpaceDN w:val="0"/>
        <w:adjustRightInd w:val="0"/>
        <w:snapToGrid w:val="0"/>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法定代表人</w:t>
      </w:r>
      <w:r>
        <w:rPr>
          <w:rFonts w:hint="eastAsia" w:ascii="宋体" w:hAnsi="宋体" w:eastAsia="宋体" w:cs="宋体"/>
          <w:color w:val="auto"/>
          <w:sz w:val="24"/>
          <w:highlight w:val="none"/>
        </w:rPr>
        <w:t>或</w:t>
      </w:r>
      <w:r>
        <w:rPr>
          <w:rFonts w:hint="eastAsia" w:ascii="宋体" w:hAnsi="宋体" w:eastAsia="宋体" w:cs="宋体"/>
          <w:color w:val="auto"/>
          <w:sz w:val="24"/>
          <w:highlight w:val="none"/>
          <w:lang w:val="zh-CN"/>
        </w:rPr>
        <w:t>授权代表（</w:t>
      </w:r>
      <w:r>
        <w:rPr>
          <w:rFonts w:hint="eastAsia" w:ascii="宋体" w:hAnsi="宋体" w:eastAsia="宋体" w:cs="宋体"/>
          <w:color w:val="auto"/>
          <w:sz w:val="24"/>
          <w:highlight w:val="none"/>
        </w:rPr>
        <w:t>签字或盖章</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_____________</w:t>
      </w:r>
    </w:p>
    <w:p w14:paraId="78BDFFD6">
      <w:pPr>
        <w:shd w:val="clear" w:color="auto" w:fill="auto"/>
        <w:snapToGrid w:val="0"/>
        <w:spacing w:line="360" w:lineRule="auto"/>
        <w:ind w:firstLine="56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_____</w:t>
      </w:r>
      <w:r>
        <w:rPr>
          <w:rFonts w:hint="eastAsia" w:ascii="宋体" w:hAnsi="宋体" w:eastAsia="宋体" w:cs="宋体"/>
          <w:color w:val="auto"/>
          <w:sz w:val="24"/>
          <w:highlight w:val="none"/>
          <w:lang w:val="zh-CN"/>
        </w:rPr>
        <w:t>年</w:t>
      </w:r>
      <w:r>
        <w:rPr>
          <w:rFonts w:hint="eastAsia" w:ascii="宋体" w:hAnsi="宋体" w:eastAsia="宋体" w:cs="宋体"/>
          <w:color w:val="auto"/>
          <w:sz w:val="24"/>
          <w:highlight w:val="none"/>
        </w:rPr>
        <w:t>_____</w:t>
      </w:r>
      <w:r>
        <w:rPr>
          <w:rFonts w:hint="eastAsia" w:ascii="宋体" w:hAnsi="宋体" w:eastAsia="宋体" w:cs="宋体"/>
          <w:color w:val="auto"/>
          <w:sz w:val="24"/>
          <w:highlight w:val="none"/>
          <w:lang w:val="zh-CN"/>
        </w:rPr>
        <w:t>月</w:t>
      </w:r>
      <w:r>
        <w:rPr>
          <w:rFonts w:hint="eastAsia" w:ascii="宋体" w:hAnsi="宋体" w:eastAsia="宋体" w:cs="宋体"/>
          <w:color w:val="auto"/>
          <w:sz w:val="24"/>
          <w:highlight w:val="none"/>
        </w:rPr>
        <w:t>_____</w:t>
      </w:r>
      <w:r>
        <w:rPr>
          <w:rFonts w:hint="eastAsia" w:ascii="宋体" w:hAnsi="宋体" w:eastAsia="宋体" w:cs="宋体"/>
          <w:color w:val="auto"/>
          <w:sz w:val="24"/>
          <w:highlight w:val="none"/>
          <w:lang w:val="zh-CN"/>
        </w:rPr>
        <w:t>日</w:t>
      </w:r>
      <w:r>
        <w:rPr>
          <w:rFonts w:hint="eastAsia" w:ascii="宋体" w:hAnsi="宋体" w:eastAsia="宋体" w:cs="宋体"/>
          <w:color w:val="auto"/>
          <w:sz w:val="24"/>
          <w:highlight w:val="none"/>
        </w:rPr>
        <w:t xml:space="preserve"> </w:t>
      </w:r>
      <w:bookmarkEnd w:id="304"/>
      <w:bookmarkEnd w:id="305"/>
      <w:bookmarkEnd w:id="306"/>
      <w:bookmarkStart w:id="307" w:name="_Hlt520356243"/>
      <w:bookmarkEnd w:id="307"/>
      <w:bookmarkStart w:id="308" w:name="_Hlt520355938"/>
      <w:bookmarkEnd w:id="308"/>
    </w:p>
    <w:p w14:paraId="00275F96">
      <w:pPr>
        <w:pStyle w:val="4"/>
        <w:numPr>
          <w:ilvl w:val="0"/>
          <w:numId w:val="0"/>
        </w:numPr>
        <w:shd w:val="clear" w:color="auto" w:fill="auto"/>
        <w:ind w:leftChars="0"/>
        <w:jc w:val="center"/>
        <w:rPr>
          <w:rFonts w:hint="eastAsia" w:ascii="宋体" w:hAnsi="宋体" w:eastAsia="宋体" w:cs="宋体"/>
          <w:b/>
          <w:color w:val="auto"/>
          <w:kern w:val="0"/>
          <w:sz w:val="30"/>
          <w:szCs w:val="20"/>
          <w:highlight w:val="none"/>
          <w:lang w:val="en-US" w:eastAsia="zh-CN" w:bidi="ar-SA"/>
        </w:rPr>
      </w:pPr>
    </w:p>
    <w:p w14:paraId="6ECBDE5E">
      <w:pPr>
        <w:pStyle w:val="4"/>
        <w:numPr>
          <w:ilvl w:val="0"/>
          <w:numId w:val="0"/>
        </w:numPr>
        <w:shd w:val="clear" w:color="auto" w:fill="auto"/>
        <w:ind w:leftChars="0"/>
        <w:jc w:val="center"/>
        <w:rPr>
          <w:rFonts w:hint="eastAsia" w:ascii="宋体" w:hAnsi="宋体" w:eastAsia="宋体" w:cs="宋体"/>
          <w:b/>
          <w:color w:val="auto"/>
          <w:kern w:val="0"/>
          <w:sz w:val="30"/>
          <w:szCs w:val="20"/>
          <w:highlight w:val="none"/>
          <w:lang w:val="en-US" w:eastAsia="zh-CN" w:bidi="ar-SA"/>
        </w:rPr>
      </w:pPr>
    </w:p>
    <w:p w14:paraId="606A3DA8">
      <w:pPr>
        <w:pStyle w:val="4"/>
        <w:numPr>
          <w:ilvl w:val="0"/>
          <w:numId w:val="0"/>
        </w:numPr>
        <w:shd w:val="clear" w:color="auto" w:fill="auto"/>
        <w:ind w:leftChars="0"/>
        <w:jc w:val="center"/>
        <w:rPr>
          <w:rFonts w:hint="eastAsia" w:ascii="宋体" w:hAnsi="宋体" w:eastAsia="宋体" w:cs="宋体"/>
          <w:b/>
          <w:color w:val="auto"/>
          <w:kern w:val="0"/>
          <w:sz w:val="30"/>
          <w:szCs w:val="20"/>
          <w:highlight w:val="none"/>
          <w:lang w:val="en-US" w:eastAsia="zh-CN" w:bidi="ar-SA"/>
        </w:rPr>
      </w:pPr>
    </w:p>
    <w:p w14:paraId="13491125">
      <w:pPr>
        <w:pStyle w:val="4"/>
        <w:numPr>
          <w:ilvl w:val="0"/>
          <w:numId w:val="0"/>
        </w:numPr>
        <w:shd w:val="clear" w:color="auto" w:fill="auto"/>
        <w:ind w:leftChars="0"/>
        <w:jc w:val="center"/>
        <w:rPr>
          <w:rFonts w:hint="eastAsia" w:ascii="宋体" w:hAnsi="宋体" w:eastAsia="宋体" w:cs="宋体"/>
          <w:b/>
          <w:color w:val="auto"/>
          <w:kern w:val="0"/>
          <w:sz w:val="30"/>
          <w:szCs w:val="20"/>
          <w:highlight w:val="none"/>
          <w:lang w:val="en-US" w:eastAsia="zh-CN" w:bidi="ar-SA"/>
        </w:rPr>
      </w:pPr>
    </w:p>
    <w:p w14:paraId="6E9AAAAB">
      <w:pPr>
        <w:pStyle w:val="4"/>
        <w:numPr>
          <w:ilvl w:val="0"/>
          <w:numId w:val="0"/>
        </w:numPr>
        <w:shd w:val="clear" w:color="auto" w:fill="auto"/>
        <w:jc w:val="both"/>
        <w:rPr>
          <w:rFonts w:hint="eastAsia" w:ascii="宋体" w:hAnsi="宋体" w:eastAsia="宋体" w:cs="宋体"/>
          <w:b/>
          <w:color w:val="auto"/>
          <w:kern w:val="0"/>
          <w:sz w:val="30"/>
          <w:szCs w:val="20"/>
          <w:highlight w:val="none"/>
          <w:lang w:val="en-US" w:eastAsia="zh-CN" w:bidi="ar-SA"/>
        </w:rPr>
      </w:pPr>
    </w:p>
    <w:p w14:paraId="623E3F5D">
      <w:pPr>
        <w:pStyle w:val="4"/>
        <w:numPr>
          <w:ilvl w:val="0"/>
          <w:numId w:val="0"/>
        </w:numPr>
        <w:shd w:val="clear" w:color="auto" w:fill="auto"/>
        <w:jc w:val="center"/>
        <w:rPr>
          <w:rFonts w:hint="eastAsia" w:ascii="宋体" w:hAnsi="宋体" w:eastAsia="宋体" w:cs="宋体"/>
          <w:b/>
          <w:color w:val="auto"/>
          <w:kern w:val="0"/>
          <w:sz w:val="30"/>
          <w:szCs w:val="20"/>
          <w:highlight w:val="none"/>
          <w:lang w:val="en-US" w:eastAsia="zh-CN" w:bidi="ar-SA"/>
        </w:rPr>
      </w:pPr>
      <w:r>
        <w:rPr>
          <w:rFonts w:hint="eastAsia" w:ascii="宋体" w:hAnsi="宋体" w:eastAsia="宋体" w:cs="宋体"/>
          <w:b/>
          <w:color w:val="auto"/>
          <w:kern w:val="0"/>
          <w:sz w:val="30"/>
          <w:szCs w:val="20"/>
          <w:highlight w:val="none"/>
          <w:lang w:val="en-US" w:eastAsia="zh-CN" w:bidi="ar-SA"/>
        </w:rPr>
        <w:t>第二部分 开标一览表</w:t>
      </w:r>
    </w:p>
    <w:p w14:paraId="3939B132">
      <w:pPr>
        <w:pStyle w:val="4"/>
        <w:shd w:val="clear" w:color="auto" w:fill="auto"/>
        <w:tabs>
          <w:tab w:val="left" w:pos="5580"/>
        </w:tabs>
        <w:spacing w:line="360" w:lineRule="auto"/>
        <w:ind w:left="1079" w:leftChars="257" w:hanging="540"/>
        <w:rPr>
          <w:rFonts w:hint="eastAsia" w:ascii="宋体" w:hAnsi="宋体" w:eastAsia="宋体" w:cs="宋体"/>
          <w:color w:val="auto"/>
          <w:highlight w:val="none"/>
        </w:rPr>
      </w:pPr>
      <w:bookmarkStart w:id="309" w:name="_Hlt520356241"/>
      <w:bookmarkEnd w:id="309"/>
    </w:p>
    <w:p w14:paraId="0B40E740">
      <w:pPr>
        <w:shd w:val="clear" w:color="auto" w:fill="auto"/>
        <w:tabs>
          <w:tab w:val="left" w:pos="1800"/>
          <w:tab w:val="left" w:pos="5580"/>
        </w:tabs>
        <w:spacing w:line="360" w:lineRule="auto"/>
        <w:ind w:left="1079" w:leftChars="257" w:right="-867" w:rightChars="-413" w:hanging="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采购项目编号： </w:t>
      </w:r>
    </w:p>
    <w:tbl>
      <w:tblPr>
        <w:tblStyle w:val="15"/>
        <w:tblW w:w="5057" w:type="pct"/>
        <w:jc w:val="center"/>
        <w:tblLayout w:type="autofit"/>
        <w:tblCellMar>
          <w:top w:w="0" w:type="dxa"/>
          <w:left w:w="0" w:type="dxa"/>
          <w:bottom w:w="0" w:type="dxa"/>
          <w:right w:w="0" w:type="dxa"/>
        </w:tblCellMar>
      </w:tblPr>
      <w:tblGrid>
        <w:gridCol w:w="3606"/>
        <w:gridCol w:w="2588"/>
        <w:gridCol w:w="1948"/>
        <w:gridCol w:w="1052"/>
      </w:tblGrid>
      <w:tr w14:paraId="1AE781BB">
        <w:tblPrEx>
          <w:tblCellMar>
            <w:top w:w="0" w:type="dxa"/>
            <w:left w:w="0" w:type="dxa"/>
            <w:bottom w:w="0" w:type="dxa"/>
            <w:right w:w="0" w:type="dxa"/>
          </w:tblCellMar>
        </w:tblPrEx>
        <w:trPr>
          <w:trHeight w:val="818" w:hRule="atLeast"/>
          <w:jc w:val="center"/>
        </w:trPr>
        <w:tc>
          <w:tcPr>
            <w:tcW w:w="1960" w:type="pct"/>
            <w:tcBorders>
              <w:top w:val="single" w:color="auto" w:sz="4" w:space="0"/>
              <w:left w:val="single" w:color="auto" w:sz="8" w:space="0"/>
              <w:bottom w:val="single" w:color="auto" w:sz="8" w:space="0"/>
              <w:right w:val="single" w:color="auto" w:sz="4" w:space="0"/>
            </w:tcBorders>
            <w:noWrap w:val="0"/>
            <w:vAlign w:val="center"/>
          </w:tcPr>
          <w:p w14:paraId="1A778E02">
            <w:pPr>
              <w:shd w:val="clear" w:color="auto" w:fill="auto"/>
              <w:tabs>
                <w:tab w:val="left" w:pos="55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投标总价（单位：元）</w:t>
            </w:r>
          </w:p>
        </w:tc>
        <w:tc>
          <w:tcPr>
            <w:tcW w:w="1407" w:type="pct"/>
            <w:tcBorders>
              <w:top w:val="single" w:color="auto" w:sz="8" w:space="0"/>
              <w:left w:val="nil"/>
              <w:bottom w:val="single" w:color="auto" w:sz="8" w:space="0"/>
              <w:right w:val="single" w:color="auto" w:sz="4" w:space="0"/>
            </w:tcBorders>
            <w:noWrap w:val="0"/>
            <w:vAlign w:val="center"/>
          </w:tcPr>
          <w:p w14:paraId="3FB36C04">
            <w:pPr>
              <w:shd w:val="clear" w:color="auto" w:fill="auto"/>
              <w:tabs>
                <w:tab w:val="left" w:pos="55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交货期</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日历天</w:t>
            </w:r>
            <w:r>
              <w:rPr>
                <w:rFonts w:hint="eastAsia" w:ascii="宋体" w:hAnsi="宋体" w:eastAsia="宋体" w:cs="宋体"/>
                <w:color w:val="auto"/>
                <w:sz w:val="24"/>
                <w:highlight w:val="none"/>
                <w:lang w:eastAsia="zh-CN"/>
              </w:rPr>
              <w:t>）</w:t>
            </w:r>
          </w:p>
        </w:tc>
        <w:tc>
          <w:tcPr>
            <w:tcW w:w="1059" w:type="pct"/>
            <w:tcBorders>
              <w:top w:val="single" w:color="auto" w:sz="8" w:space="0"/>
              <w:left w:val="single" w:color="auto" w:sz="4" w:space="0"/>
              <w:bottom w:val="single" w:color="auto" w:sz="8" w:space="0"/>
              <w:right w:val="single" w:color="auto" w:sz="4" w:space="0"/>
            </w:tcBorders>
            <w:noWrap w:val="0"/>
            <w:vAlign w:val="center"/>
          </w:tcPr>
          <w:p w14:paraId="22CB4887">
            <w:pPr>
              <w:shd w:val="clear" w:color="auto" w:fill="auto"/>
              <w:tabs>
                <w:tab w:val="left" w:pos="55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质保期（年）</w:t>
            </w:r>
          </w:p>
        </w:tc>
        <w:tc>
          <w:tcPr>
            <w:tcW w:w="572" w:type="pct"/>
            <w:tcBorders>
              <w:top w:val="single" w:color="auto" w:sz="8" w:space="0"/>
              <w:left w:val="single" w:color="auto" w:sz="4" w:space="0"/>
              <w:bottom w:val="single" w:color="auto" w:sz="8" w:space="0"/>
              <w:right w:val="single" w:color="auto" w:sz="8" w:space="0"/>
            </w:tcBorders>
            <w:noWrap w:val="0"/>
            <w:vAlign w:val="center"/>
          </w:tcPr>
          <w:p w14:paraId="4F12EA25">
            <w:pPr>
              <w:shd w:val="clear" w:color="auto" w:fill="auto"/>
              <w:tabs>
                <w:tab w:val="left" w:pos="55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6C9D5A71">
        <w:tblPrEx>
          <w:tblCellMar>
            <w:top w:w="0" w:type="dxa"/>
            <w:left w:w="0" w:type="dxa"/>
            <w:bottom w:w="0" w:type="dxa"/>
            <w:right w:w="0" w:type="dxa"/>
          </w:tblCellMar>
        </w:tblPrEx>
        <w:trPr>
          <w:cantSplit/>
          <w:trHeight w:val="1983" w:hRule="atLeast"/>
          <w:jc w:val="center"/>
        </w:trPr>
        <w:tc>
          <w:tcPr>
            <w:tcW w:w="1960" w:type="pct"/>
            <w:tcBorders>
              <w:top w:val="single" w:color="auto" w:sz="8" w:space="0"/>
              <w:left w:val="single" w:color="auto" w:sz="8" w:space="0"/>
              <w:bottom w:val="single" w:color="auto" w:sz="4" w:space="0"/>
              <w:right w:val="single" w:color="auto" w:sz="4" w:space="0"/>
            </w:tcBorders>
            <w:noWrap w:val="0"/>
            <w:vAlign w:val="center"/>
          </w:tcPr>
          <w:p w14:paraId="1D0A1D44">
            <w:pPr>
              <w:shd w:val="clear" w:color="auto" w:fill="auto"/>
              <w:tabs>
                <w:tab w:val="left" w:pos="5580"/>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p>
          <w:p w14:paraId="5BD07136">
            <w:pPr>
              <w:shd w:val="clear" w:color="auto" w:fill="auto"/>
              <w:tabs>
                <w:tab w:val="left" w:pos="5580"/>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小写：</w:t>
            </w:r>
          </w:p>
        </w:tc>
        <w:tc>
          <w:tcPr>
            <w:tcW w:w="1407" w:type="pct"/>
            <w:tcBorders>
              <w:top w:val="single" w:color="auto" w:sz="8" w:space="0"/>
              <w:left w:val="nil"/>
              <w:bottom w:val="single" w:color="auto" w:sz="4" w:space="0"/>
              <w:right w:val="single" w:color="auto" w:sz="4" w:space="0"/>
            </w:tcBorders>
            <w:noWrap w:val="0"/>
            <w:vAlign w:val="center"/>
          </w:tcPr>
          <w:p w14:paraId="42EE5708">
            <w:pPr>
              <w:shd w:val="clear" w:color="auto" w:fill="auto"/>
              <w:tabs>
                <w:tab w:val="left" w:pos="5580"/>
              </w:tabs>
              <w:spacing w:line="360" w:lineRule="auto"/>
              <w:ind w:left="1079" w:leftChars="257" w:hanging="540"/>
              <w:jc w:val="center"/>
              <w:rPr>
                <w:rFonts w:hint="eastAsia" w:ascii="宋体" w:hAnsi="宋体" w:eastAsia="宋体" w:cs="宋体"/>
                <w:color w:val="auto"/>
                <w:sz w:val="24"/>
                <w:highlight w:val="none"/>
              </w:rPr>
            </w:pPr>
          </w:p>
        </w:tc>
        <w:tc>
          <w:tcPr>
            <w:tcW w:w="1059" w:type="pct"/>
            <w:tcBorders>
              <w:top w:val="single" w:color="auto" w:sz="8" w:space="0"/>
              <w:left w:val="single" w:color="auto" w:sz="4" w:space="0"/>
              <w:bottom w:val="single" w:color="auto" w:sz="4" w:space="0"/>
              <w:right w:val="single" w:color="auto" w:sz="4" w:space="0"/>
            </w:tcBorders>
            <w:noWrap w:val="0"/>
            <w:vAlign w:val="center"/>
          </w:tcPr>
          <w:p w14:paraId="2F77C1B5">
            <w:pPr>
              <w:shd w:val="clear" w:color="auto" w:fill="auto"/>
              <w:tabs>
                <w:tab w:val="left" w:pos="5580"/>
              </w:tabs>
              <w:spacing w:line="360" w:lineRule="auto"/>
              <w:ind w:left="1079" w:leftChars="257" w:hanging="540"/>
              <w:jc w:val="center"/>
              <w:rPr>
                <w:rFonts w:hint="eastAsia" w:ascii="宋体" w:hAnsi="宋体" w:eastAsia="宋体" w:cs="宋体"/>
                <w:color w:val="auto"/>
                <w:sz w:val="24"/>
                <w:highlight w:val="none"/>
              </w:rPr>
            </w:pPr>
          </w:p>
        </w:tc>
        <w:tc>
          <w:tcPr>
            <w:tcW w:w="572" w:type="pct"/>
            <w:tcBorders>
              <w:top w:val="single" w:color="auto" w:sz="8" w:space="0"/>
              <w:left w:val="single" w:color="auto" w:sz="4" w:space="0"/>
              <w:bottom w:val="single" w:color="auto" w:sz="4" w:space="0"/>
              <w:right w:val="single" w:color="auto" w:sz="8" w:space="0"/>
            </w:tcBorders>
            <w:noWrap w:val="0"/>
            <w:vAlign w:val="center"/>
          </w:tcPr>
          <w:p w14:paraId="1F40101C">
            <w:pPr>
              <w:shd w:val="clear" w:color="auto" w:fill="auto"/>
              <w:tabs>
                <w:tab w:val="left" w:pos="5580"/>
              </w:tabs>
              <w:spacing w:line="360" w:lineRule="auto"/>
              <w:ind w:left="1079" w:leftChars="257" w:hanging="540"/>
              <w:jc w:val="center"/>
              <w:rPr>
                <w:rFonts w:hint="eastAsia" w:ascii="宋体" w:hAnsi="宋体" w:eastAsia="宋体" w:cs="宋体"/>
                <w:color w:val="auto"/>
                <w:sz w:val="24"/>
                <w:highlight w:val="none"/>
              </w:rPr>
            </w:pPr>
          </w:p>
        </w:tc>
      </w:tr>
    </w:tbl>
    <w:p w14:paraId="1CAF3C4F">
      <w:pPr>
        <w:pStyle w:val="9"/>
        <w:shd w:val="clear" w:color="auto" w:fill="auto"/>
        <w:tabs>
          <w:tab w:val="left" w:pos="5580"/>
        </w:tabs>
        <w:spacing w:line="360" w:lineRule="auto"/>
        <w:ind w:left="1079" w:leftChars="257" w:hanging="540"/>
        <w:rPr>
          <w:rFonts w:hint="eastAsia" w:ascii="宋体" w:hAnsi="宋体" w:eastAsia="宋体" w:cs="宋体"/>
          <w:color w:val="auto"/>
          <w:sz w:val="24"/>
          <w:highlight w:val="none"/>
        </w:rPr>
      </w:pPr>
    </w:p>
    <w:p w14:paraId="52608828">
      <w:pPr>
        <w:pStyle w:val="9"/>
        <w:shd w:val="clear" w:color="auto" w:fill="auto"/>
        <w:tabs>
          <w:tab w:val="left" w:pos="5580"/>
        </w:tabs>
        <w:spacing w:line="360" w:lineRule="auto"/>
        <w:ind w:left="1079" w:leftChars="257" w:hanging="540"/>
        <w:rPr>
          <w:rFonts w:hint="eastAsia" w:ascii="宋体" w:hAnsi="宋体" w:eastAsia="宋体" w:cs="宋体"/>
          <w:color w:val="auto"/>
          <w:sz w:val="24"/>
          <w:highlight w:val="none"/>
          <w:u w:val="single"/>
        </w:rPr>
      </w:pPr>
    </w:p>
    <w:p w14:paraId="5FAB904C">
      <w:pPr>
        <w:shd w:val="clear" w:color="auto" w:fill="auto"/>
        <w:spacing w:line="360" w:lineRule="auto"/>
        <w:ind w:firstLine="1920" w:firstLineChars="8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投标人（盖公章）：</w:t>
      </w:r>
      <w:r>
        <w:rPr>
          <w:rFonts w:hint="eastAsia" w:ascii="宋体" w:hAnsi="宋体" w:eastAsia="宋体" w:cs="宋体"/>
          <w:color w:val="auto"/>
          <w:sz w:val="24"/>
          <w:highlight w:val="none"/>
          <w:u w:val="single"/>
        </w:rPr>
        <w:t xml:space="preserve">                            </w:t>
      </w:r>
    </w:p>
    <w:p w14:paraId="7F0A41CB">
      <w:pPr>
        <w:shd w:val="clear" w:color="auto" w:fill="auto"/>
        <w:spacing w:line="360" w:lineRule="auto"/>
        <w:ind w:firstLine="1920" w:firstLineChars="8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法定代表人或授权代表（签字或盖章）：</w:t>
      </w:r>
      <w:r>
        <w:rPr>
          <w:rFonts w:hint="eastAsia" w:ascii="宋体" w:hAnsi="宋体" w:eastAsia="宋体" w:cs="宋体"/>
          <w:color w:val="auto"/>
          <w:sz w:val="24"/>
          <w:highlight w:val="none"/>
          <w:u w:val="single"/>
        </w:rPr>
        <w:t xml:space="preserve">          </w:t>
      </w:r>
    </w:p>
    <w:p w14:paraId="75111F27">
      <w:pPr>
        <w:pStyle w:val="9"/>
        <w:shd w:val="clear" w:color="auto" w:fill="auto"/>
        <w:tabs>
          <w:tab w:val="left" w:pos="5580"/>
        </w:tabs>
        <w:spacing w:line="360" w:lineRule="auto"/>
        <w:ind w:firstLine="1920" w:firstLineChars="800"/>
        <w:rPr>
          <w:rFonts w:hint="eastAsia" w:ascii="宋体" w:hAnsi="宋体" w:eastAsia="宋体" w:cs="宋体"/>
          <w:color w:val="auto"/>
          <w:sz w:val="24"/>
          <w:highlight w:val="none"/>
        </w:rPr>
      </w:pPr>
      <w:r>
        <w:rPr>
          <w:rFonts w:hint="eastAsia" w:hAnsi="宋体" w:eastAsia="宋体" w:cs="宋体"/>
          <w:color w:val="auto"/>
          <w:sz w:val="24"/>
          <w:highlight w:val="none"/>
        </w:rPr>
        <w:t>日    期：</w:t>
      </w:r>
      <w:r>
        <w:rPr>
          <w:rFonts w:hint="eastAsia" w:hAnsi="宋体" w:eastAsia="宋体" w:cs="宋体"/>
          <w:color w:val="auto"/>
          <w:sz w:val="32"/>
          <w:highlight w:val="none"/>
          <w:u w:val="single"/>
        </w:rPr>
        <w:t xml:space="preserve">                           </w:t>
      </w:r>
    </w:p>
    <w:p w14:paraId="370733B5">
      <w:pPr>
        <w:pStyle w:val="9"/>
        <w:shd w:val="clear" w:color="auto" w:fill="auto"/>
        <w:tabs>
          <w:tab w:val="left" w:pos="5580"/>
        </w:tabs>
        <w:spacing w:line="360" w:lineRule="auto"/>
        <w:ind w:left="1079" w:leftChars="257" w:hanging="540"/>
        <w:rPr>
          <w:rFonts w:hint="eastAsia" w:ascii="宋体" w:hAnsi="宋体" w:eastAsia="宋体" w:cs="宋体"/>
          <w:color w:val="auto"/>
          <w:sz w:val="24"/>
          <w:highlight w:val="none"/>
          <w:lang w:eastAsia="zh-CN"/>
        </w:rPr>
      </w:pPr>
    </w:p>
    <w:p w14:paraId="3552F855">
      <w:pPr>
        <w:pStyle w:val="9"/>
        <w:shd w:val="clear" w:color="auto" w:fill="auto"/>
        <w:tabs>
          <w:tab w:val="left" w:pos="5580"/>
        </w:tabs>
        <w:spacing w:line="360" w:lineRule="auto"/>
        <w:ind w:left="1079" w:leftChars="257" w:hanging="540"/>
        <w:rPr>
          <w:rFonts w:hint="eastAsia" w:ascii="宋体" w:hAnsi="宋体" w:eastAsia="宋体" w:cs="宋体"/>
          <w:color w:val="auto"/>
          <w:sz w:val="24"/>
          <w:highlight w:val="none"/>
          <w:lang w:eastAsia="zh-CN"/>
        </w:rPr>
      </w:pPr>
    </w:p>
    <w:p w14:paraId="13EB85FC">
      <w:pPr>
        <w:pStyle w:val="9"/>
        <w:shd w:val="clear" w:color="auto" w:fill="auto"/>
        <w:tabs>
          <w:tab w:val="left" w:pos="5580"/>
        </w:tabs>
        <w:spacing w:line="360" w:lineRule="auto"/>
        <w:ind w:left="1079" w:leftChars="257" w:hanging="540"/>
        <w:rPr>
          <w:rFonts w:hint="eastAsia" w:ascii="宋体" w:hAnsi="宋体" w:eastAsia="宋体" w:cs="宋体"/>
          <w:b/>
          <w:color w:val="auto"/>
          <w:sz w:val="24"/>
          <w:highlight w:val="none"/>
        </w:rPr>
      </w:pPr>
      <w:r>
        <w:rPr>
          <w:rFonts w:hint="eastAsia" w:ascii="宋体" w:hAnsi="宋体" w:eastAsia="宋体" w:cs="宋体"/>
          <w:color w:val="auto"/>
          <w:sz w:val="24"/>
          <w:highlight w:val="none"/>
          <w:lang w:eastAsia="zh-CN"/>
        </w:rPr>
        <w:t>注：</w:t>
      </w:r>
      <w:r>
        <w:rPr>
          <w:rFonts w:hint="eastAsia" w:ascii="宋体" w:hAnsi="宋体" w:eastAsia="宋体" w:cs="宋体"/>
          <w:color w:val="auto"/>
          <w:sz w:val="24"/>
          <w:highlight w:val="none"/>
        </w:rPr>
        <w:t>此表中，投标总价应和投标分项报价表的总价相一致。</w:t>
      </w:r>
    </w:p>
    <w:p w14:paraId="5C49F4A8">
      <w:pPr>
        <w:pStyle w:val="9"/>
        <w:shd w:val="clear" w:color="auto" w:fill="auto"/>
        <w:spacing w:line="360" w:lineRule="auto"/>
        <w:ind w:firstLine="480" w:firstLineChars="200"/>
        <w:rPr>
          <w:rFonts w:hint="eastAsia" w:ascii="宋体" w:hAnsi="宋体" w:eastAsia="宋体" w:cs="宋体"/>
          <w:color w:val="auto"/>
          <w:sz w:val="24"/>
          <w:highlight w:val="none"/>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34FAC397">
      <w:pPr>
        <w:pStyle w:val="5"/>
        <w:shd w:val="clear" w:color="auto" w:fill="auto"/>
        <w:ind w:firstLine="0" w:firstLineChars="0"/>
        <w:jc w:val="center"/>
        <w:rPr>
          <w:rFonts w:hint="eastAsia" w:ascii="宋体" w:hAnsi="宋体" w:eastAsia="宋体" w:cs="宋体"/>
          <w:color w:val="auto"/>
          <w:sz w:val="32"/>
          <w:szCs w:val="32"/>
          <w:highlight w:val="none"/>
        </w:rPr>
      </w:pPr>
      <w:bookmarkStart w:id="310" w:name="_Toc19038"/>
      <w:bookmarkStart w:id="311" w:name="_Toc12653"/>
      <w:bookmarkStart w:id="312" w:name="_Toc19020"/>
      <w:r>
        <w:rPr>
          <w:rFonts w:hint="eastAsia" w:ascii="宋体" w:hAnsi="宋体" w:eastAsia="宋体" w:cs="宋体"/>
          <w:color w:val="auto"/>
          <w:sz w:val="32"/>
          <w:szCs w:val="32"/>
          <w:highlight w:val="none"/>
        </w:rPr>
        <w:t>投标分项报价表</w:t>
      </w:r>
      <w:bookmarkEnd w:id="310"/>
      <w:bookmarkEnd w:id="311"/>
      <w:bookmarkEnd w:id="312"/>
    </w:p>
    <w:p w14:paraId="2450ACDC">
      <w:pPr>
        <w:pStyle w:val="8"/>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项目编号：</w:t>
      </w:r>
    </w:p>
    <w:p w14:paraId="60A84A0C">
      <w:pPr>
        <w:pStyle w:val="8"/>
        <w:shd w:val="clear" w:color="auto" w:fill="auto"/>
        <w:rPr>
          <w:rFonts w:hint="eastAsia" w:eastAsia="宋体" w:cs="宋体"/>
          <w:color w:val="auto"/>
          <w:highlight w:val="none"/>
        </w:rPr>
      </w:pPr>
      <w:r>
        <w:rPr>
          <w:rFonts w:hint="eastAsia" w:ascii="宋体" w:hAnsi="宋体" w:eastAsia="宋体" w:cs="宋体"/>
          <w:color w:val="auto"/>
          <w:highlight w:val="none"/>
        </w:rPr>
        <w:t>项目名称：</w:t>
      </w:r>
    </w:p>
    <w:p w14:paraId="324613B0">
      <w:pPr>
        <w:pStyle w:val="4"/>
        <w:shd w:val="clear" w:color="auto" w:fill="auto"/>
        <w:rPr>
          <w:rFonts w:hint="eastAsia" w:ascii="宋体" w:hAnsi="宋体" w:eastAsia="宋体" w:cs="宋体"/>
          <w:color w:val="auto"/>
          <w:highlight w:val="none"/>
        </w:rPr>
      </w:pPr>
    </w:p>
    <w:tbl>
      <w:tblPr>
        <w:tblStyle w:val="1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3"/>
        <w:gridCol w:w="1410"/>
        <w:gridCol w:w="807"/>
        <w:gridCol w:w="1323"/>
        <w:gridCol w:w="841"/>
        <w:gridCol w:w="1116"/>
        <w:gridCol w:w="980"/>
        <w:gridCol w:w="980"/>
      </w:tblGrid>
      <w:tr w14:paraId="74BF9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noWrap w:val="0"/>
            <w:vAlign w:val="center"/>
          </w:tcPr>
          <w:p w14:paraId="1424B2C2">
            <w:pPr>
              <w:shd w:val="clear" w:color="auto" w:fill="auto"/>
              <w:adjustRightInd w:val="0"/>
              <w:snapToGrid w:val="0"/>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序号</w:t>
            </w:r>
          </w:p>
        </w:tc>
        <w:tc>
          <w:tcPr>
            <w:tcW w:w="830" w:type="pct"/>
            <w:noWrap w:val="0"/>
            <w:vAlign w:val="center"/>
          </w:tcPr>
          <w:p w14:paraId="78DBB44C">
            <w:pPr>
              <w:shd w:val="clear" w:color="auto" w:fill="auto"/>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产品</w:t>
            </w:r>
          </w:p>
          <w:p w14:paraId="0D5315EF">
            <w:pPr>
              <w:shd w:val="clear" w:color="auto" w:fill="auto"/>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名称</w:t>
            </w:r>
          </w:p>
        </w:tc>
        <w:tc>
          <w:tcPr>
            <w:tcW w:w="475" w:type="pct"/>
            <w:noWrap w:val="0"/>
            <w:vAlign w:val="center"/>
          </w:tcPr>
          <w:p w14:paraId="0927F5A2">
            <w:pPr>
              <w:shd w:val="clear" w:color="auto" w:fill="auto"/>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规格</w:t>
            </w:r>
          </w:p>
          <w:p w14:paraId="124A9F42">
            <w:pPr>
              <w:shd w:val="clear" w:color="auto" w:fill="auto"/>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型号</w:t>
            </w:r>
          </w:p>
        </w:tc>
        <w:tc>
          <w:tcPr>
            <w:tcW w:w="779" w:type="pct"/>
            <w:noWrap w:val="0"/>
            <w:vAlign w:val="center"/>
          </w:tcPr>
          <w:p w14:paraId="1D270D7B">
            <w:pPr>
              <w:shd w:val="clear" w:color="auto" w:fill="auto"/>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制造</w:t>
            </w:r>
          </w:p>
          <w:p w14:paraId="78253CFF">
            <w:pPr>
              <w:shd w:val="clear" w:color="auto" w:fill="auto"/>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厂家</w:t>
            </w:r>
          </w:p>
        </w:tc>
        <w:tc>
          <w:tcPr>
            <w:tcW w:w="495" w:type="pct"/>
            <w:noWrap w:val="0"/>
            <w:vAlign w:val="center"/>
          </w:tcPr>
          <w:p w14:paraId="204A7D67">
            <w:pPr>
              <w:shd w:val="clear" w:color="auto" w:fill="auto"/>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656" w:type="pct"/>
            <w:noWrap w:val="0"/>
            <w:vAlign w:val="center"/>
          </w:tcPr>
          <w:p w14:paraId="4B96FFAC">
            <w:pPr>
              <w:shd w:val="clear" w:color="auto" w:fill="auto"/>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元</w:t>
            </w:r>
            <w:r>
              <w:rPr>
                <w:rFonts w:hint="eastAsia" w:ascii="宋体" w:hAnsi="宋体" w:eastAsia="宋体" w:cs="宋体"/>
                <w:color w:val="auto"/>
                <w:sz w:val="24"/>
                <w:highlight w:val="none"/>
                <w:lang w:eastAsia="zh-CN"/>
              </w:rPr>
              <w:t>）</w:t>
            </w:r>
          </w:p>
        </w:tc>
        <w:tc>
          <w:tcPr>
            <w:tcW w:w="577" w:type="pct"/>
            <w:noWrap w:val="0"/>
            <w:vAlign w:val="center"/>
          </w:tcPr>
          <w:p w14:paraId="71C71662">
            <w:pPr>
              <w:shd w:val="clear" w:color="auto" w:fill="auto"/>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小计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元</w:t>
            </w:r>
            <w:r>
              <w:rPr>
                <w:rFonts w:hint="eastAsia" w:ascii="宋体" w:hAnsi="宋体" w:eastAsia="宋体" w:cs="宋体"/>
                <w:color w:val="auto"/>
                <w:sz w:val="24"/>
                <w:highlight w:val="none"/>
                <w:lang w:eastAsia="zh-CN"/>
              </w:rPr>
              <w:t>）</w:t>
            </w:r>
          </w:p>
        </w:tc>
        <w:tc>
          <w:tcPr>
            <w:tcW w:w="577" w:type="pct"/>
            <w:noWrap w:val="0"/>
            <w:vAlign w:val="center"/>
          </w:tcPr>
          <w:p w14:paraId="05F3C0C2">
            <w:pPr>
              <w:shd w:val="clear" w:color="auto" w:fill="auto"/>
              <w:adjustRightInd w:val="0"/>
              <w:snapToGrid w:val="0"/>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备注</w:t>
            </w:r>
          </w:p>
        </w:tc>
      </w:tr>
      <w:tr w14:paraId="3A23C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noWrap w:val="0"/>
            <w:vAlign w:val="center"/>
          </w:tcPr>
          <w:p w14:paraId="7B29B560">
            <w:pPr>
              <w:widowControl/>
              <w:numPr>
                <w:ilvl w:val="0"/>
                <w:numId w:val="0"/>
              </w:numPr>
              <w:shd w:val="clear" w:color="auto" w:fill="auto"/>
              <w:ind w:left="425" w:leftChars="0" w:hanging="425" w:firstLineChars="0"/>
              <w:jc w:val="center"/>
              <w:textAlignment w:val="center"/>
              <w:rPr>
                <w:rFonts w:hint="eastAsia" w:ascii="宋体" w:hAnsi="宋体" w:eastAsia="宋体" w:cs="宋体"/>
                <w:color w:val="auto"/>
                <w:kern w:val="2"/>
                <w:sz w:val="24"/>
                <w:szCs w:val="24"/>
                <w:highlight w:val="none"/>
                <w:lang w:val="en-US" w:eastAsia="zh-CN" w:bidi="ar-SA"/>
              </w:rPr>
            </w:pPr>
          </w:p>
        </w:tc>
        <w:tc>
          <w:tcPr>
            <w:tcW w:w="830" w:type="pct"/>
            <w:noWrap w:val="0"/>
            <w:vAlign w:val="center"/>
          </w:tcPr>
          <w:p w14:paraId="0F843C80">
            <w:pPr>
              <w:widowControl/>
              <w:shd w:val="clear" w:color="auto" w:fill="auto"/>
              <w:jc w:val="center"/>
              <w:textAlignment w:val="center"/>
              <w:rPr>
                <w:rFonts w:hint="eastAsia" w:ascii="宋体" w:hAnsi="宋体" w:eastAsia="宋体" w:cs="宋体"/>
                <w:color w:val="auto"/>
                <w:kern w:val="2"/>
                <w:sz w:val="24"/>
                <w:szCs w:val="24"/>
                <w:highlight w:val="none"/>
                <w:lang w:val="en-US" w:eastAsia="zh-CN" w:bidi="ar-SA"/>
              </w:rPr>
            </w:pPr>
          </w:p>
        </w:tc>
        <w:tc>
          <w:tcPr>
            <w:tcW w:w="475" w:type="pct"/>
            <w:noWrap w:val="0"/>
            <w:vAlign w:val="center"/>
          </w:tcPr>
          <w:p w14:paraId="4FDF053D">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779" w:type="pct"/>
            <w:noWrap w:val="0"/>
            <w:vAlign w:val="center"/>
          </w:tcPr>
          <w:p w14:paraId="1C629B74">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495" w:type="pct"/>
            <w:noWrap w:val="0"/>
            <w:vAlign w:val="center"/>
          </w:tcPr>
          <w:p w14:paraId="7ACB983B">
            <w:pPr>
              <w:shd w:val="clear" w:color="auto" w:fill="auto"/>
              <w:adjustRightInd w:val="0"/>
              <w:snapToGrid w:val="0"/>
              <w:spacing w:line="360" w:lineRule="auto"/>
              <w:jc w:val="center"/>
              <w:rPr>
                <w:rFonts w:hint="eastAsia" w:ascii="宋体" w:hAnsi="宋体" w:eastAsia="宋体" w:cs="宋体"/>
                <w:color w:val="auto"/>
                <w:sz w:val="24"/>
                <w:szCs w:val="24"/>
                <w:highlight w:val="none"/>
                <w:lang w:val="en-US" w:eastAsia="zh-CN"/>
              </w:rPr>
            </w:pPr>
          </w:p>
        </w:tc>
        <w:tc>
          <w:tcPr>
            <w:tcW w:w="656" w:type="pct"/>
            <w:noWrap w:val="0"/>
            <w:vAlign w:val="center"/>
          </w:tcPr>
          <w:p w14:paraId="4450836F">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26B32AFD">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081C5FC1">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r>
      <w:tr w14:paraId="3AC37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noWrap w:val="0"/>
            <w:vAlign w:val="center"/>
          </w:tcPr>
          <w:p w14:paraId="472164A0">
            <w:pPr>
              <w:widowControl/>
              <w:numPr>
                <w:ilvl w:val="0"/>
                <w:numId w:val="0"/>
              </w:numPr>
              <w:shd w:val="clear" w:color="auto" w:fill="auto"/>
              <w:ind w:left="425" w:leftChars="0" w:hanging="425" w:firstLineChars="0"/>
              <w:jc w:val="center"/>
              <w:textAlignment w:val="center"/>
              <w:rPr>
                <w:rFonts w:hint="eastAsia" w:ascii="宋体" w:hAnsi="宋体" w:eastAsia="宋体" w:cs="宋体"/>
                <w:color w:val="auto"/>
                <w:kern w:val="2"/>
                <w:sz w:val="24"/>
                <w:szCs w:val="24"/>
                <w:highlight w:val="none"/>
                <w:lang w:val="en-US" w:eastAsia="zh-CN" w:bidi="ar-SA"/>
              </w:rPr>
            </w:pPr>
          </w:p>
        </w:tc>
        <w:tc>
          <w:tcPr>
            <w:tcW w:w="830" w:type="pct"/>
            <w:noWrap w:val="0"/>
            <w:vAlign w:val="center"/>
          </w:tcPr>
          <w:p w14:paraId="62991F26">
            <w:pPr>
              <w:widowControl/>
              <w:shd w:val="clear" w:color="auto" w:fill="auto"/>
              <w:jc w:val="center"/>
              <w:textAlignment w:val="center"/>
              <w:rPr>
                <w:rFonts w:hint="eastAsia" w:ascii="宋体" w:hAnsi="宋体" w:eastAsia="宋体" w:cs="宋体"/>
                <w:color w:val="auto"/>
                <w:kern w:val="2"/>
                <w:sz w:val="24"/>
                <w:szCs w:val="24"/>
                <w:highlight w:val="none"/>
                <w:lang w:val="en-US" w:eastAsia="zh-CN" w:bidi="ar-SA"/>
              </w:rPr>
            </w:pPr>
          </w:p>
        </w:tc>
        <w:tc>
          <w:tcPr>
            <w:tcW w:w="475" w:type="pct"/>
            <w:noWrap w:val="0"/>
            <w:vAlign w:val="center"/>
          </w:tcPr>
          <w:p w14:paraId="7D097493">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779" w:type="pct"/>
            <w:noWrap w:val="0"/>
            <w:vAlign w:val="center"/>
          </w:tcPr>
          <w:p w14:paraId="182BF255">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495" w:type="pct"/>
            <w:noWrap w:val="0"/>
            <w:vAlign w:val="center"/>
          </w:tcPr>
          <w:p w14:paraId="771E137B">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656" w:type="pct"/>
            <w:noWrap w:val="0"/>
            <w:vAlign w:val="center"/>
          </w:tcPr>
          <w:p w14:paraId="5B811326">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22E44187">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702BCF8F">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r>
      <w:tr w14:paraId="0AD33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noWrap w:val="0"/>
            <w:vAlign w:val="center"/>
          </w:tcPr>
          <w:p w14:paraId="0D2F5FAB">
            <w:pPr>
              <w:widowControl/>
              <w:numPr>
                <w:ilvl w:val="0"/>
                <w:numId w:val="0"/>
              </w:numPr>
              <w:shd w:val="clear" w:color="auto" w:fill="auto"/>
              <w:ind w:left="425" w:leftChars="0" w:hanging="425" w:firstLineChars="0"/>
              <w:jc w:val="center"/>
              <w:textAlignment w:val="center"/>
              <w:rPr>
                <w:rFonts w:hint="eastAsia" w:ascii="宋体" w:hAnsi="宋体" w:eastAsia="宋体" w:cs="宋体"/>
                <w:color w:val="auto"/>
                <w:kern w:val="2"/>
                <w:sz w:val="24"/>
                <w:szCs w:val="24"/>
                <w:highlight w:val="none"/>
                <w:lang w:val="en-US" w:eastAsia="zh-CN" w:bidi="ar-SA"/>
              </w:rPr>
            </w:pPr>
          </w:p>
        </w:tc>
        <w:tc>
          <w:tcPr>
            <w:tcW w:w="830" w:type="pct"/>
            <w:noWrap w:val="0"/>
            <w:vAlign w:val="center"/>
          </w:tcPr>
          <w:p w14:paraId="5800EE50">
            <w:pPr>
              <w:widowControl/>
              <w:shd w:val="clear" w:color="auto" w:fill="auto"/>
              <w:jc w:val="center"/>
              <w:textAlignment w:val="center"/>
              <w:rPr>
                <w:rFonts w:hint="eastAsia" w:ascii="宋体" w:hAnsi="宋体" w:eastAsia="宋体" w:cs="宋体"/>
                <w:color w:val="auto"/>
                <w:kern w:val="2"/>
                <w:sz w:val="24"/>
                <w:szCs w:val="24"/>
                <w:highlight w:val="none"/>
                <w:lang w:val="en-US" w:eastAsia="zh-CN" w:bidi="ar-SA"/>
              </w:rPr>
            </w:pPr>
          </w:p>
        </w:tc>
        <w:tc>
          <w:tcPr>
            <w:tcW w:w="475" w:type="pct"/>
            <w:noWrap w:val="0"/>
            <w:vAlign w:val="center"/>
          </w:tcPr>
          <w:p w14:paraId="4040C539">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779" w:type="pct"/>
            <w:noWrap w:val="0"/>
            <w:vAlign w:val="center"/>
          </w:tcPr>
          <w:p w14:paraId="611A71A6">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495" w:type="pct"/>
            <w:noWrap w:val="0"/>
            <w:vAlign w:val="center"/>
          </w:tcPr>
          <w:p w14:paraId="17207BE0">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656" w:type="pct"/>
            <w:noWrap w:val="0"/>
            <w:vAlign w:val="center"/>
          </w:tcPr>
          <w:p w14:paraId="6A057A28">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3A1710D0">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3E64E345">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r>
      <w:tr w14:paraId="4D97B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noWrap w:val="0"/>
            <w:vAlign w:val="center"/>
          </w:tcPr>
          <w:p w14:paraId="5314DC70">
            <w:pPr>
              <w:widowControl/>
              <w:numPr>
                <w:ilvl w:val="0"/>
                <w:numId w:val="0"/>
              </w:numPr>
              <w:shd w:val="clear" w:color="auto" w:fill="auto"/>
              <w:ind w:left="425" w:leftChars="0" w:hanging="425" w:firstLineChars="0"/>
              <w:jc w:val="center"/>
              <w:textAlignment w:val="center"/>
              <w:rPr>
                <w:rFonts w:hint="eastAsia" w:ascii="宋体" w:hAnsi="宋体" w:eastAsia="宋体" w:cs="宋体"/>
                <w:color w:val="auto"/>
                <w:kern w:val="2"/>
                <w:sz w:val="24"/>
                <w:szCs w:val="24"/>
                <w:highlight w:val="none"/>
                <w:lang w:val="en-US" w:eastAsia="zh-CN" w:bidi="ar-SA"/>
              </w:rPr>
            </w:pPr>
          </w:p>
        </w:tc>
        <w:tc>
          <w:tcPr>
            <w:tcW w:w="830" w:type="pct"/>
            <w:noWrap w:val="0"/>
            <w:vAlign w:val="center"/>
          </w:tcPr>
          <w:p w14:paraId="305CDA9A">
            <w:pPr>
              <w:widowControl/>
              <w:shd w:val="clear" w:color="auto" w:fill="auto"/>
              <w:jc w:val="center"/>
              <w:textAlignment w:val="center"/>
              <w:rPr>
                <w:rFonts w:hint="eastAsia" w:ascii="宋体" w:hAnsi="宋体" w:eastAsia="宋体" w:cs="宋体"/>
                <w:color w:val="auto"/>
                <w:kern w:val="2"/>
                <w:sz w:val="24"/>
                <w:szCs w:val="24"/>
                <w:highlight w:val="none"/>
                <w:lang w:val="en-US" w:eastAsia="zh-CN" w:bidi="ar-SA"/>
              </w:rPr>
            </w:pPr>
          </w:p>
        </w:tc>
        <w:tc>
          <w:tcPr>
            <w:tcW w:w="475" w:type="pct"/>
            <w:noWrap w:val="0"/>
            <w:vAlign w:val="center"/>
          </w:tcPr>
          <w:p w14:paraId="77628286">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779" w:type="pct"/>
            <w:noWrap w:val="0"/>
            <w:vAlign w:val="center"/>
          </w:tcPr>
          <w:p w14:paraId="746EB806">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495" w:type="pct"/>
            <w:noWrap w:val="0"/>
            <w:vAlign w:val="center"/>
          </w:tcPr>
          <w:p w14:paraId="0587F4E3">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656" w:type="pct"/>
            <w:noWrap w:val="0"/>
            <w:vAlign w:val="center"/>
          </w:tcPr>
          <w:p w14:paraId="054898C8">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4A2E52BB">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7437EE00">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r>
      <w:tr w14:paraId="62163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noWrap w:val="0"/>
            <w:vAlign w:val="center"/>
          </w:tcPr>
          <w:p w14:paraId="7E629760">
            <w:pPr>
              <w:widowControl/>
              <w:numPr>
                <w:ilvl w:val="0"/>
                <w:numId w:val="0"/>
              </w:numPr>
              <w:shd w:val="clear" w:color="auto" w:fill="auto"/>
              <w:ind w:left="425" w:leftChars="0" w:hanging="425" w:firstLineChars="0"/>
              <w:jc w:val="center"/>
              <w:textAlignment w:val="center"/>
              <w:rPr>
                <w:rFonts w:hint="eastAsia" w:ascii="宋体" w:hAnsi="宋体" w:eastAsia="宋体" w:cs="宋体"/>
                <w:color w:val="auto"/>
                <w:kern w:val="2"/>
                <w:sz w:val="24"/>
                <w:szCs w:val="24"/>
                <w:highlight w:val="none"/>
                <w:lang w:val="en-US" w:eastAsia="zh-CN" w:bidi="ar-SA"/>
              </w:rPr>
            </w:pPr>
          </w:p>
        </w:tc>
        <w:tc>
          <w:tcPr>
            <w:tcW w:w="830" w:type="pct"/>
            <w:noWrap w:val="0"/>
            <w:vAlign w:val="center"/>
          </w:tcPr>
          <w:p w14:paraId="61EDC381">
            <w:pPr>
              <w:widowControl/>
              <w:shd w:val="clear" w:color="auto" w:fill="auto"/>
              <w:jc w:val="center"/>
              <w:textAlignment w:val="center"/>
              <w:rPr>
                <w:rFonts w:hint="eastAsia" w:ascii="宋体" w:hAnsi="宋体" w:eastAsia="宋体" w:cs="宋体"/>
                <w:color w:val="auto"/>
                <w:kern w:val="2"/>
                <w:sz w:val="24"/>
                <w:szCs w:val="24"/>
                <w:highlight w:val="none"/>
                <w:lang w:val="en-US" w:eastAsia="zh-CN" w:bidi="ar-SA"/>
              </w:rPr>
            </w:pPr>
          </w:p>
        </w:tc>
        <w:tc>
          <w:tcPr>
            <w:tcW w:w="475" w:type="pct"/>
            <w:noWrap w:val="0"/>
            <w:vAlign w:val="center"/>
          </w:tcPr>
          <w:p w14:paraId="37A0F5B4">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779" w:type="pct"/>
            <w:noWrap w:val="0"/>
            <w:vAlign w:val="center"/>
          </w:tcPr>
          <w:p w14:paraId="56F440B8">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495" w:type="pct"/>
            <w:noWrap w:val="0"/>
            <w:vAlign w:val="center"/>
          </w:tcPr>
          <w:p w14:paraId="1D732109">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656" w:type="pct"/>
            <w:noWrap w:val="0"/>
            <w:vAlign w:val="center"/>
          </w:tcPr>
          <w:p w14:paraId="01D275F7">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67ED32CF">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4C4413C4">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r>
      <w:tr w14:paraId="5334B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noWrap w:val="0"/>
            <w:vAlign w:val="center"/>
          </w:tcPr>
          <w:p w14:paraId="4BE3851D">
            <w:pPr>
              <w:widowControl/>
              <w:numPr>
                <w:ilvl w:val="0"/>
                <w:numId w:val="0"/>
              </w:numPr>
              <w:shd w:val="clear" w:color="auto" w:fill="auto"/>
              <w:ind w:left="425" w:leftChars="0" w:hanging="425" w:firstLineChars="0"/>
              <w:jc w:val="center"/>
              <w:textAlignment w:val="center"/>
              <w:rPr>
                <w:rFonts w:hint="eastAsia" w:ascii="宋体" w:hAnsi="宋体" w:eastAsia="宋体" w:cs="宋体"/>
                <w:color w:val="auto"/>
                <w:kern w:val="2"/>
                <w:sz w:val="24"/>
                <w:szCs w:val="24"/>
                <w:highlight w:val="none"/>
                <w:lang w:val="en-US" w:eastAsia="zh-CN" w:bidi="ar-SA"/>
              </w:rPr>
            </w:pPr>
          </w:p>
        </w:tc>
        <w:tc>
          <w:tcPr>
            <w:tcW w:w="830" w:type="pct"/>
            <w:noWrap w:val="0"/>
            <w:vAlign w:val="center"/>
          </w:tcPr>
          <w:p w14:paraId="2A937651">
            <w:pPr>
              <w:widowControl/>
              <w:shd w:val="clear" w:color="auto" w:fill="auto"/>
              <w:jc w:val="center"/>
              <w:textAlignment w:val="center"/>
              <w:rPr>
                <w:rFonts w:hint="eastAsia" w:ascii="宋体" w:hAnsi="宋体" w:eastAsia="宋体" w:cs="宋体"/>
                <w:color w:val="auto"/>
                <w:kern w:val="2"/>
                <w:sz w:val="24"/>
                <w:szCs w:val="24"/>
                <w:highlight w:val="none"/>
                <w:lang w:val="en-US" w:eastAsia="zh-CN" w:bidi="ar-SA"/>
              </w:rPr>
            </w:pPr>
          </w:p>
        </w:tc>
        <w:tc>
          <w:tcPr>
            <w:tcW w:w="475" w:type="pct"/>
            <w:noWrap w:val="0"/>
            <w:vAlign w:val="center"/>
          </w:tcPr>
          <w:p w14:paraId="5E71359E">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779" w:type="pct"/>
            <w:noWrap w:val="0"/>
            <w:vAlign w:val="center"/>
          </w:tcPr>
          <w:p w14:paraId="52E0137E">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495" w:type="pct"/>
            <w:noWrap w:val="0"/>
            <w:vAlign w:val="center"/>
          </w:tcPr>
          <w:p w14:paraId="3EDB40A8">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656" w:type="pct"/>
            <w:noWrap w:val="0"/>
            <w:vAlign w:val="center"/>
          </w:tcPr>
          <w:p w14:paraId="45F5166B">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27612A3F">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615BA0B8">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r>
      <w:tr w14:paraId="50222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noWrap w:val="0"/>
            <w:vAlign w:val="center"/>
          </w:tcPr>
          <w:p w14:paraId="2AFF8BD7">
            <w:pPr>
              <w:widowControl/>
              <w:numPr>
                <w:ilvl w:val="0"/>
                <w:numId w:val="0"/>
              </w:numPr>
              <w:shd w:val="clear" w:color="auto" w:fill="auto"/>
              <w:ind w:left="425" w:leftChars="0" w:hanging="425" w:firstLineChars="0"/>
              <w:jc w:val="center"/>
              <w:textAlignment w:val="center"/>
              <w:rPr>
                <w:rFonts w:hint="eastAsia" w:ascii="宋体" w:hAnsi="宋体" w:eastAsia="宋体" w:cs="宋体"/>
                <w:color w:val="auto"/>
                <w:kern w:val="2"/>
                <w:sz w:val="24"/>
                <w:szCs w:val="24"/>
                <w:highlight w:val="none"/>
                <w:lang w:val="en-US" w:eastAsia="zh-CN" w:bidi="ar-SA"/>
              </w:rPr>
            </w:pPr>
          </w:p>
        </w:tc>
        <w:tc>
          <w:tcPr>
            <w:tcW w:w="830" w:type="pct"/>
            <w:noWrap w:val="0"/>
            <w:vAlign w:val="center"/>
          </w:tcPr>
          <w:p w14:paraId="4435597B">
            <w:pPr>
              <w:widowControl/>
              <w:shd w:val="clear" w:color="auto" w:fill="auto"/>
              <w:jc w:val="center"/>
              <w:textAlignment w:val="center"/>
              <w:rPr>
                <w:rFonts w:hint="eastAsia" w:ascii="宋体" w:hAnsi="宋体" w:eastAsia="宋体" w:cs="宋体"/>
                <w:color w:val="auto"/>
                <w:kern w:val="2"/>
                <w:sz w:val="24"/>
                <w:szCs w:val="24"/>
                <w:highlight w:val="none"/>
                <w:lang w:val="en-US" w:eastAsia="zh-CN" w:bidi="ar-SA"/>
              </w:rPr>
            </w:pPr>
          </w:p>
        </w:tc>
        <w:tc>
          <w:tcPr>
            <w:tcW w:w="475" w:type="pct"/>
            <w:noWrap w:val="0"/>
            <w:vAlign w:val="center"/>
          </w:tcPr>
          <w:p w14:paraId="65AA5389">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779" w:type="pct"/>
            <w:noWrap w:val="0"/>
            <w:vAlign w:val="center"/>
          </w:tcPr>
          <w:p w14:paraId="1967C1B4">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495" w:type="pct"/>
            <w:noWrap w:val="0"/>
            <w:vAlign w:val="center"/>
          </w:tcPr>
          <w:p w14:paraId="673BA44D">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656" w:type="pct"/>
            <w:noWrap w:val="0"/>
            <w:vAlign w:val="center"/>
          </w:tcPr>
          <w:p w14:paraId="0ED529F0">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5781D0A2">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587013F1">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r>
      <w:tr w14:paraId="21B5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noWrap w:val="0"/>
            <w:vAlign w:val="center"/>
          </w:tcPr>
          <w:p w14:paraId="315DB7D0">
            <w:pPr>
              <w:widowControl/>
              <w:numPr>
                <w:ilvl w:val="0"/>
                <w:numId w:val="0"/>
              </w:numPr>
              <w:shd w:val="clear" w:color="auto" w:fill="auto"/>
              <w:ind w:left="425" w:leftChars="0" w:hanging="425" w:firstLineChars="0"/>
              <w:jc w:val="center"/>
              <w:textAlignment w:val="center"/>
              <w:rPr>
                <w:rFonts w:hint="eastAsia" w:ascii="宋体" w:hAnsi="宋体" w:eastAsia="宋体" w:cs="宋体"/>
                <w:color w:val="auto"/>
                <w:kern w:val="2"/>
                <w:sz w:val="24"/>
                <w:szCs w:val="24"/>
                <w:highlight w:val="none"/>
                <w:lang w:val="en-US" w:eastAsia="zh-CN" w:bidi="ar-SA"/>
              </w:rPr>
            </w:pPr>
          </w:p>
        </w:tc>
        <w:tc>
          <w:tcPr>
            <w:tcW w:w="830" w:type="pct"/>
            <w:noWrap w:val="0"/>
            <w:vAlign w:val="center"/>
          </w:tcPr>
          <w:p w14:paraId="611332AB">
            <w:pPr>
              <w:widowControl/>
              <w:shd w:val="clear" w:color="auto" w:fill="auto"/>
              <w:jc w:val="center"/>
              <w:textAlignment w:val="center"/>
              <w:rPr>
                <w:rFonts w:hint="eastAsia" w:ascii="宋体" w:hAnsi="宋体" w:eastAsia="宋体" w:cs="宋体"/>
                <w:color w:val="auto"/>
                <w:kern w:val="2"/>
                <w:sz w:val="24"/>
                <w:szCs w:val="24"/>
                <w:highlight w:val="none"/>
                <w:lang w:val="en-US" w:eastAsia="zh-CN" w:bidi="ar-SA"/>
              </w:rPr>
            </w:pPr>
          </w:p>
        </w:tc>
        <w:tc>
          <w:tcPr>
            <w:tcW w:w="475" w:type="pct"/>
            <w:noWrap w:val="0"/>
            <w:vAlign w:val="center"/>
          </w:tcPr>
          <w:p w14:paraId="3639AD14">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779" w:type="pct"/>
            <w:noWrap w:val="0"/>
            <w:vAlign w:val="center"/>
          </w:tcPr>
          <w:p w14:paraId="13722FD9">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495" w:type="pct"/>
            <w:noWrap w:val="0"/>
            <w:vAlign w:val="center"/>
          </w:tcPr>
          <w:p w14:paraId="4FC8ED60">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656" w:type="pct"/>
            <w:noWrap w:val="0"/>
            <w:vAlign w:val="center"/>
          </w:tcPr>
          <w:p w14:paraId="1811E222">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19A4A427">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1A8D5B6A">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r>
      <w:tr w14:paraId="7DF93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noWrap w:val="0"/>
            <w:vAlign w:val="center"/>
          </w:tcPr>
          <w:p w14:paraId="243EDA30">
            <w:pPr>
              <w:widowControl/>
              <w:numPr>
                <w:ilvl w:val="0"/>
                <w:numId w:val="0"/>
              </w:numPr>
              <w:shd w:val="clear" w:color="auto" w:fill="auto"/>
              <w:ind w:left="425" w:leftChars="0" w:hanging="425" w:firstLineChars="0"/>
              <w:jc w:val="center"/>
              <w:textAlignment w:val="center"/>
              <w:rPr>
                <w:rFonts w:hint="eastAsia" w:ascii="宋体" w:hAnsi="宋体" w:eastAsia="宋体" w:cs="宋体"/>
                <w:color w:val="auto"/>
                <w:kern w:val="2"/>
                <w:sz w:val="24"/>
                <w:szCs w:val="24"/>
                <w:highlight w:val="none"/>
                <w:u w:val="none"/>
                <w:lang w:val="en-US" w:eastAsia="zh-CN" w:bidi="ar-SA"/>
              </w:rPr>
            </w:pPr>
          </w:p>
        </w:tc>
        <w:tc>
          <w:tcPr>
            <w:tcW w:w="830" w:type="pct"/>
            <w:noWrap w:val="0"/>
            <w:vAlign w:val="center"/>
          </w:tcPr>
          <w:p w14:paraId="335DA485">
            <w:pPr>
              <w:widowControl/>
              <w:shd w:val="clear" w:color="auto" w:fill="auto"/>
              <w:jc w:val="center"/>
              <w:textAlignment w:val="center"/>
              <w:rPr>
                <w:rFonts w:hint="eastAsia" w:ascii="宋体" w:hAnsi="宋体" w:eastAsia="宋体" w:cs="宋体"/>
                <w:color w:val="auto"/>
                <w:kern w:val="2"/>
                <w:sz w:val="24"/>
                <w:szCs w:val="24"/>
                <w:highlight w:val="none"/>
                <w:lang w:val="en-US" w:eastAsia="zh-CN" w:bidi="ar-SA"/>
              </w:rPr>
            </w:pPr>
          </w:p>
        </w:tc>
        <w:tc>
          <w:tcPr>
            <w:tcW w:w="475" w:type="pct"/>
            <w:noWrap w:val="0"/>
            <w:vAlign w:val="center"/>
          </w:tcPr>
          <w:p w14:paraId="4B2F6F97">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779" w:type="pct"/>
            <w:noWrap w:val="0"/>
            <w:vAlign w:val="center"/>
          </w:tcPr>
          <w:p w14:paraId="3676BFE2">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495" w:type="pct"/>
            <w:noWrap w:val="0"/>
            <w:vAlign w:val="center"/>
          </w:tcPr>
          <w:p w14:paraId="7F8F8A85">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656" w:type="pct"/>
            <w:noWrap w:val="0"/>
            <w:vAlign w:val="center"/>
          </w:tcPr>
          <w:p w14:paraId="07D2EEC2">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3E91F5A0">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6B8BACE1">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r>
      <w:tr w14:paraId="239B5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09" w:type="pct"/>
            <w:noWrap w:val="0"/>
            <w:vAlign w:val="center"/>
          </w:tcPr>
          <w:p w14:paraId="7D21E497">
            <w:pPr>
              <w:widowControl/>
              <w:numPr>
                <w:ilvl w:val="0"/>
                <w:numId w:val="0"/>
              </w:numPr>
              <w:shd w:val="clear" w:color="auto" w:fill="auto"/>
              <w:ind w:left="425" w:leftChars="0" w:hanging="425" w:firstLineChars="0"/>
              <w:jc w:val="center"/>
              <w:textAlignment w:val="center"/>
              <w:rPr>
                <w:rFonts w:hint="eastAsia" w:ascii="宋体" w:hAnsi="宋体" w:eastAsia="宋体" w:cs="宋体"/>
                <w:color w:val="auto"/>
                <w:kern w:val="2"/>
                <w:sz w:val="24"/>
                <w:szCs w:val="24"/>
                <w:highlight w:val="none"/>
                <w:u w:val="none"/>
                <w:lang w:val="en-US" w:eastAsia="zh-CN" w:bidi="ar-SA"/>
              </w:rPr>
            </w:pPr>
          </w:p>
        </w:tc>
        <w:tc>
          <w:tcPr>
            <w:tcW w:w="830" w:type="pct"/>
            <w:noWrap w:val="0"/>
            <w:vAlign w:val="center"/>
          </w:tcPr>
          <w:p w14:paraId="5A4203B6">
            <w:pPr>
              <w:widowControl/>
              <w:shd w:val="clear" w:color="auto" w:fill="auto"/>
              <w:jc w:val="center"/>
              <w:textAlignment w:val="center"/>
              <w:rPr>
                <w:rFonts w:hint="eastAsia" w:ascii="宋体" w:hAnsi="宋体" w:eastAsia="宋体" w:cs="宋体"/>
                <w:color w:val="auto"/>
                <w:kern w:val="2"/>
                <w:sz w:val="24"/>
                <w:szCs w:val="24"/>
                <w:highlight w:val="none"/>
                <w:lang w:val="en-US" w:eastAsia="zh-CN" w:bidi="ar-SA"/>
              </w:rPr>
            </w:pPr>
          </w:p>
        </w:tc>
        <w:tc>
          <w:tcPr>
            <w:tcW w:w="475" w:type="pct"/>
            <w:noWrap w:val="0"/>
            <w:vAlign w:val="center"/>
          </w:tcPr>
          <w:p w14:paraId="19375553">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779" w:type="pct"/>
            <w:noWrap w:val="0"/>
            <w:vAlign w:val="center"/>
          </w:tcPr>
          <w:p w14:paraId="68813C38">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495" w:type="pct"/>
            <w:noWrap w:val="0"/>
            <w:vAlign w:val="center"/>
          </w:tcPr>
          <w:p w14:paraId="4EB0A584">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656" w:type="pct"/>
            <w:noWrap w:val="0"/>
            <w:vAlign w:val="center"/>
          </w:tcPr>
          <w:p w14:paraId="1C1816F8">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24B85FF8">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c>
          <w:tcPr>
            <w:tcW w:w="577" w:type="pct"/>
            <w:noWrap w:val="0"/>
            <w:vAlign w:val="center"/>
          </w:tcPr>
          <w:p w14:paraId="30F02F2D">
            <w:pPr>
              <w:shd w:val="clear" w:color="auto" w:fill="auto"/>
              <w:adjustRightInd w:val="0"/>
              <w:snapToGrid w:val="0"/>
              <w:spacing w:line="360" w:lineRule="auto"/>
              <w:jc w:val="center"/>
              <w:rPr>
                <w:rFonts w:hint="eastAsia" w:ascii="宋体" w:hAnsi="宋体" w:eastAsia="宋体" w:cs="宋体"/>
                <w:color w:val="auto"/>
                <w:sz w:val="24"/>
                <w:szCs w:val="24"/>
                <w:highlight w:val="none"/>
              </w:rPr>
            </w:pPr>
          </w:p>
        </w:tc>
      </w:tr>
      <w:tr w14:paraId="1C32E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845" w:type="pct"/>
            <w:gridSpan w:val="6"/>
            <w:noWrap w:val="0"/>
            <w:vAlign w:val="center"/>
          </w:tcPr>
          <w:p w14:paraId="70FDA70E">
            <w:pPr>
              <w:shd w:val="clear" w:color="auto" w:fill="auto"/>
              <w:adjustRightInd w:val="0"/>
              <w:snapToGrid w:val="0"/>
              <w:spacing w:line="360" w:lineRule="auto"/>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合计（元）</w:t>
            </w:r>
          </w:p>
        </w:tc>
        <w:tc>
          <w:tcPr>
            <w:tcW w:w="577" w:type="pct"/>
            <w:noWrap w:val="0"/>
            <w:vAlign w:val="center"/>
          </w:tcPr>
          <w:p w14:paraId="35AB9ED9">
            <w:pPr>
              <w:shd w:val="clear" w:color="auto" w:fill="auto"/>
              <w:adjustRightInd w:val="0"/>
              <w:snapToGrid w:val="0"/>
              <w:spacing w:line="360" w:lineRule="auto"/>
              <w:jc w:val="center"/>
              <w:rPr>
                <w:rFonts w:hint="eastAsia" w:ascii="宋体" w:hAnsi="宋体" w:eastAsia="宋体" w:cs="宋体"/>
                <w:color w:val="auto"/>
                <w:sz w:val="24"/>
                <w:highlight w:val="none"/>
              </w:rPr>
            </w:pPr>
          </w:p>
        </w:tc>
        <w:tc>
          <w:tcPr>
            <w:tcW w:w="577" w:type="pct"/>
            <w:noWrap w:val="0"/>
            <w:vAlign w:val="center"/>
          </w:tcPr>
          <w:p w14:paraId="114DD37F">
            <w:pPr>
              <w:shd w:val="clear" w:color="auto" w:fill="auto"/>
              <w:adjustRightInd w:val="0"/>
              <w:snapToGrid w:val="0"/>
              <w:spacing w:line="360" w:lineRule="auto"/>
              <w:jc w:val="center"/>
              <w:rPr>
                <w:rFonts w:hint="eastAsia" w:ascii="宋体" w:hAnsi="宋体" w:eastAsia="宋体" w:cs="宋体"/>
                <w:color w:val="auto"/>
                <w:sz w:val="24"/>
                <w:highlight w:val="none"/>
              </w:rPr>
            </w:pPr>
          </w:p>
        </w:tc>
      </w:tr>
    </w:tbl>
    <w:p w14:paraId="22C2724E">
      <w:pPr>
        <w:shd w:val="clear" w:color="auto" w:fill="auto"/>
        <w:autoSpaceDE w:val="0"/>
        <w:autoSpaceDN w:val="0"/>
        <w:adjustRightInd w:val="0"/>
        <w:snapToGrid w:val="0"/>
        <w:spacing w:before="120" w:line="360" w:lineRule="auto"/>
        <w:ind w:left="-206" w:leftChars="-98"/>
        <w:jc w:val="left"/>
        <w:rPr>
          <w:rFonts w:hint="eastAsia" w:ascii="宋体" w:hAnsi="宋体" w:eastAsia="宋体" w:cs="宋体"/>
          <w:color w:val="auto"/>
          <w:kern w:val="0"/>
          <w:sz w:val="24"/>
          <w:szCs w:val="28"/>
          <w:highlight w:val="none"/>
        </w:rPr>
      </w:pPr>
    </w:p>
    <w:p w14:paraId="71BA2124">
      <w:pPr>
        <w:shd w:val="clear" w:color="auto" w:fill="auto"/>
        <w:autoSpaceDE w:val="0"/>
        <w:autoSpaceDN w:val="0"/>
        <w:adjustRightInd w:val="0"/>
        <w:snapToGrid w:val="0"/>
        <w:spacing w:before="120" w:line="360" w:lineRule="auto"/>
        <w:ind w:left="-206" w:leftChars="-98"/>
        <w:jc w:val="left"/>
        <w:rPr>
          <w:rFonts w:hint="eastAsia" w:ascii="宋体" w:hAnsi="宋体" w:eastAsia="宋体" w:cs="宋体"/>
          <w:color w:val="auto"/>
          <w:kern w:val="0"/>
          <w:sz w:val="24"/>
          <w:szCs w:val="28"/>
          <w:highlight w:val="none"/>
        </w:rPr>
      </w:pPr>
    </w:p>
    <w:p w14:paraId="1B93CA04">
      <w:pPr>
        <w:shd w:val="clear" w:color="auto" w:fill="auto"/>
        <w:spacing w:line="360" w:lineRule="auto"/>
        <w:ind w:firstLine="1920" w:firstLineChars="8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投标人（盖公章）：</w:t>
      </w:r>
      <w:r>
        <w:rPr>
          <w:rFonts w:hint="eastAsia" w:ascii="宋体" w:hAnsi="宋体" w:eastAsia="宋体" w:cs="宋体"/>
          <w:color w:val="auto"/>
          <w:sz w:val="24"/>
          <w:highlight w:val="none"/>
          <w:u w:val="single"/>
        </w:rPr>
        <w:t xml:space="preserve">                             </w:t>
      </w:r>
    </w:p>
    <w:p w14:paraId="2482D659">
      <w:pPr>
        <w:shd w:val="clear" w:color="auto" w:fill="auto"/>
        <w:spacing w:line="360" w:lineRule="auto"/>
        <w:ind w:firstLine="1920" w:firstLineChars="8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法定代表人或授权代表（签字或盖章）：</w:t>
      </w:r>
      <w:r>
        <w:rPr>
          <w:rFonts w:hint="eastAsia" w:ascii="宋体" w:hAnsi="宋体" w:eastAsia="宋体" w:cs="宋体"/>
          <w:color w:val="auto"/>
          <w:sz w:val="24"/>
          <w:highlight w:val="none"/>
          <w:u w:val="single"/>
        </w:rPr>
        <w:t xml:space="preserve">           </w:t>
      </w:r>
    </w:p>
    <w:p w14:paraId="1FF4B3BE">
      <w:pPr>
        <w:pStyle w:val="9"/>
        <w:shd w:val="clear" w:color="auto" w:fill="auto"/>
        <w:tabs>
          <w:tab w:val="left" w:pos="5580"/>
        </w:tabs>
        <w:spacing w:line="360" w:lineRule="auto"/>
        <w:ind w:firstLine="1920" w:firstLineChars="800"/>
        <w:rPr>
          <w:rFonts w:hint="eastAsia" w:ascii="宋体" w:hAnsi="宋体" w:eastAsia="宋体" w:cs="宋体"/>
          <w:color w:val="auto"/>
          <w:sz w:val="24"/>
          <w:highlight w:val="none"/>
        </w:rPr>
      </w:pPr>
      <w:r>
        <w:rPr>
          <w:rFonts w:hint="eastAsia" w:hAnsi="宋体" w:eastAsia="宋体" w:cs="宋体"/>
          <w:color w:val="auto"/>
          <w:sz w:val="24"/>
          <w:highlight w:val="none"/>
        </w:rPr>
        <w:t>日    期：</w:t>
      </w:r>
      <w:r>
        <w:rPr>
          <w:rFonts w:hint="eastAsia" w:hAnsi="宋体" w:eastAsia="宋体" w:cs="宋体"/>
          <w:color w:val="auto"/>
          <w:sz w:val="32"/>
          <w:highlight w:val="none"/>
          <w:u w:val="single"/>
        </w:rPr>
        <w:t xml:space="preserve">                            </w:t>
      </w:r>
    </w:p>
    <w:p w14:paraId="4C3CF2C3">
      <w:pPr>
        <w:pStyle w:val="4"/>
        <w:numPr>
          <w:ilvl w:val="0"/>
          <w:numId w:val="0"/>
        </w:numPr>
        <w:shd w:val="clear" w:color="auto" w:fill="auto"/>
        <w:jc w:val="both"/>
        <w:rPr>
          <w:rFonts w:hint="eastAsia" w:ascii="宋体" w:hAnsi="宋体" w:eastAsia="宋体" w:cs="宋体"/>
          <w:b/>
          <w:color w:val="auto"/>
          <w:kern w:val="0"/>
          <w:sz w:val="30"/>
          <w:szCs w:val="20"/>
          <w:highlight w:val="none"/>
          <w:lang w:val="en-US" w:eastAsia="zh-CN" w:bidi="ar-SA"/>
        </w:rPr>
      </w:pPr>
    </w:p>
    <w:p w14:paraId="4939265B">
      <w:pPr>
        <w:pStyle w:val="4"/>
        <w:numPr>
          <w:ilvl w:val="0"/>
          <w:numId w:val="0"/>
        </w:numPr>
        <w:shd w:val="clear" w:color="auto" w:fill="auto"/>
        <w:ind w:left="420" w:leftChars="0"/>
        <w:jc w:val="center"/>
        <w:rPr>
          <w:rFonts w:hint="eastAsia" w:ascii="宋体" w:hAnsi="宋体" w:eastAsia="宋体" w:cs="宋体"/>
          <w:b/>
          <w:color w:val="auto"/>
          <w:kern w:val="0"/>
          <w:sz w:val="30"/>
          <w:szCs w:val="20"/>
          <w:highlight w:val="none"/>
          <w:lang w:val="en-US" w:eastAsia="zh-CN" w:bidi="ar-SA"/>
        </w:rPr>
      </w:pPr>
    </w:p>
    <w:p w14:paraId="5FE1302D">
      <w:pPr>
        <w:pStyle w:val="5"/>
        <w:shd w:val="clear" w:color="auto" w:fill="auto"/>
        <w:ind w:firstLine="0" w:firstLineChars="0"/>
        <w:jc w:val="center"/>
        <w:rPr>
          <w:rFonts w:hint="eastAsia" w:ascii="宋体" w:hAnsi="宋体" w:eastAsia="宋体" w:cs="宋体"/>
          <w:color w:val="auto"/>
          <w:sz w:val="32"/>
          <w:szCs w:val="32"/>
          <w:highlight w:val="none"/>
          <w:lang w:val="zh-CN"/>
        </w:rPr>
      </w:pPr>
    </w:p>
    <w:p w14:paraId="235ADA10">
      <w:pPr>
        <w:pStyle w:val="4"/>
        <w:shd w:val="clear" w:color="auto" w:fill="auto"/>
        <w:rPr>
          <w:rFonts w:hint="eastAsia" w:ascii="宋体" w:hAnsi="宋体" w:eastAsia="宋体" w:cs="宋体"/>
          <w:color w:val="auto"/>
          <w:sz w:val="32"/>
          <w:szCs w:val="32"/>
          <w:highlight w:val="none"/>
          <w:lang w:val="zh-CN"/>
        </w:rPr>
      </w:pPr>
    </w:p>
    <w:p w14:paraId="7CAEF9AD">
      <w:pPr>
        <w:pStyle w:val="4"/>
        <w:shd w:val="clear" w:color="auto" w:fill="auto"/>
        <w:rPr>
          <w:rFonts w:hint="eastAsia" w:ascii="宋体" w:hAnsi="宋体" w:eastAsia="宋体" w:cs="宋体"/>
          <w:color w:val="auto"/>
          <w:sz w:val="32"/>
          <w:szCs w:val="32"/>
          <w:highlight w:val="none"/>
          <w:lang w:val="zh-CN"/>
        </w:rPr>
      </w:pPr>
    </w:p>
    <w:p w14:paraId="5926D4BC">
      <w:pPr>
        <w:pStyle w:val="4"/>
        <w:shd w:val="clear" w:color="auto" w:fill="auto"/>
        <w:rPr>
          <w:rFonts w:hint="eastAsia" w:ascii="宋体" w:hAnsi="宋体" w:eastAsia="宋体" w:cs="宋体"/>
          <w:color w:val="auto"/>
          <w:sz w:val="32"/>
          <w:szCs w:val="32"/>
          <w:highlight w:val="none"/>
          <w:lang w:val="zh-CN"/>
        </w:rPr>
      </w:pPr>
    </w:p>
    <w:p w14:paraId="6CEEEACD">
      <w:pPr>
        <w:pStyle w:val="4"/>
        <w:shd w:val="clear" w:color="auto" w:fill="auto"/>
        <w:rPr>
          <w:rFonts w:hint="eastAsia" w:ascii="宋体" w:hAnsi="宋体" w:eastAsia="宋体" w:cs="宋体"/>
          <w:color w:val="auto"/>
          <w:sz w:val="32"/>
          <w:szCs w:val="32"/>
          <w:highlight w:val="none"/>
          <w:lang w:val="zh-CN"/>
        </w:rPr>
      </w:pPr>
    </w:p>
    <w:p w14:paraId="0F1D22D9">
      <w:pPr>
        <w:pStyle w:val="4"/>
        <w:shd w:val="clear" w:color="auto" w:fill="auto"/>
        <w:rPr>
          <w:rFonts w:hint="eastAsia" w:ascii="宋体" w:hAnsi="宋体" w:eastAsia="宋体" w:cs="宋体"/>
          <w:color w:val="auto"/>
          <w:sz w:val="32"/>
          <w:szCs w:val="32"/>
          <w:highlight w:val="none"/>
          <w:lang w:val="zh-CN"/>
        </w:rPr>
      </w:pPr>
    </w:p>
    <w:p w14:paraId="00756B8D">
      <w:pPr>
        <w:shd w:val="clear" w:color="auto" w:fill="auto"/>
        <w:spacing w:line="360" w:lineRule="auto"/>
        <w:jc w:val="center"/>
        <w:rPr>
          <w:rFonts w:hint="eastAsia" w:ascii="宋体" w:hAnsi="宋体" w:eastAsia="宋体" w:cs="宋体"/>
          <w:b/>
          <w:color w:val="auto"/>
          <w:kern w:val="0"/>
          <w:sz w:val="30"/>
          <w:szCs w:val="20"/>
          <w:highlight w:val="none"/>
          <w:lang w:val="en-US" w:eastAsia="zh-CN" w:bidi="ar-SA"/>
        </w:rPr>
      </w:pPr>
      <w:r>
        <w:rPr>
          <w:rFonts w:hint="eastAsia" w:ascii="宋体" w:hAnsi="宋体" w:eastAsia="宋体" w:cs="宋体"/>
          <w:b/>
          <w:color w:val="auto"/>
          <w:kern w:val="0"/>
          <w:sz w:val="30"/>
          <w:szCs w:val="20"/>
          <w:highlight w:val="none"/>
          <w:lang w:val="en-US" w:eastAsia="zh-CN" w:bidi="ar-SA"/>
        </w:rPr>
        <w:t>第三部分  资格证明文件</w:t>
      </w:r>
    </w:p>
    <w:p w14:paraId="610DFC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bookmarkStart w:id="313" w:name="_Toc114840461"/>
      <w:bookmarkStart w:id="314" w:name="_Toc105505626"/>
      <w:bookmarkStart w:id="315" w:name="_Toc27885"/>
      <w:bookmarkStart w:id="316" w:name="_Toc142559899"/>
      <w:r>
        <w:rPr>
          <w:rFonts w:hint="eastAsia" w:ascii="宋体" w:hAnsi="宋体" w:eastAsia="宋体" w:cs="宋体"/>
          <w:color w:val="auto"/>
          <w:sz w:val="24"/>
          <w:szCs w:val="24"/>
          <w:highlight w:val="none"/>
        </w:rPr>
        <w:t>（1）具有独立承担民事责任的能力，提供营业执照、税务登记证、组织机构代码证或登载有统一社会信用代码的营业执照（或《事业单位法人证书》或其他合法组织登记证书、自然人只须提交身份证）；</w:t>
      </w:r>
    </w:p>
    <w:p w14:paraId="01B96C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（2）法定代表人委托授权书（法定代表人参加不需提供，但需要提供法定代表人身份证）及被授权人身份证；</w:t>
      </w:r>
    </w:p>
    <w:p w14:paraId="61117A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在递交投标文件截止时间前被“信用中国”网站（www.creditchina.gov.cn）和中国政府采购网（www.ccgp.gov.cn）上被列入失信被执行人、重大税收违法案件当事人名单、政府采购严重违法失信行为记录名单的，不得参加投标；</w:t>
      </w:r>
    </w:p>
    <w:p w14:paraId="36BE60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（4）提供2024年或2025年财务审计报告或投标截止时间前六个月内基本开户银行出具的资信证明（成立时间至提交响应文件截止时间不足一年的可提供成立后任意时段的资产负债表）；</w:t>
      </w:r>
    </w:p>
    <w:p w14:paraId="593F95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（5）提供投标截止日前一年内已缴纳的至少1个月的纳税证明或完税证明（任意税种），依法免税的单位应提供相关证明材料；</w:t>
      </w:r>
    </w:p>
    <w:p w14:paraId="228BB1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（6）提供投标截止日前一年内已缴存的至少1个月的社会保障资金缴存单据或社保机构开具的社会保险参保缴费情况证明，依法不需要缴纳社会保障资金的单位应提供相关证明材料；</w:t>
      </w:r>
    </w:p>
    <w:p w14:paraId="50B0F7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（7）提供参加政府采购活动前三年内，在经营活动中没有重大违法记录书面声明；</w:t>
      </w:r>
    </w:p>
    <w:p w14:paraId="3450BD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（8）提供医疗器械经营许可证、生产企业许可证、产品注册证、营业执照；</w:t>
      </w:r>
    </w:p>
    <w:p w14:paraId="4D2B85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（9）投标人所供第三类医疗器械和部分第二类医疗器械（国家药监局、国家卫生健康委、国家医保局第三批实施医疗器械唯一标识的产品目录2023年第22号）须提供唯一标识信息；</w:t>
      </w:r>
    </w:p>
    <w:p w14:paraId="518ADA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（10）本项目不接受联合体投标；</w:t>
      </w:r>
    </w:p>
    <w:p w14:paraId="4084F2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（11）本项目专门面向中小企业，投标企业须提供中小企业声明函。</w:t>
      </w:r>
    </w:p>
    <w:p w14:paraId="07D822C0">
      <w:pPr>
        <w:pStyle w:val="5"/>
        <w:shd w:val="clear" w:color="auto" w:fill="auto"/>
        <w:ind w:firstLine="0" w:firstLineChars="0"/>
        <w:jc w:val="center"/>
        <w:rPr>
          <w:rFonts w:hint="eastAsia" w:ascii="宋体" w:hAnsi="宋体" w:eastAsia="宋体" w:cs="宋体"/>
          <w:color w:val="auto"/>
          <w:highlight w:val="none"/>
        </w:rPr>
      </w:pPr>
    </w:p>
    <w:p w14:paraId="65948723">
      <w:pPr>
        <w:pStyle w:val="4"/>
        <w:rPr>
          <w:rFonts w:hint="eastAsia" w:ascii="宋体" w:hAnsi="宋体" w:eastAsia="宋体" w:cs="宋体"/>
          <w:color w:val="auto"/>
          <w:highlight w:val="none"/>
        </w:rPr>
      </w:pPr>
    </w:p>
    <w:p w14:paraId="089BCC9C">
      <w:pPr>
        <w:pStyle w:val="4"/>
        <w:rPr>
          <w:rFonts w:hint="eastAsia" w:ascii="宋体" w:hAnsi="宋体" w:eastAsia="宋体" w:cs="宋体"/>
          <w:color w:val="auto"/>
          <w:highlight w:val="none"/>
        </w:rPr>
      </w:pPr>
    </w:p>
    <w:p w14:paraId="0CC3ECF4">
      <w:pPr>
        <w:pStyle w:val="4"/>
        <w:rPr>
          <w:rFonts w:hint="eastAsia" w:ascii="宋体" w:hAnsi="宋体" w:eastAsia="宋体" w:cs="宋体"/>
          <w:color w:val="auto"/>
          <w:highlight w:val="none"/>
        </w:rPr>
      </w:pPr>
    </w:p>
    <w:p w14:paraId="547FF5EA">
      <w:pPr>
        <w:pStyle w:val="4"/>
        <w:rPr>
          <w:rFonts w:hint="eastAsia" w:ascii="宋体" w:hAnsi="宋体" w:eastAsia="宋体" w:cs="宋体"/>
          <w:color w:val="auto"/>
          <w:highlight w:val="none"/>
        </w:rPr>
      </w:pPr>
    </w:p>
    <w:p w14:paraId="397419DF">
      <w:pPr>
        <w:pStyle w:val="4"/>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附件：</w:t>
      </w:r>
    </w:p>
    <w:p w14:paraId="2909CC41">
      <w:pPr>
        <w:pStyle w:val="4"/>
        <w:rPr>
          <w:rFonts w:hint="eastAsia" w:ascii="宋体" w:hAnsi="宋体" w:eastAsia="宋体" w:cs="宋体"/>
          <w:color w:val="auto"/>
          <w:highlight w:val="none"/>
        </w:rPr>
      </w:pPr>
    </w:p>
    <w:bookmarkEnd w:id="313"/>
    <w:bookmarkEnd w:id="314"/>
    <w:bookmarkEnd w:id="315"/>
    <w:bookmarkEnd w:id="316"/>
    <w:p w14:paraId="03693F34">
      <w:pPr>
        <w:shd w:val="clear" w:color="auto" w:fill="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1</w:t>
      </w:r>
      <w:r>
        <w:rPr>
          <w:rFonts w:hint="eastAsia" w:ascii="宋体" w:hAnsi="宋体" w:eastAsia="宋体" w:cs="宋体"/>
          <w:b/>
          <w:color w:val="auto"/>
          <w:sz w:val="28"/>
          <w:szCs w:val="28"/>
          <w:highlight w:val="none"/>
        </w:rPr>
        <w:t>、法定代表人（或单位负责人）身份证明</w:t>
      </w:r>
    </w:p>
    <w:p w14:paraId="08EDE92A">
      <w:pPr>
        <w:shd w:val="clear" w:color="auto" w:fill="auto"/>
        <w:spacing w:line="360" w:lineRule="auto"/>
        <w:rPr>
          <w:rFonts w:hint="eastAsia" w:ascii="宋体" w:hAnsi="宋体" w:eastAsia="宋体" w:cs="宋体"/>
          <w:color w:val="auto"/>
          <w:highlight w:val="none"/>
          <w:shd w:val="clear" w:color="auto" w:fill="FFFFFF"/>
        </w:rPr>
      </w:pPr>
    </w:p>
    <w:p w14:paraId="04274856">
      <w:pPr>
        <w:shd w:val="clear" w:color="auto" w:fill="auto"/>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（采购代理机构名称）</w:t>
      </w:r>
      <w:r>
        <w:rPr>
          <w:rFonts w:hint="eastAsia" w:ascii="宋体" w:hAnsi="宋体" w:eastAsia="宋体" w:cs="宋体"/>
          <w:color w:val="auto"/>
          <w:sz w:val="24"/>
          <w:highlight w:val="none"/>
        </w:rPr>
        <w:t>：</w:t>
      </w:r>
    </w:p>
    <w:p w14:paraId="7743AA3D">
      <w:pPr>
        <w:shd w:val="clear" w:color="auto" w:fill="auto"/>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（姓名、性别、年龄、身份证号码）在我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"https://baike.baidu.com/item/%E5%8D%95%E4%BD%8D/32292" \t "_blank"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单位</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（董事长、总经理等）职务，是我单位的法定代表人。</w:t>
      </w:r>
    </w:p>
    <w:p w14:paraId="0AFEEE2E">
      <w:pPr>
        <w:shd w:val="clear" w:color="auto" w:fill="auto"/>
        <w:spacing w:line="360" w:lineRule="auto"/>
        <w:ind w:firstLine="480"/>
        <w:rPr>
          <w:rFonts w:hint="eastAsia" w:ascii="宋体" w:hAnsi="宋体" w:eastAsia="宋体" w:cs="宋体"/>
          <w:color w:val="auto"/>
          <w:sz w:val="24"/>
          <w:highlight w:val="none"/>
        </w:rPr>
      </w:pPr>
    </w:p>
    <w:p w14:paraId="5D6C678E">
      <w:pPr>
        <w:shd w:val="clear" w:color="auto" w:fill="auto"/>
        <w:spacing w:line="360" w:lineRule="auto"/>
        <w:ind w:firstLine="480"/>
        <w:rPr>
          <w:rFonts w:hint="eastAsia" w:ascii="宋体" w:hAnsi="宋体" w:eastAsia="宋体" w:cs="宋体"/>
          <w:color w:val="auto"/>
          <w:sz w:val="24"/>
          <w:highlight w:val="none"/>
        </w:rPr>
      </w:pPr>
    </w:p>
    <w:p w14:paraId="2029162D">
      <w:pPr>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6CA5C2C8">
      <w:pPr>
        <w:shd w:val="clear" w:color="auto" w:fill="auto"/>
        <w:spacing w:line="360" w:lineRule="auto"/>
        <w:ind w:firstLine="480"/>
        <w:rPr>
          <w:rFonts w:hint="eastAsia" w:ascii="宋体" w:hAnsi="宋体" w:eastAsia="宋体" w:cs="宋体"/>
          <w:color w:val="auto"/>
          <w:sz w:val="24"/>
          <w:highlight w:val="none"/>
        </w:rPr>
      </w:pPr>
    </w:p>
    <w:p w14:paraId="5CDD9ED9">
      <w:pPr>
        <w:shd w:val="clear" w:color="auto" w:fill="auto"/>
        <w:spacing w:line="360" w:lineRule="auto"/>
        <w:ind w:firstLine="480"/>
        <w:rPr>
          <w:rFonts w:hint="eastAsia" w:ascii="宋体" w:hAnsi="宋体" w:eastAsia="宋体" w:cs="宋体"/>
          <w:color w:val="auto"/>
          <w:sz w:val="24"/>
          <w:highlight w:val="none"/>
        </w:rPr>
      </w:pPr>
    </w:p>
    <w:p w14:paraId="01758385">
      <w:pPr>
        <w:shd w:val="clear" w:color="auto" w:fill="auto"/>
        <w:spacing w:line="360" w:lineRule="auto"/>
        <w:ind w:firstLine="480"/>
        <w:rPr>
          <w:rFonts w:hint="eastAsia" w:ascii="宋体" w:hAnsi="宋体" w:eastAsia="宋体" w:cs="宋体"/>
          <w:color w:val="auto"/>
          <w:sz w:val="24"/>
          <w:highlight w:val="none"/>
        </w:rPr>
      </w:pPr>
    </w:p>
    <w:p w14:paraId="651A5918">
      <w:pPr>
        <w:pStyle w:val="9"/>
        <w:shd w:val="clear" w:color="auto" w:fill="auto"/>
        <w:tabs>
          <w:tab w:val="left" w:pos="5580"/>
        </w:tabs>
        <w:spacing w:line="360" w:lineRule="auto"/>
        <w:ind w:left="-540" w:leftChars="-257" w:firstLine="900" w:firstLineChars="37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hAnsi="宋体" w:eastAsia="宋体" w:cs="宋体"/>
          <w:color w:val="auto"/>
          <w:sz w:val="24"/>
          <w:highlight w:val="none"/>
        </w:rPr>
        <w:t>盖公章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1052A774">
      <w:pPr>
        <w:pStyle w:val="9"/>
        <w:shd w:val="clear" w:color="auto" w:fill="auto"/>
        <w:tabs>
          <w:tab w:val="left" w:pos="5580"/>
        </w:tabs>
        <w:spacing w:line="360" w:lineRule="auto"/>
        <w:ind w:left="269" w:leftChars="128"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详细通讯地址：</w:t>
      </w:r>
      <w:r>
        <w:rPr>
          <w:rFonts w:hint="eastAsia" w:ascii="宋体" w:hAnsi="宋体" w:eastAsia="宋体" w:cs="宋体"/>
          <w:color w:val="auto"/>
          <w:sz w:val="24"/>
          <w:highlight w:val="none"/>
          <w:u w:val="single"/>
        </w:rPr>
        <w:t xml:space="preserve">                                  </w:t>
      </w:r>
    </w:p>
    <w:p w14:paraId="6BCA91AE">
      <w:pPr>
        <w:pStyle w:val="9"/>
        <w:shd w:val="clear" w:color="auto" w:fill="auto"/>
        <w:tabs>
          <w:tab w:val="left" w:pos="5580"/>
        </w:tabs>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邮 政 编 码 ：</w:t>
      </w:r>
      <w:r>
        <w:rPr>
          <w:rFonts w:hint="eastAsia" w:ascii="宋体" w:hAnsi="宋体" w:eastAsia="宋体" w:cs="宋体"/>
          <w:color w:val="auto"/>
          <w:sz w:val="24"/>
          <w:highlight w:val="none"/>
          <w:u w:val="single"/>
        </w:rPr>
        <w:t xml:space="preserve">                                  </w:t>
      </w:r>
    </w:p>
    <w:p w14:paraId="349EF5C7">
      <w:pPr>
        <w:pStyle w:val="9"/>
        <w:shd w:val="clear" w:color="auto" w:fill="auto"/>
        <w:tabs>
          <w:tab w:val="left" w:pos="5580"/>
        </w:tabs>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p>
    <w:p w14:paraId="72B0733F">
      <w:pPr>
        <w:shd w:val="clear" w:color="auto" w:fill="auto"/>
        <w:spacing w:line="360" w:lineRule="auto"/>
        <w:ind w:firstLine="480"/>
        <w:rPr>
          <w:rFonts w:hint="eastAsia" w:ascii="宋体" w:hAnsi="宋体" w:eastAsia="宋体" w:cs="宋体"/>
          <w:color w:val="auto"/>
          <w:sz w:val="24"/>
          <w:highlight w:val="none"/>
        </w:rPr>
      </w:pPr>
    </w:p>
    <w:p w14:paraId="2E40CBD0">
      <w:pPr>
        <w:shd w:val="clear" w:color="auto" w:fill="auto"/>
        <w:spacing w:line="360" w:lineRule="auto"/>
        <w:ind w:firstLine="480"/>
        <w:rPr>
          <w:rFonts w:hint="eastAsia" w:ascii="宋体" w:hAnsi="宋体" w:eastAsia="宋体" w:cs="宋体"/>
          <w:color w:val="auto"/>
          <w:sz w:val="24"/>
          <w:highlight w:val="none"/>
        </w:rPr>
      </w:pPr>
    </w:p>
    <w:p w14:paraId="762DBE8F">
      <w:pPr>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注：自然人投标的仅需提供身份证</w:t>
      </w:r>
    </w:p>
    <w:p w14:paraId="70DACF67">
      <w:pPr>
        <w:pStyle w:val="4"/>
        <w:shd w:val="clear" w:color="auto" w:fill="auto"/>
        <w:ind w:left="0" w:leftChars="0" w:firstLine="0" w:firstLineChars="0"/>
        <w:jc w:val="center"/>
        <w:rPr>
          <w:rFonts w:hint="eastAsia" w:hAnsi="宋体" w:eastAsia="宋体" w:cs="宋体"/>
          <w:b/>
          <w:color w:val="auto"/>
          <w:sz w:val="28"/>
          <w:szCs w:val="28"/>
          <w:highlight w:val="none"/>
        </w:rPr>
      </w:pPr>
      <w:r>
        <w:rPr>
          <w:rFonts w:hint="eastAsia" w:hAnsi="宋体" w:eastAsia="宋体" w:cs="宋体"/>
          <w:color w:val="auto"/>
          <w:sz w:val="24"/>
          <w:highlight w:val="none"/>
        </w:rPr>
        <w:br w:type="page"/>
      </w:r>
      <w:bookmarkStart w:id="317" w:name="_Toc60929127"/>
      <w:r>
        <w:rPr>
          <w:rFonts w:hint="eastAsia" w:hAnsi="宋体" w:eastAsia="宋体" w:cs="宋体"/>
          <w:b/>
          <w:color w:val="auto"/>
          <w:sz w:val="28"/>
          <w:szCs w:val="28"/>
          <w:highlight w:val="none"/>
          <w:lang w:val="en-US" w:eastAsia="zh-CN"/>
        </w:rPr>
        <w:t>2</w:t>
      </w:r>
      <w:r>
        <w:rPr>
          <w:rFonts w:hint="eastAsia" w:hAnsi="宋体" w:eastAsia="宋体" w:cs="宋体"/>
          <w:b/>
          <w:color w:val="auto"/>
          <w:sz w:val="28"/>
          <w:szCs w:val="28"/>
          <w:highlight w:val="none"/>
        </w:rPr>
        <w:t>、法定代表人（或单位负责人）授权书</w:t>
      </w:r>
      <w:bookmarkEnd w:id="317"/>
    </w:p>
    <w:p w14:paraId="0FEB7B8B">
      <w:pPr>
        <w:pStyle w:val="9"/>
        <w:shd w:val="clear" w:color="auto" w:fill="auto"/>
        <w:tabs>
          <w:tab w:val="left" w:pos="55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本授权书声明：注册于</w:t>
      </w:r>
      <w:r>
        <w:rPr>
          <w:rFonts w:hint="eastAsia" w:ascii="宋体" w:hAnsi="宋体" w:eastAsia="宋体" w:cs="宋体"/>
          <w:color w:val="auto"/>
          <w:sz w:val="24"/>
          <w:highlight w:val="none"/>
          <w:u w:val="single"/>
        </w:rPr>
        <w:t>（国家或地区的名称）</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投标人</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法人代表姓名、职务</w:t>
      </w:r>
      <w:r>
        <w:rPr>
          <w:rFonts w:hint="eastAsia" w:ascii="宋体" w:hAnsi="宋体" w:eastAsia="宋体" w:cs="宋体"/>
          <w:color w:val="auto"/>
          <w:sz w:val="24"/>
          <w:highlight w:val="none"/>
        </w:rPr>
        <w:t>）为我单位法定代表人，代表我单位授权（</w:t>
      </w:r>
      <w:r>
        <w:rPr>
          <w:rFonts w:hint="eastAsia" w:ascii="宋体" w:hAnsi="宋体" w:eastAsia="宋体" w:cs="宋体"/>
          <w:color w:val="auto"/>
          <w:sz w:val="24"/>
          <w:highlight w:val="none"/>
          <w:u w:val="single"/>
        </w:rPr>
        <w:t>被授权人的姓名</w:t>
      </w:r>
      <w:r>
        <w:rPr>
          <w:rFonts w:hint="eastAsia" w:ascii="宋体" w:hAnsi="宋体" w:eastAsia="宋体" w:cs="宋体"/>
          <w:color w:val="auto"/>
          <w:sz w:val="24"/>
          <w:highlight w:val="none"/>
        </w:rPr>
        <w:t>）为我单位的合法代理人，就（</w:t>
      </w:r>
      <w:r>
        <w:rPr>
          <w:rFonts w:hint="eastAsia" w:ascii="宋体" w:hAnsi="宋体" w:eastAsia="宋体" w:cs="宋体"/>
          <w:color w:val="auto"/>
          <w:sz w:val="24"/>
          <w:highlight w:val="none"/>
          <w:u w:val="single"/>
        </w:rPr>
        <w:t>项目名称和采购项目编号</w:t>
      </w:r>
      <w:r>
        <w:rPr>
          <w:rFonts w:hint="eastAsia" w:ascii="宋体" w:hAnsi="宋体" w:eastAsia="宋体" w:cs="宋体"/>
          <w:color w:val="auto"/>
          <w:sz w:val="24"/>
          <w:highlight w:val="none"/>
        </w:rPr>
        <w:t>）投标，以我单位名义处理一切与之有关的事务。</w:t>
      </w:r>
      <w:r>
        <w:rPr>
          <w:rFonts w:hint="eastAsia" w:ascii="宋体" w:hAnsi="宋体" w:eastAsia="宋体" w:cs="宋体"/>
          <w:color w:val="auto"/>
          <w:sz w:val="24"/>
          <w:highlight w:val="none"/>
        </w:rPr>
        <w:cr/>
      </w:r>
      <w:r>
        <w:rPr>
          <w:rFonts w:hint="eastAsia" w:ascii="宋体" w:hAnsi="宋体" w:eastAsia="宋体" w:cs="宋体"/>
          <w:color w:val="auto"/>
          <w:sz w:val="24"/>
          <w:highlight w:val="none"/>
        </w:rPr>
        <w:t>　　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日签字生效，特此声明。（提示：此日期应不晚于投标函签署日期）</w:t>
      </w:r>
      <w:r>
        <w:rPr>
          <w:rFonts w:hint="eastAsia" w:ascii="宋体" w:hAnsi="宋体" w:eastAsia="宋体" w:cs="宋体"/>
          <w:color w:val="auto"/>
          <w:sz w:val="24"/>
          <w:highlight w:val="none"/>
        </w:rPr>
        <w:cr/>
      </w:r>
    </w:p>
    <w:p w14:paraId="5F9B2110">
      <w:pPr>
        <w:pStyle w:val="9"/>
        <w:shd w:val="clear" w:color="auto" w:fill="auto"/>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附：授权代表姓名：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年龄：</w:t>
      </w:r>
      <w:r>
        <w:rPr>
          <w:rFonts w:hint="eastAsia" w:ascii="宋体" w:hAnsi="宋体" w:eastAsia="宋体" w:cs="宋体"/>
          <w:color w:val="auto"/>
          <w:sz w:val="24"/>
          <w:highlight w:val="none"/>
          <w:u w:val="single"/>
        </w:rPr>
        <w:t xml:space="preserve">        </w:t>
      </w:r>
    </w:p>
    <w:p w14:paraId="31CFE45F">
      <w:pPr>
        <w:shd w:val="clear" w:color="auto" w:fill="auto"/>
        <w:autoSpaceDE w:val="0"/>
        <w:autoSpaceDN w:val="0"/>
        <w:adjustRightInd w:val="0"/>
        <w:spacing w:line="360" w:lineRule="auto"/>
        <w:ind w:firstLine="63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职</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身份证号码：</w:t>
      </w:r>
      <w:r>
        <w:rPr>
          <w:rFonts w:hint="eastAsia" w:ascii="宋体" w:hAnsi="宋体" w:eastAsia="宋体" w:cs="宋体"/>
          <w:color w:val="auto"/>
          <w:sz w:val="24"/>
          <w:highlight w:val="none"/>
          <w:u w:val="single"/>
        </w:rPr>
        <w:t xml:space="preserve">             </w:t>
      </w:r>
    </w:p>
    <w:p w14:paraId="23AFE0D7">
      <w:pPr>
        <w:shd w:val="clear" w:color="auto" w:fill="auto"/>
        <w:autoSpaceDE w:val="0"/>
        <w:autoSpaceDN w:val="0"/>
        <w:adjustRightInd w:val="0"/>
        <w:spacing w:line="360" w:lineRule="auto"/>
        <w:ind w:firstLine="63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zh-CN"/>
        </w:rPr>
        <w:t>通讯地址：</w:t>
      </w:r>
      <w:r>
        <w:rPr>
          <w:rFonts w:hint="eastAsia" w:ascii="宋体" w:hAnsi="宋体" w:eastAsia="宋体" w:cs="宋体"/>
          <w:color w:val="auto"/>
          <w:sz w:val="24"/>
          <w:highlight w:val="none"/>
          <w:u w:val="single"/>
        </w:rPr>
        <w:t xml:space="preserve">                                      </w:t>
      </w:r>
    </w:p>
    <w:p w14:paraId="0BB676EB">
      <w:pPr>
        <w:shd w:val="clear" w:color="auto" w:fill="auto"/>
        <w:autoSpaceDE w:val="0"/>
        <w:autoSpaceDN w:val="0"/>
        <w:adjustRightInd w:val="0"/>
        <w:spacing w:line="360" w:lineRule="auto"/>
        <w:ind w:firstLine="63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zh-CN"/>
        </w:rPr>
        <w:t>邮政编码：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电话：</w:t>
      </w:r>
      <w:r>
        <w:rPr>
          <w:rFonts w:hint="eastAsia" w:ascii="宋体" w:hAnsi="宋体" w:eastAsia="宋体" w:cs="宋体"/>
          <w:color w:val="auto"/>
          <w:sz w:val="24"/>
          <w:highlight w:val="none"/>
          <w:u w:val="single"/>
        </w:rPr>
        <w:t xml:space="preserve">               </w:t>
      </w:r>
    </w:p>
    <w:p w14:paraId="1E86FCBA">
      <w:pPr>
        <w:shd w:val="clear" w:color="auto" w:fill="auto"/>
        <w:autoSpaceDE w:val="0"/>
        <w:autoSpaceDN w:val="0"/>
        <w:adjustRightInd w:val="0"/>
        <w:spacing w:line="360" w:lineRule="auto"/>
        <w:rPr>
          <w:rFonts w:hint="eastAsia" w:ascii="宋体" w:hAnsi="宋体" w:eastAsia="宋体" w:cs="宋体"/>
          <w:color w:val="auto"/>
          <w:sz w:val="24"/>
          <w:highlight w:val="none"/>
        </w:rPr>
      </w:pPr>
    </w:p>
    <w:p w14:paraId="53F0B1E3">
      <w:pPr>
        <w:shd w:val="clear" w:color="auto" w:fill="auto"/>
        <w:autoSpaceDE w:val="0"/>
        <w:autoSpaceDN w:val="0"/>
        <w:adjustRightIn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法定代表人</w:t>
      </w:r>
      <w:r>
        <w:rPr>
          <w:rFonts w:hint="eastAsia" w:ascii="宋体" w:hAnsi="宋体" w:eastAsia="宋体" w:cs="宋体"/>
          <w:color w:val="auto"/>
          <w:sz w:val="24"/>
          <w:highlight w:val="none"/>
        </w:rPr>
        <w:t>及</w:t>
      </w:r>
      <w:r>
        <w:rPr>
          <w:rFonts w:hint="eastAsia" w:ascii="宋体" w:hAnsi="宋体" w:eastAsia="宋体" w:cs="宋体"/>
          <w:color w:val="auto"/>
          <w:sz w:val="24"/>
          <w:highlight w:val="none"/>
          <w:lang w:val="zh-CN"/>
        </w:rPr>
        <w:t>授权代表身份证复印件</w:t>
      </w:r>
    </w:p>
    <w:tbl>
      <w:tblPr>
        <w:tblStyle w:val="15"/>
        <w:tblW w:w="0" w:type="auto"/>
        <w:tblInd w:w="679" w:type="dxa"/>
        <w:tblLayout w:type="fixed"/>
        <w:tblCellMar>
          <w:top w:w="0" w:type="dxa"/>
          <w:left w:w="108" w:type="dxa"/>
          <w:bottom w:w="0" w:type="dxa"/>
          <w:right w:w="108" w:type="dxa"/>
        </w:tblCellMar>
      </w:tblPr>
      <w:tblGrid>
        <w:gridCol w:w="4049"/>
        <w:gridCol w:w="3885"/>
      </w:tblGrid>
      <w:tr w14:paraId="65C1C414">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77236DAE">
            <w:pPr>
              <w:shd w:val="clear" w:color="auto" w:fill="auto"/>
              <w:autoSpaceDE w:val="0"/>
              <w:autoSpaceDN w:val="0"/>
              <w:adjustRightInd w:val="0"/>
              <w:spacing w:line="312"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法定代表人身份证复印件</w:t>
            </w:r>
          </w:p>
          <w:p w14:paraId="7B573AC8">
            <w:pPr>
              <w:shd w:val="clear" w:color="auto" w:fill="auto"/>
              <w:autoSpaceDE w:val="0"/>
              <w:autoSpaceDN w:val="0"/>
              <w:adjustRightInd w:val="0"/>
              <w:spacing w:line="312" w:lineRule="auto"/>
              <w:jc w:val="cente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7EF9561B">
            <w:pPr>
              <w:shd w:val="clear" w:color="auto" w:fill="auto"/>
              <w:autoSpaceDE w:val="0"/>
              <w:autoSpaceDN w:val="0"/>
              <w:adjustRightInd w:val="0"/>
              <w:spacing w:line="312"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授权代表身份证复印件</w:t>
            </w:r>
          </w:p>
          <w:p w14:paraId="03A53B6F">
            <w:pPr>
              <w:shd w:val="clear" w:color="auto" w:fill="auto"/>
              <w:autoSpaceDE w:val="0"/>
              <w:autoSpaceDN w:val="0"/>
              <w:adjustRightInd w:val="0"/>
              <w:spacing w:line="312" w:lineRule="auto"/>
              <w:jc w:val="cente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zh-CN"/>
              </w:rPr>
              <w:t>（正反面）</w:t>
            </w:r>
          </w:p>
        </w:tc>
      </w:tr>
    </w:tbl>
    <w:p w14:paraId="0E93C176">
      <w:pPr>
        <w:shd w:val="clear" w:color="auto" w:fill="auto"/>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05438839">
      <w:pPr>
        <w:shd w:val="clear" w:color="auto" w:fill="auto"/>
        <w:adjustRightInd w:val="0"/>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639FCF9F">
      <w:pPr>
        <w:shd w:val="clear" w:color="auto" w:fill="auto"/>
        <w:adjustRightInd w:val="0"/>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投标人（盖公章） ：                </w:t>
      </w:r>
    </w:p>
    <w:p w14:paraId="531F10D1">
      <w:pPr>
        <w:shd w:val="clear" w:color="auto" w:fill="auto"/>
        <w:adjustRightInd w:val="0"/>
        <w:snapToGrid w:val="0"/>
        <w:spacing w:line="360" w:lineRule="auto"/>
        <w:ind w:firstLine="360" w:firstLineChars="150"/>
        <w:rPr>
          <w:rFonts w:hint="eastAsia" w:ascii="宋体" w:hAnsi="宋体" w:eastAsia="宋体" w:cs="宋体"/>
          <w:color w:val="auto"/>
          <w:sz w:val="24"/>
          <w:highlight w:val="none"/>
        </w:rPr>
      </w:pPr>
    </w:p>
    <w:p w14:paraId="725A812F">
      <w:pPr>
        <w:shd w:val="clear" w:color="auto" w:fill="auto"/>
        <w:adjustRightInd w:val="0"/>
        <w:snapToGrid w:val="0"/>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法定代表人（或单位负责人）（签字或盖章）：</w:t>
      </w:r>
    </w:p>
    <w:p w14:paraId="47B5F333">
      <w:pPr>
        <w:shd w:val="clear" w:color="auto" w:fill="auto"/>
        <w:spacing w:line="360" w:lineRule="auto"/>
        <w:rPr>
          <w:rFonts w:hint="eastAsia" w:ascii="宋体" w:hAnsi="宋体" w:eastAsia="宋体" w:cs="宋体"/>
          <w:color w:val="auto"/>
          <w:sz w:val="24"/>
          <w:highlight w:val="none"/>
        </w:rPr>
      </w:pPr>
    </w:p>
    <w:p w14:paraId="64F0D02C">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注：自然人投标的或法定代表人投标的无需提供</w:t>
      </w:r>
    </w:p>
    <w:p w14:paraId="080F9309">
      <w:pPr>
        <w:shd w:val="clear" w:color="auto" w:fill="auto"/>
        <w:spacing w:line="360" w:lineRule="auto"/>
        <w:ind w:firstLine="480"/>
        <w:rPr>
          <w:rFonts w:hint="eastAsia" w:ascii="宋体" w:hAnsi="宋体" w:eastAsia="宋体" w:cs="宋体"/>
          <w:color w:val="auto"/>
          <w:sz w:val="24"/>
          <w:highlight w:val="none"/>
        </w:rPr>
      </w:pPr>
    </w:p>
    <w:p w14:paraId="57F0E007">
      <w:pPr>
        <w:shd w:val="clear" w:color="auto" w:fill="auto"/>
        <w:autoSpaceDE w:val="0"/>
        <w:autoSpaceDN w:val="0"/>
        <w:adjustRightInd w:val="0"/>
        <w:spacing w:line="348" w:lineRule="auto"/>
        <w:jc w:val="both"/>
        <w:rPr>
          <w:rFonts w:hint="eastAsia" w:ascii="宋体" w:hAnsi="宋体" w:eastAsia="宋体" w:cs="宋体"/>
          <w:color w:val="auto"/>
          <w:sz w:val="28"/>
          <w:szCs w:val="28"/>
          <w:highlight w:val="none"/>
          <w:lang w:val="zh-CN"/>
        </w:rPr>
      </w:pPr>
    </w:p>
    <w:p w14:paraId="3FF0DA13">
      <w:pPr>
        <w:shd w:val="clear" w:color="auto" w:fill="auto"/>
        <w:autoSpaceDE w:val="0"/>
        <w:autoSpaceDN w:val="0"/>
        <w:adjustRightInd w:val="0"/>
        <w:spacing w:line="348" w:lineRule="auto"/>
        <w:jc w:val="center"/>
        <w:rPr>
          <w:rFonts w:hint="eastAsia" w:ascii="宋体" w:hAnsi="宋体" w:eastAsia="宋体" w:cs="宋体"/>
          <w:color w:val="auto"/>
          <w:sz w:val="28"/>
          <w:szCs w:val="28"/>
          <w:highlight w:val="none"/>
          <w:lang w:val="zh-CN"/>
        </w:rPr>
      </w:pPr>
    </w:p>
    <w:p w14:paraId="21911883">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150422A4">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r>
        <w:rPr>
          <w:rFonts w:hint="eastAsia" w:ascii="宋体" w:hAnsi="宋体" w:eastAsia="宋体" w:cs="宋体"/>
          <w:b/>
          <w:color w:val="auto"/>
          <w:kern w:val="0"/>
          <w:sz w:val="30"/>
          <w:szCs w:val="20"/>
          <w:highlight w:val="none"/>
          <w:lang w:val="zh-CN" w:eastAsia="zh-CN" w:bidi="ar-SA"/>
        </w:rPr>
        <w:t xml:space="preserve"> </w:t>
      </w:r>
      <w:r>
        <w:rPr>
          <w:rFonts w:hint="eastAsia" w:ascii="宋体" w:hAnsi="宋体" w:eastAsia="宋体" w:cs="宋体"/>
          <w:b/>
          <w:color w:val="auto"/>
          <w:kern w:val="0"/>
          <w:sz w:val="30"/>
          <w:szCs w:val="20"/>
          <w:highlight w:val="none"/>
          <w:lang w:val="en-US" w:eastAsia="zh-CN" w:bidi="ar-SA"/>
        </w:rPr>
        <w:t xml:space="preserve">第四部分 </w:t>
      </w:r>
      <w:r>
        <w:rPr>
          <w:rFonts w:hint="eastAsia" w:ascii="宋体" w:hAnsi="宋体" w:eastAsia="宋体" w:cs="宋体"/>
          <w:b/>
          <w:color w:val="auto"/>
          <w:kern w:val="0"/>
          <w:sz w:val="30"/>
          <w:szCs w:val="20"/>
          <w:highlight w:val="none"/>
          <w:lang w:val="zh-CN" w:eastAsia="zh-CN" w:bidi="ar-SA"/>
        </w:rPr>
        <w:t>投标人概况</w:t>
      </w:r>
    </w:p>
    <w:p w14:paraId="68B93173">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11A16EED">
      <w:pPr>
        <w:pStyle w:val="9"/>
        <w:shd w:val="clear" w:color="auto" w:fill="auto"/>
        <w:spacing w:line="360" w:lineRule="auto"/>
        <w:jc w:val="center"/>
        <w:rPr>
          <w:rFonts w:hint="eastAsia" w:ascii="宋体" w:hAnsi="宋体" w:eastAsia="宋体" w:cs="宋体"/>
          <w:b/>
          <w:color w:val="auto"/>
          <w:kern w:val="0"/>
          <w:sz w:val="30"/>
          <w:szCs w:val="30"/>
          <w:highlight w:val="none"/>
          <w:shd w:val="clear" w:color="auto" w:fill="FFFFFF"/>
        </w:rPr>
      </w:pPr>
      <w:bookmarkStart w:id="318" w:name="_Toc114840466"/>
      <w:bookmarkStart w:id="319" w:name="_Toc105505631"/>
      <w:bookmarkStart w:id="320" w:name="_Toc105438110"/>
      <w:bookmarkStart w:id="321" w:name="_Toc19072"/>
      <w:r>
        <w:rPr>
          <w:rFonts w:hint="eastAsia" w:ascii="宋体" w:hAnsi="宋体" w:eastAsia="宋体" w:cs="宋体"/>
          <w:b/>
          <w:color w:val="auto"/>
          <w:kern w:val="0"/>
          <w:sz w:val="30"/>
          <w:szCs w:val="30"/>
          <w:highlight w:val="none"/>
          <w:shd w:val="clear" w:color="auto" w:fill="FFFFFF"/>
        </w:rPr>
        <w:t>（一）投标人基本信息</w:t>
      </w:r>
      <w:bookmarkEnd w:id="318"/>
      <w:bookmarkEnd w:id="319"/>
      <w:bookmarkEnd w:id="320"/>
      <w:bookmarkEnd w:id="321"/>
    </w:p>
    <w:p w14:paraId="2680D2CF">
      <w:pPr>
        <w:shd w:val="clear" w:color="auto" w:fill="auto"/>
        <w:tabs>
          <w:tab w:val="left" w:pos="993"/>
          <w:tab w:val="left" w:pos="1030"/>
          <w:tab w:val="left" w:pos="8364"/>
        </w:tabs>
        <w:snapToGrid w:val="0"/>
        <w:spacing w:after="120" w:afterLines="50"/>
        <w:ind w:right="-57" w:rightChars="-27"/>
        <w:jc w:val="center"/>
        <w:rPr>
          <w:rFonts w:hint="eastAsia" w:ascii="宋体" w:hAnsi="宋体" w:eastAsia="宋体" w:cs="宋体"/>
          <w:color w:val="auto"/>
          <w:sz w:val="24"/>
          <w:highlight w:val="none"/>
        </w:rPr>
      </w:pPr>
      <w:bookmarkStart w:id="322" w:name="_Toc105438111"/>
      <w:bookmarkStart w:id="323" w:name="_Toc342"/>
      <w:bookmarkStart w:id="324" w:name="_Toc114840467"/>
      <w:bookmarkStart w:id="325" w:name="_Toc105505632"/>
      <w:r>
        <w:rPr>
          <w:rFonts w:hint="eastAsia" w:ascii="宋体" w:hAnsi="宋体" w:eastAsia="宋体" w:cs="宋体"/>
          <w:color w:val="auto"/>
          <w:sz w:val="24"/>
          <w:highlight w:val="none"/>
        </w:rPr>
        <w:t>（格式自拟）</w:t>
      </w:r>
      <w:bookmarkEnd w:id="322"/>
      <w:bookmarkEnd w:id="323"/>
      <w:bookmarkEnd w:id="324"/>
      <w:bookmarkEnd w:id="325"/>
    </w:p>
    <w:p w14:paraId="38EEF4CE">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0F2C26E4">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31B56A8C">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158A1D34">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5A8AA820">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709068EC">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7611EE1F">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373B1CBB">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2814F415">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69163B2E">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423CC80E">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1500E9B5">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17BAC3BE">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28499C2B">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3F0BCA98">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62716460">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539B4AC2">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123BCB7D">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256EBCC9">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4D4DDACC">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1046F1F3">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1B96B481">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5737A1E9">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264C1A98">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3EC7EC16">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7D15DF33">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0D3F1311">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28F1EBBC">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44C01E0F">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77190103">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20"/>
          <w:highlight w:val="none"/>
          <w:lang w:val="zh-CN" w:eastAsia="zh-CN" w:bidi="ar-SA"/>
        </w:rPr>
      </w:pPr>
    </w:p>
    <w:p w14:paraId="03C66D18">
      <w:pPr>
        <w:pStyle w:val="4"/>
        <w:numPr>
          <w:ilvl w:val="0"/>
          <w:numId w:val="0"/>
        </w:numPr>
        <w:shd w:val="clear" w:color="auto" w:fill="auto"/>
        <w:ind w:left="0" w:leftChars="0" w:firstLine="0" w:firstLineChars="0"/>
        <w:jc w:val="center"/>
        <w:rPr>
          <w:rFonts w:hint="eastAsia" w:ascii="宋体" w:hAnsi="宋体" w:eastAsia="宋体" w:cs="宋体"/>
          <w:b/>
          <w:color w:val="auto"/>
          <w:kern w:val="0"/>
          <w:sz w:val="30"/>
          <w:szCs w:val="30"/>
          <w:highlight w:val="none"/>
          <w:shd w:val="clear" w:color="auto" w:fill="FFFFFF"/>
        </w:rPr>
      </w:pPr>
      <w:r>
        <w:rPr>
          <w:rFonts w:hint="eastAsia" w:ascii="宋体" w:hAnsi="宋体" w:eastAsia="宋体" w:cs="宋体"/>
          <w:b/>
          <w:color w:val="auto"/>
          <w:kern w:val="0"/>
          <w:sz w:val="30"/>
          <w:szCs w:val="30"/>
          <w:highlight w:val="none"/>
          <w:shd w:val="clear" w:color="auto" w:fill="FFFFFF"/>
          <w:lang w:val="en-US" w:eastAsia="zh-CN" w:bidi="ar-SA"/>
        </w:rPr>
        <w:t>（二）</w:t>
      </w:r>
      <w:r>
        <w:rPr>
          <w:rFonts w:hint="eastAsia" w:ascii="宋体" w:hAnsi="宋体" w:eastAsia="宋体" w:cs="宋体"/>
          <w:b/>
          <w:color w:val="auto"/>
          <w:kern w:val="0"/>
          <w:sz w:val="30"/>
          <w:szCs w:val="30"/>
          <w:highlight w:val="none"/>
          <w:shd w:val="clear" w:color="auto" w:fill="FFFFFF"/>
        </w:rPr>
        <w:t>投标人性质</w:t>
      </w:r>
    </w:p>
    <w:p w14:paraId="7B5B12A6">
      <w:pPr>
        <w:pStyle w:val="5"/>
        <w:shd w:val="clear" w:color="auto" w:fill="auto"/>
        <w:ind w:firstLine="0" w:firstLineChars="0"/>
        <w:jc w:val="center"/>
        <w:rPr>
          <w:rFonts w:hint="eastAsia" w:ascii="宋体" w:hAnsi="宋体" w:eastAsia="宋体" w:cs="宋体"/>
          <w:color w:val="auto"/>
          <w:sz w:val="32"/>
          <w:szCs w:val="32"/>
          <w:highlight w:val="none"/>
        </w:rPr>
      </w:pPr>
      <w:bookmarkStart w:id="326" w:name="_Toc62194354"/>
    </w:p>
    <w:p w14:paraId="2ADD9C89">
      <w:pPr>
        <w:pStyle w:val="5"/>
        <w:shd w:val="clear" w:color="auto" w:fill="auto"/>
        <w:ind w:firstLine="0" w:firstLineChars="0"/>
        <w:jc w:val="center"/>
        <w:rPr>
          <w:rFonts w:hint="eastAsia" w:ascii="宋体" w:hAnsi="宋体" w:eastAsia="宋体" w:cs="宋体"/>
          <w:color w:val="auto"/>
          <w:sz w:val="32"/>
          <w:szCs w:val="32"/>
          <w:highlight w:val="none"/>
        </w:rPr>
      </w:pPr>
      <w:bookmarkStart w:id="327" w:name="_Toc15851"/>
      <w:bookmarkStart w:id="328" w:name="_Toc27267"/>
      <w:bookmarkStart w:id="329" w:name="_Toc21685"/>
      <w:r>
        <w:rPr>
          <w:rFonts w:hint="eastAsia" w:ascii="宋体" w:hAnsi="宋体" w:eastAsia="宋体" w:cs="宋体"/>
          <w:color w:val="auto"/>
          <w:sz w:val="32"/>
          <w:szCs w:val="32"/>
          <w:highlight w:val="none"/>
        </w:rPr>
        <w:t>中小企业声明函（货物</w:t>
      </w:r>
      <w:bookmarkEnd w:id="326"/>
      <w:r>
        <w:rPr>
          <w:rFonts w:hint="eastAsia" w:ascii="宋体" w:hAnsi="宋体" w:eastAsia="宋体" w:cs="宋体"/>
          <w:color w:val="auto"/>
          <w:sz w:val="32"/>
          <w:szCs w:val="32"/>
          <w:highlight w:val="none"/>
        </w:rPr>
        <w:t>）</w:t>
      </w:r>
      <w:bookmarkEnd w:id="327"/>
      <w:bookmarkEnd w:id="328"/>
      <w:bookmarkEnd w:id="329"/>
    </w:p>
    <w:p w14:paraId="0D500D3E">
      <w:pPr>
        <w:pStyle w:val="5"/>
        <w:shd w:val="clear" w:color="auto" w:fill="auto"/>
        <w:ind w:firstLine="0" w:firstLineChar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（注：符合中小企业划型标准的企业请提供本函，不符合的不提供本函）</w:t>
      </w:r>
    </w:p>
    <w:p w14:paraId="525E4551">
      <w:pPr>
        <w:pStyle w:val="5"/>
        <w:shd w:val="clear" w:color="auto" w:fill="auto"/>
        <w:ind w:firstLine="0" w:firstLineChars="0"/>
        <w:jc w:val="center"/>
        <w:rPr>
          <w:rFonts w:hint="eastAsia" w:ascii="宋体" w:hAnsi="宋体" w:eastAsia="宋体" w:cs="宋体"/>
          <w:color w:val="auto"/>
          <w:sz w:val="32"/>
          <w:szCs w:val="32"/>
          <w:highlight w:val="none"/>
        </w:rPr>
      </w:pPr>
    </w:p>
    <w:p w14:paraId="078FB516">
      <w:pPr>
        <w:shd w:val="clear" w:color="auto" w:fill="auto"/>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本公司郑重声明，根据《政府采购促进中小企业发展管理办法》（财库﹝2020﹞46号）的规定，本公司（联合体）参加</w:t>
      </w:r>
      <w:r>
        <w:rPr>
          <w:rFonts w:hint="eastAsia" w:ascii="宋体" w:hAnsi="宋体" w:eastAsia="宋体" w:cs="宋体"/>
          <w:color w:val="auto"/>
          <w:kern w:val="0"/>
          <w:sz w:val="24"/>
          <w:highlight w:val="none"/>
          <w:u w:val="single"/>
        </w:rPr>
        <w:t xml:space="preserve">  （单位名称） </w:t>
      </w:r>
      <w:r>
        <w:rPr>
          <w:rFonts w:hint="eastAsia" w:ascii="宋体" w:hAnsi="宋体" w:eastAsia="宋体" w:cs="宋体"/>
          <w:color w:val="auto"/>
          <w:kern w:val="0"/>
          <w:sz w:val="24"/>
          <w:highlight w:val="none"/>
        </w:rPr>
        <w:t xml:space="preserve"> 的</w:t>
      </w:r>
      <w:r>
        <w:rPr>
          <w:rFonts w:hint="eastAsia" w:ascii="宋体" w:hAnsi="宋体" w:eastAsia="宋体" w:cs="宋体"/>
          <w:color w:val="auto"/>
          <w:kern w:val="0"/>
          <w:sz w:val="24"/>
          <w:highlight w:val="none"/>
          <w:u w:val="single"/>
        </w:rPr>
        <w:t xml:space="preserve"> （项目名称） 采购</w:t>
      </w:r>
      <w:r>
        <w:rPr>
          <w:rFonts w:hint="eastAsia" w:ascii="宋体" w:hAnsi="宋体" w:eastAsia="宋体" w:cs="宋体"/>
          <w:color w:val="auto"/>
          <w:kern w:val="0"/>
          <w:sz w:val="24"/>
          <w:highlight w:val="none"/>
        </w:rPr>
        <w:t>活动，提供的货物全部由符合政策要求的中小企业制造。相关企业（含联合体中的中小企业、签订分包意向协议的中小企业）的具体情况如下：</w:t>
      </w:r>
    </w:p>
    <w:p w14:paraId="6C206552">
      <w:pPr>
        <w:shd w:val="clear" w:color="auto" w:fill="auto"/>
        <w:spacing w:line="560" w:lineRule="exact"/>
        <w:ind w:left="-10" w:leftChars="-5" w:firstLine="489" w:firstLineChars="204"/>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1. </w:t>
      </w:r>
      <w:r>
        <w:rPr>
          <w:rFonts w:hint="eastAsia" w:ascii="宋体" w:hAnsi="宋体" w:eastAsia="宋体" w:cs="宋体"/>
          <w:color w:val="auto"/>
          <w:kern w:val="0"/>
          <w:sz w:val="24"/>
          <w:highlight w:val="none"/>
          <w:u w:val="single"/>
        </w:rPr>
        <w:t xml:space="preserve"> （标的名称）  </w:t>
      </w:r>
      <w:r>
        <w:rPr>
          <w:rFonts w:hint="eastAsia" w:ascii="宋体" w:hAnsi="宋体" w:eastAsia="宋体" w:cs="宋体"/>
          <w:color w:val="auto"/>
          <w:kern w:val="0"/>
          <w:sz w:val="24"/>
          <w:highlight w:val="none"/>
        </w:rPr>
        <w:t>，属于</w:t>
      </w:r>
      <w:r>
        <w:rPr>
          <w:rFonts w:hint="eastAsia" w:ascii="宋体" w:hAnsi="宋体" w:eastAsia="宋体" w:cs="宋体"/>
          <w:color w:val="auto"/>
          <w:kern w:val="0"/>
          <w:sz w:val="24"/>
          <w:highlight w:val="none"/>
          <w:u w:val="single"/>
        </w:rPr>
        <w:t xml:space="preserve">  （ 采购文件中明确的所属行业） 行业</w:t>
      </w:r>
      <w:r>
        <w:rPr>
          <w:rFonts w:hint="eastAsia" w:ascii="宋体" w:hAnsi="宋体" w:eastAsia="宋体" w:cs="宋体"/>
          <w:color w:val="auto"/>
          <w:kern w:val="0"/>
          <w:sz w:val="24"/>
          <w:highlight w:val="none"/>
        </w:rPr>
        <w:t xml:space="preserve"> ；制造商为</w:t>
      </w:r>
      <w:r>
        <w:rPr>
          <w:rFonts w:hint="eastAsia" w:ascii="宋体" w:hAnsi="宋体" w:eastAsia="宋体" w:cs="宋体"/>
          <w:color w:val="auto"/>
          <w:kern w:val="0"/>
          <w:sz w:val="24"/>
          <w:highlight w:val="none"/>
          <w:u w:val="single"/>
        </w:rPr>
        <w:t xml:space="preserve"> （企业名称）  </w:t>
      </w:r>
      <w:r>
        <w:rPr>
          <w:rFonts w:hint="eastAsia" w:ascii="宋体" w:hAnsi="宋体" w:eastAsia="宋体" w:cs="宋体"/>
          <w:color w:val="auto"/>
          <w:kern w:val="0"/>
          <w:sz w:val="24"/>
          <w:highlight w:val="none"/>
        </w:rPr>
        <w:t>，从业人员</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人，营业收入为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万元，资产总额为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万元，属于 </w:t>
      </w:r>
      <w:r>
        <w:rPr>
          <w:rFonts w:hint="eastAsia" w:ascii="宋体" w:hAnsi="宋体" w:eastAsia="宋体" w:cs="宋体"/>
          <w:color w:val="auto"/>
          <w:kern w:val="0"/>
          <w:sz w:val="24"/>
          <w:highlight w:val="none"/>
          <w:u w:val="single"/>
        </w:rPr>
        <w:t>（中型企业、小型企业、微型企业）</w:t>
      </w:r>
      <w:r>
        <w:rPr>
          <w:rFonts w:hint="eastAsia" w:ascii="宋体" w:hAnsi="宋体" w:eastAsia="宋体" w:cs="宋体"/>
          <w:color w:val="auto"/>
          <w:kern w:val="0"/>
          <w:sz w:val="24"/>
          <w:highlight w:val="none"/>
        </w:rPr>
        <w:t>；</w:t>
      </w:r>
    </w:p>
    <w:p w14:paraId="458B01DA">
      <w:pPr>
        <w:shd w:val="clear" w:color="auto" w:fill="auto"/>
        <w:spacing w:line="560" w:lineRule="exact"/>
        <w:ind w:left="-10" w:leftChars="-5" w:firstLine="489" w:firstLineChars="204"/>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 </w:t>
      </w:r>
      <w:r>
        <w:rPr>
          <w:rFonts w:hint="eastAsia" w:ascii="宋体" w:hAnsi="宋体" w:eastAsia="宋体" w:cs="宋体"/>
          <w:color w:val="auto"/>
          <w:kern w:val="0"/>
          <w:sz w:val="24"/>
          <w:highlight w:val="none"/>
          <w:u w:val="single"/>
        </w:rPr>
        <w:t xml:space="preserve"> （标的名称）  </w:t>
      </w:r>
      <w:r>
        <w:rPr>
          <w:rFonts w:hint="eastAsia" w:ascii="宋体" w:hAnsi="宋体" w:eastAsia="宋体" w:cs="宋体"/>
          <w:color w:val="auto"/>
          <w:kern w:val="0"/>
          <w:sz w:val="24"/>
          <w:highlight w:val="none"/>
        </w:rPr>
        <w:t>，属于</w:t>
      </w:r>
      <w:r>
        <w:rPr>
          <w:rFonts w:hint="eastAsia" w:ascii="宋体" w:hAnsi="宋体" w:eastAsia="宋体" w:cs="宋体"/>
          <w:color w:val="auto"/>
          <w:kern w:val="0"/>
          <w:sz w:val="24"/>
          <w:highlight w:val="none"/>
          <w:u w:val="single"/>
        </w:rPr>
        <w:t xml:space="preserve">  （ 采购文件中明确的所属行业） 行业</w:t>
      </w:r>
      <w:r>
        <w:rPr>
          <w:rFonts w:hint="eastAsia" w:ascii="宋体" w:hAnsi="宋体" w:eastAsia="宋体" w:cs="宋体"/>
          <w:color w:val="auto"/>
          <w:kern w:val="0"/>
          <w:sz w:val="24"/>
          <w:highlight w:val="none"/>
        </w:rPr>
        <w:t xml:space="preserve"> ；制造商为</w:t>
      </w:r>
      <w:r>
        <w:rPr>
          <w:rFonts w:hint="eastAsia" w:ascii="宋体" w:hAnsi="宋体" w:eastAsia="宋体" w:cs="宋体"/>
          <w:color w:val="auto"/>
          <w:kern w:val="0"/>
          <w:sz w:val="24"/>
          <w:highlight w:val="none"/>
          <w:u w:val="single"/>
        </w:rPr>
        <w:t xml:space="preserve"> （企业名称）  </w:t>
      </w:r>
      <w:r>
        <w:rPr>
          <w:rFonts w:hint="eastAsia" w:ascii="宋体" w:hAnsi="宋体" w:eastAsia="宋体" w:cs="宋体"/>
          <w:color w:val="auto"/>
          <w:kern w:val="0"/>
          <w:sz w:val="24"/>
          <w:highlight w:val="none"/>
        </w:rPr>
        <w:t>，从业人员</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人，营业收入为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万元，资产总额为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万元，属于 </w:t>
      </w:r>
      <w:r>
        <w:rPr>
          <w:rFonts w:hint="eastAsia" w:ascii="宋体" w:hAnsi="宋体" w:eastAsia="宋体" w:cs="宋体"/>
          <w:color w:val="auto"/>
          <w:kern w:val="0"/>
          <w:sz w:val="24"/>
          <w:highlight w:val="none"/>
          <w:u w:val="single"/>
        </w:rPr>
        <w:t>（中型企业、小型企业、微型企业）</w:t>
      </w:r>
      <w:r>
        <w:rPr>
          <w:rFonts w:hint="eastAsia" w:ascii="宋体" w:hAnsi="宋体" w:eastAsia="宋体" w:cs="宋体"/>
          <w:color w:val="auto"/>
          <w:kern w:val="0"/>
          <w:sz w:val="24"/>
          <w:highlight w:val="none"/>
        </w:rPr>
        <w:t>；</w:t>
      </w:r>
    </w:p>
    <w:p w14:paraId="137ECBA6">
      <w:pPr>
        <w:shd w:val="clear" w:color="auto" w:fill="auto"/>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p>
    <w:p w14:paraId="741D6CC9">
      <w:pPr>
        <w:shd w:val="clear" w:color="auto" w:fill="auto"/>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以上企业，不属于大企业的分支机构，不存在控股股东为大企业的情形，也不存在与大企业的负责人为同一人的情形。</w:t>
      </w:r>
    </w:p>
    <w:p w14:paraId="2A6F10D1">
      <w:pPr>
        <w:shd w:val="clear" w:color="auto" w:fill="auto"/>
        <w:spacing w:line="5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本企业对上述声明内容的真实性负责。如有虚假，将依法承担相应责任。</w:t>
      </w:r>
    </w:p>
    <w:p w14:paraId="3A98B93A">
      <w:pPr>
        <w:shd w:val="clear" w:color="auto" w:fill="auto"/>
        <w:spacing w:line="560" w:lineRule="exact"/>
        <w:ind w:firstLine="3480" w:firstLineChars="1450"/>
        <w:rPr>
          <w:rFonts w:hint="eastAsia" w:ascii="宋体" w:hAnsi="宋体" w:eastAsia="宋体" w:cs="宋体"/>
          <w:color w:val="auto"/>
          <w:kern w:val="0"/>
          <w:sz w:val="24"/>
          <w:highlight w:val="none"/>
        </w:rPr>
      </w:pPr>
    </w:p>
    <w:p w14:paraId="0D8E86CB">
      <w:pPr>
        <w:shd w:val="clear" w:color="auto" w:fill="auto"/>
        <w:spacing w:line="560" w:lineRule="exact"/>
        <w:ind w:firstLine="3480" w:firstLineChars="1450"/>
        <w:rPr>
          <w:rFonts w:hint="eastAsia" w:ascii="宋体" w:hAnsi="宋体" w:eastAsia="宋体" w:cs="宋体"/>
          <w:color w:val="auto"/>
          <w:kern w:val="0"/>
          <w:sz w:val="24"/>
          <w:highlight w:val="none"/>
        </w:rPr>
      </w:pPr>
    </w:p>
    <w:p w14:paraId="0391E50B">
      <w:pPr>
        <w:shd w:val="clear" w:color="auto" w:fill="auto"/>
        <w:spacing w:line="560" w:lineRule="exact"/>
        <w:ind w:firstLine="3480" w:firstLineChars="145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企业名称（盖章）：</w:t>
      </w:r>
    </w:p>
    <w:p w14:paraId="3EB7AC6F">
      <w:pPr>
        <w:shd w:val="clear" w:color="auto" w:fill="auto"/>
        <w:spacing w:line="560" w:lineRule="exact"/>
        <w:ind w:firstLine="3480" w:firstLineChars="1450"/>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highlight w:val="none"/>
        </w:rPr>
        <w:t>日期：</w:t>
      </w:r>
    </w:p>
    <w:p w14:paraId="7F374DC2">
      <w:pPr>
        <w:shd w:val="clear" w:color="auto" w:fill="auto"/>
        <w:spacing w:line="360" w:lineRule="auto"/>
        <w:rPr>
          <w:rFonts w:hint="eastAsia" w:ascii="宋体" w:hAnsi="宋体" w:eastAsia="宋体" w:cs="宋体"/>
          <w:color w:val="auto"/>
          <w:highlight w:val="none"/>
        </w:rPr>
      </w:pPr>
    </w:p>
    <w:p w14:paraId="64E090FD">
      <w:pPr>
        <w:shd w:val="clear" w:color="auto" w:fill="auto"/>
        <w:ind w:left="315" w:leftChars="150" w:firstLine="270" w:firstLineChars="150"/>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（从业人员、营业收入、资产总额填报上一年度数据，无上一年度数据的新成立企业可不填报）</w:t>
      </w:r>
    </w:p>
    <w:p w14:paraId="605ADD3F">
      <w:pPr>
        <w:shd w:val="clear" w:color="auto" w:fill="auto"/>
        <w:ind w:left="0" w:firstLine="0" w:firstLineChars="0"/>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30"/>
          <w:szCs w:val="30"/>
          <w:highlight w:val="none"/>
        </w:rPr>
        <w:t xml:space="preserve"> </w:t>
      </w:r>
      <w:r>
        <w:rPr>
          <w:rFonts w:hint="eastAsia" w:ascii="宋体" w:hAnsi="宋体" w:eastAsia="宋体" w:cs="宋体"/>
          <w:color w:val="auto"/>
          <w:kern w:val="0"/>
          <w:sz w:val="18"/>
          <w:szCs w:val="18"/>
          <w:highlight w:val="none"/>
        </w:rPr>
        <w:t xml:space="preserve"> </w:t>
      </w:r>
    </w:p>
    <w:p w14:paraId="4D7B9180">
      <w:pPr>
        <w:pStyle w:val="5"/>
        <w:shd w:val="clear" w:color="auto" w:fill="auto"/>
        <w:ind w:firstLine="0" w:firstLineChars="0"/>
        <w:jc w:val="center"/>
        <w:rPr>
          <w:rFonts w:hint="eastAsia" w:ascii="宋体" w:hAnsi="宋体" w:eastAsia="宋体" w:cs="宋体"/>
          <w:color w:val="auto"/>
          <w:sz w:val="32"/>
          <w:szCs w:val="32"/>
          <w:highlight w:val="none"/>
        </w:rPr>
      </w:pPr>
      <w:bookmarkStart w:id="330" w:name="_Toc22085"/>
      <w:bookmarkStart w:id="331" w:name="_Toc60928911"/>
      <w:bookmarkStart w:id="332" w:name="_Toc23397"/>
      <w:bookmarkStart w:id="333" w:name="_Toc62194356"/>
      <w:bookmarkStart w:id="334" w:name="_Toc12111"/>
      <w:bookmarkStart w:id="335" w:name="_Toc60929143"/>
      <w:bookmarkStart w:id="336" w:name="_Toc532473512"/>
      <w:bookmarkStart w:id="337" w:name="_Toc11803"/>
      <w:bookmarkStart w:id="338" w:name="_Toc10977"/>
      <w:bookmarkStart w:id="339" w:name="_Toc515647824"/>
    </w:p>
    <w:p w14:paraId="073B564F">
      <w:pPr>
        <w:pStyle w:val="5"/>
        <w:shd w:val="clear" w:color="auto" w:fill="auto"/>
        <w:ind w:firstLine="0" w:firstLineChars="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投标人监狱企业声明函</w:t>
      </w:r>
      <w:bookmarkEnd w:id="330"/>
      <w:bookmarkEnd w:id="331"/>
      <w:bookmarkEnd w:id="332"/>
      <w:bookmarkEnd w:id="333"/>
      <w:bookmarkEnd w:id="334"/>
      <w:bookmarkEnd w:id="335"/>
      <w:r>
        <w:rPr>
          <w:rFonts w:hint="eastAsia" w:ascii="宋体" w:hAnsi="宋体" w:eastAsia="宋体" w:cs="宋体"/>
          <w:color w:val="auto"/>
          <w:sz w:val="32"/>
          <w:szCs w:val="32"/>
          <w:highlight w:val="none"/>
        </w:rPr>
        <w:t>（如有）</w:t>
      </w:r>
    </w:p>
    <w:bookmarkEnd w:id="336"/>
    <w:p w14:paraId="04225848">
      <w:pPr>
        <w:shd w:val="clear" w:color="auto" w:fill="auto"/>
        <w:spacing w:line="360" w:lineRule="auto"/>
        <w:ind w:left="1080" w:leftChars="257" w:hanging="540"/>
        <w:jc w:val="center"/>
        <w:rPr>
          <w:rFonts w:hint="eastAsia" w:ascii="宋体" w:hAnsi="宋体" w:eastAsia="宋体" w:cs="宋体"/>
          <w:b/>
          <w:color w:val="auto"/>
          <w:kern w:val="0"/>
          <w:sz w:val="24"/>
          <w:szCs w:val="20"/>
          <w:highlight w:val="none"/>
        </w:rPr>
      </w:pPr>
    </w:p>
    <w:p w14:paraId="4D433382">
      <w:pPr>
        <w:widowControl/>
        <w:shd w:val="clear" w:color="auto" w:fill="auto"/>
        <w:spacing w:before="100" w:beforeAutospacing="1" w:after="100" w:afterAutospacing="1"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本单位郑重声明下列事项（按照实际情况勾选或填空）：</w:t>
      </w:r>
    </w:p>
    <w:p w14:paraId="63583272">
      <w:pPr>
        <w:widowControl/>
        <w:shd w:val="clear" w:color="auto" w:fill="auto"/>
        <w:spacing w:before="100" w:beforeAutospacing="1" w:after="100" w:afterAutospacing="1"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本单位为直接投标人提供本单位制造的货物。</w:t>
      </w:r>
    </w:p>
    <w:p w14:paraId="0769314D">
      <w:pPr>
        <w:widowControl/>
        <w:shd w:val="clear" w:color="auto" w:fill="auto"/>
        <w:spacing w:before="100" w:beforeAutospacing="1" w:after="100" w:afterAutospacing="1" w:line="360" w:lineRule="auto"/>
        <w:ind w:firstLine="360" w:firstLineChars="1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（1）本企业（单位）</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（请填写：是、不是）监狱企业。如果是，后附省级以上监狱管理局、戒毒管理局（含新疆生产建设兵团）出具的属于监狱企业的证明文件。</w:t>
      </w:r>
    </w:p>
    <w:p w14:paraId="7F083580">
      <w:pPr>
        <w:widowControl/>
        <w:shd w:val="clear" w:color="auto" w:fill="auto"/>
        <w:spacing w:before="100" w:beforeAutospacing="1" w:after="100" w:afterAutospacing="1"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（2）本企业（单位）</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（请填写：是、不是）为联合体一方，提供本企业（单位）制造的货物，由本企业（单位）承担工程、提供服务。本企业（单位）提供协议合同金额占到共同投标协议合同总金额的比例为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w:t>
      </w:r>
    </w:p>
    <w:p w14:paraId="58A1EF0F">
      <w:pPr>
        <w:widowControl/>
        <w:shd w:val="clear" w:color="auto" w:fill="auto"/>
        <w:spacing w:before="100" w:beforeAutospacing="1" w:after="100" w:afterAutospacing="1"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本企业（单位）对上述声明的真实性负责。如有虚假，将依法承担相应责任。</w:t>
      </w:r>
    </w:p>
    <w:p w14:paraId="14EB68BB">
      <w:pPr>
        <w:widowControl/>
        <w:shd w:val="clear" w:color="auto" w:fill="auto"/>
        <w:spacing w:before="100" w:beforeAutospacing="1" w:after="100" w:afterAutospacing="1" w:line="360" w:lineRule="auto"/>
        <w:jc w:val="left"/>
        <w:rPr>
          <w:rFonts w:hint="eastAsia" w:ascii="宋体" w:hAnsi="宋体" w:eastAsia="宋体" w:cs="宋体"/>
          <w:b/>
          <w:color w:val="auto"/>
          <w:kern w:val="0"/>
          <w:sz w:val="24"/>
          <w:szCs w:val="20"/>
          <w:highlight w:val="none"/>
        </w:rPr>
      </w:pPr>
      <w:r>
        <w:rPr>
          <w:rFonts w:hint="eastAsia" w:ascii="宋体" w:hAnsi="宋体" w:eastAsia="宋体" w:cs="宋体"/>
          <w:color w:val="auto"/>
          <w:kern w:val="0"/>
          <w:sz w:val="24"/>
          <w:highlight w:val="none"/>
        </w:rPr>
        <w:t>　</w:t>
      </w:r>
      <w:r>
        <w:rPr>
          <w:rFonts w:hint="eastAsia" w:ascii="宋体" w:hAnsi="宋体" w:eastAsia="宋体" w:cs="宋体"/>
          <w:b/>
          <w:color w:val="auto"/>
          <w:kern w:val="0"/>
          <w:sz w:val="24"/>
          <w:szCs w:val="20"/>
          <w:highlight w:val="none"/>
        </w:rPr>
        <w:t>　</w:t>
      </w:r>
    </w:p>
    <w:p w14:paraId="275D2ED8">
      <w:pPr>
        <w:shd w:val="clear" w:color="auto" w:fill="auto"/>
        <w:spacing w:line="360" w:lineRule="auto"/>
        <w:ind w:firstLine="1920" w:firstLineChars="8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投标人（盖公章）：</w:t>
      </w:r>
      <w:r>
        <w:rPr>
          <w:rFonts w:hint="eastAsia" w:ascii="宋体" w:hAnsi="宋体" w:eastAsia="宋体" w:cs="宋体"/>
          <w:color w:val="auto"/>
          <w:sz w:val="24"/>
          <w:highlight w:val="none"/>
          <w:u w:val="single"/>
        </w:rPr>
        <w:t xml:space="preserve">                             </w:t>
      </w:r>
    </w:p>
    <w:p w14:paraId="644F8976">
      <w:pPr>
        <w:shd w:val="clear" w:color="auto" w:fill="auto"/>
        <w:spacing w:line="360" w:lineRule="auto"/>
        <w:ind w:firstLine="1920" w:firstLineChars="8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法定代表人或授权代表（签字或盖章）：</w:t>
      </w:r>
      <w:r>
        <w:rPr>
          <w:rFonts w:hint="eastAsia" w:ascii="宋体" w:hAnsi="宋体" w:eastAsia="宋体" w:cs="宋体"/>
          <w:color w:val="auto"/>
          <w:sz w:val="24"/>
          <w:highlight w:val="none"/>
          <w:u w:val="single"/>
        </w:rPr>
        <w:t xml:space="preserve">           </w:t>
      </w:r>
    </w:p>
    <w:p w14:paraId="641F05D1">
      <w:pPr>
        <w:shd w:val="clear" w:color="auto" w:fill="auto"/>
        <w:spacing w:line="360" w:lineRule="auto"/>
        <w:ind w:firstLine="1920" w:firstLineChars="800"/>
        <w:rPr>
          <w:rFonts w:hint="eastAsia" w:ascii="宋体" w:hAnsi="宋体" w:eastAsia="宋体" w:cs="宋体"/>
          <w:color w:val="auto"/>
          <w:kern w:val="0"/>
          <w:sz w:val="24"/>
          <w:highlight w:val="none"/>
          <w:u w:val="single"/>
        </w:rPr>
      </w:pPr>
      <w:r>
        <w:rPr>
          <w:rFonts w:hint="eastAsia" w:ascii="宋体" w:hAnsi="宋体" w:eastAsia="宋体" w:cs="宋体"/>
          <w:color w:val="auto"/>
          <w:sz w:val="24"/>
          <w:highlight w:val="none"/>
        </w:rPr>
        <w:t>日    期：</w:t>
      </w:r>
      <w:r>
        <w:rPr>
          <w:rFonts w:hint="eastAsia" w:ascii="宋体" w:hAnsi="宋体" w:eastAsia="宋体" w:cs="宋体"/>
          <w:color w:val="auto"/>
          <w:sz w:val="32"/>
          <w:highlight w:val="none"/>
          <w:u w:val="single"/>
        </w:rPr>
        <w:t xml:space="preserve">                            </w:t>
      </w:r>
    </w:p>
    <w:p w14:paraId="7F4506DA">
      <w:pPr>
        <w:widowControl/>
        <w:shd w:val="clear" w:color="auto" w:fill="auto"/>
        <w:spacing w:before="100" w:beforeAutospacing="1" w:after="100" w:afterAutospacing="1" w:line="360" w:lineRule="auto"/>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u w:val="single"/>
        </w:rPr>
        <w:t>注：符合《关于政府采购支持监狱企业发展有关问题的通知》价格扣减条件的投标人须提交。</w:t>
      </w:r>
    </w:p>
    <w:p w14:paraId="1310B2D9">
      <w:pPr>
        <w:shd w:val="clear" w:color="auto" w:fill="auto"/>
        <w:spacing w:line="360" w:lineRule="auto"/>
        <w:rPr>
          <w:rFonts w:hint="eastAsia" w:ascii="宋体" w:hAnsi="宋体" w:eastAsia="宋体" w:cs="宋体"/>
          <w:color w:val="auto"/>
          <w:kern w:val="0"/>
          <w:sz w:val="24"/>
          <w:szCs w:val="20"/>
          <w:highlight w:val="none"/>
        </w:rPr>
      </w:pPr>
    </w:p>
    <w:p w14:paraId="1FCB055D">
      <w:pPr>
        <w:pStyle w:val="4"/>
        <w:shd w:val="clear" w:color="auto" w:fill="auto"/>
        <w:rPr>
          <w:rFonts w:hint="eastAsia" w:hAnsi="宋体" w:eastAsia="宋体" w:cs="宋体"/>
          <w:color w:val="auto"/>
          <w:kern w:val="0"/>
          <w:sz w:val="24"/>
          <w:szCs w:val="20"/>
          <w:highlight w:val="none"/>
        </w:rPr>
      </w:pPr>
    </w:p>
    <w:p w14:paraId="6583AA93">
      <w:pPr>
        <w:pStyle w:val="4"/>
        <w:shd w:val="clear" w:color="auto" w:fill="auto"/>
        <w:rPr>
          <w:rFonts w:hint="eastAsia" w:hAnsi="宋体" w:eastAsia="宋体" w:cs="宋体"/>
          <w:color w:val="auto"/>
          <w:kern w:val="0"/>
          <w:sz w:val="24"/>
          <w:szCs w:val="20"/>
          <w:highlight w:val="none"/>
        </w:rPr>
      </w:pPr>
    </w:p>
    <w:p w14:paraId="027BDCB8">
      <w:pPr>
        <w:pStyle w:val="4"/>
        <w:shd w:val="clear" w:color="auto" w:fill="auto"/>
        <w:rPr>
          <w:rFonts w:hint="eastAsia" w:hAnsi="宋体" w:eastAsia="宋体" w:cs="宋体"/>
          <w:color w:val="auto"/>
          <w:kern w:val="0"/>
          <w:sz w:val="24"/>
          <w:szCs w:val="20"/>
          <w:highlight w:val="none"/>
        </w:rPr>
      </w:pPr>
    </w:p>
    <w:p w14:paraId="3D5B75CF">
      <w:pPr>
        <w:pStyle w:val="4"/>
        <w:shd w:val="clear" w:color="auto" w:fill="auto"/>
        <w:rPr>
          <w:rFonts w:hint="eastAsia" w:hAnsi="宋体" w:eastAsia="宋体" w:cs="宋体"/>
          <w:color w:val="auto"/>
          <w:kern w:val="0"/>
          <w:sz w:val="24"/>
          <w:szCs w:val="20"/>
          <w:highlight w:val="none"/>
        </w:rPr>
      </w:pPr>
    </w:p>
    <w:p w14:paraId="385F6E67">
      <w:pPr>
        <w:pStyle w:val="8"/>
        <w:shd w:val="clear" w:color="auto" w:fill="auto"/>
        <w:rPr>
          <w:rFonts w:hint="eastAsia" w:eastAsia="宋体" w:cs="宋体"/>
          <w:color w:val="auto"/>
          <w:highlight w:val="none"/>
        </w:rPr>
      </w:pPr>
    </w:p>
    <w:p w14:paraId="55AAB95E">
      <w:pPr>
        <w:pStyle w:val="5"/>
        <w:shd w:val="clear" w:color="auto" w:fill="auto"/>
        <w:ind w:firstLine="0" w:firstLineChars="0"/>
        <w:jc w:val="center"/>
        <w:rPr>
          <w:rFonts w:hint="eastAsia" w:ascii="宋体" w:hAnsi="宋体" w:eastAsia="宋体" w:cs="宋体"/>
          <w:color w:val="auto"/>
          <w:sz w:val="32"/>
          <w:szCs w:val="32"/>
          <w:highlight w:val="none"/>
        </w:rPr>
      </w:pPr>
      <w:bookmarkStart w:id="340" w:name="_Toc10885"/>
      <w:bookmarkStart w:id="341" w:name="_Toc32272"/>
      <w:bookmarkStart w:id="342" w:name="_Toc2586"/>
      <w:bookmarkStart w:id="343" w:name="_Toc60929144"/>
      <w:bookmarkStart w:id="344" w:name="_Toc60928912"/>
      <w:bookmarkStart w:id="345" w:name="_Toc62194357"/>
      <w:bookmarkStart w:id="346" w:name="_Toc532473513"/>
    </w:p>
    <w:p w14:paraId="0558F098">
      <w:pPr>
        <w:pStyle w:val="5"/>
        <w:shd w:val="clear" w:color="auto" w:fill="auto"/>
        <w:ind w:firstLine="0" w:firstLineChars="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残疾人福利性单位声明函</w:t>
      </w:r>
      <w:bookmarkEnd w:id="340"/>
      <w:bookmarkEnd w:id="341"/>
      <w:bookmarkEnd w:id="342"/>
      <w:bookmarkEnd w:id="343"/>
      <w:bookmarkEnd w:id="344"/>
      <w:bookmarkEnd w:id="345"/>
      <w:r>
        <w:rPr>
          <w:rFonts w:hint="eastAsia" w:ascii="宋体" w:hAnsi="宋体" w:eastAsia="宋体" w:cs="宋体"/>
          <w:color w:val="auto"/>
          <w:sz w:val="32"/>
          <w:szCs w:val="32"/>
          <w:highlight w:val="none"/>
        </w:rPr>
        <w:t>（如有）</w:t>
      </w:r>
    </w:p>
    <w:bookmarkEnd w:id="346"/>
    <w:p w14:paraId="2B6F6828">
      <w:pPr>
        <w:shd w:val="clear" w:color="auto" w:fill="auto"/>
        <w:spacing w:line="360" w:lineRule="auto"/>
        <w:ind w:left="1080" w:leftChars="257" w:hanging="540"/>
        <w:jc w:val="center"/>
        <w:rPr>
          <w:rFonts w:hint="eastAsia" w:ascii="宋体" w:hAnsi="宋体" w:eastAsia="宋体" w:cs="宋体"/>
          <w:color w:val="auto"/>
          <w:kern w:val="0"/>
          <w:sz w:val="24"/>
          <w:szCs w:val="20"/>
          <w:highlight w:val="none"/>
        </w:rPr>
      </w:pPr>
    </w:p>
    <w:p w14:paraId="1916A255">
      <w:pPr>
        <w:shd w:val="clear" w:color="auto" w:fill="auto"/>
        <w:spacing w:line="360" w:lineRule="auto"/>
        <w:ind w:firstLine="567"/>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0"/>
          <w:sz w:val="24"/>
          <w:szCs w:val="20"/>
          <w:highlight w:val="none"/>
          <w:u w:val="single"/>
          <w:lang w:eastAsia="zh-CN"/>
        </w:rPr>
        <w:t>（</w:t>
      </w:r>
      <w:r>
        <w:rPr>
          <w:rFonts w:hint="eastAsia" w:ascii="宋体" w:hAnsi="宋体" w:eastAsia="宋体" w:cs="宋体"/>
          <w:color w:val="auto"/>
          <w:kern w:val="0"/>
          <w:sz w:val="24"/>
          <w:szCs w:val="20"/>
          <w:highlight w:val="none"/>
          <w:u w:val="single"/>
          <w:lang w:val="en-US" w:eastAsia="zh-CN"/>
        </w:rPr>
        <w:t>采购人名称</w:t>
      </w:r>
      <w:r>
        <w:rPr>
          <w:rFonts w:hint="eastAsia" w:ascii="宋体" w:hAnsi="宋体" w:eastAsia="宋体" w:cs="宋体"/>
          <w:color w:val="auto"/>
          <w:kern w:val="0"/>
          <w:sz w:val="24"/>
          <w:szCs w:val="20"/>
          <w:highlight w:val="none"/>
          <w:u w:val="single"/>
          <w:lang w:eastAsia="zh-CN"/>
        </w:rPr>
        <w:t>）</w:t>
      </w:r>
      <w:r>
        <w:rPr>
          <w:rFonts w:hint="eastAsia" w:ascii="宋体" w:hAnsi="宋体" w:eastAsia="宋体" w:cs="宋体"/>
          <w:color w:val="auto"/>
          <w:kern w:val="0"/>
          <w:sz w:val="24"/>
          <w:szCs w:val="20"/>
          <w:highlight w:val="none"/>
        </w:rPr>
        <w:t>的</w:t>
      </w:r>
      <w:r>
        <w:rPr>
          <w:rFonts w:hint="eastAsia" w:ascii="宋体" w:hAnsi="宋体" w:eastAsia="宋体" w:cs="宋体"/>
          <w:color w:val="auto"/>
          <w:kern w:val="0"/>
          <w:sz w:val="24"/>
          <w:szCs w:val="20"/>
          <w:highlight w:val="none"/>
          <w:u w:val="single"/>
          <w:lang w:eastAsia="zh-CN"/>
        </w:rPr>
        <w:t>（</w:t>
      </w:r>
      <w:r>
        <w:rPr>
          <w:rFonts w:hint="eastAsia" w:ascii="宋体" w:hAnsi="宋体" w:eastAsia="宋体" w:cs="宋体"/>
          <w:color w:val="auto"/>
          <w:kern w:val="0"/>
          <w:sz w:val="24"/>
          <w:szCs w:val="20"/>
          <w:highlight w:val="none"/>
          <w:u w:val="single"/>
          <w:lang w:val="en-US" w:eastAsia="zh-CN"/>
        </w:rPr>
        <w:t>项目名称</w:t>
      </w:r>
      <w:r>
        <w:rPr>
          <w:rFonts w:hint="eastAsia" w:ascii="宋体" w:hAnsi="宋体" w:eastAsia="宋体" w:cs="宋体"/>
          <w:color w:val="auto"/>
          <w:kern w:val="0"/>
          <w:sz w:val="24"/>
          <w:szCs w:val="20"/>
          <w:highlight w:val="none"/>
          <w:u w:val="single"/>
          <w:lang w:eastAsia="zh-CN"/>
        </w:rPr>
        <w:t>）</w:t>
      </w:r>
      <w:r>
        <w:rPr>
          <w:rFonts w:hint="eastAsia" w:ascii="宋体" w:hAnsi="宋体" w:eastAsia="宋体" w:cs="宋体"/>
          <w:color w:val="auto"/>
          <w:kern w:val="0"/>
          <w:sz w:val="24"/>
          <w:szCs w:val="20"/>
          <w:highlight w:val="none"/>
        </w:rPr>
        <w:t>采购活动提供本单位制造的货物</w:t>
      </w:r>
      <w:r>
        <w:rPr>
          <w:rFonts w:hint="eastAsia" w:ascii="宋体" w:hAnsi="宋体" w:eastAsia="宋体" w:cs="宋体"/>
          <w:color w:val="auto"/>
          <w:kern w:val="0"/>
          <w:sz w:val="24"/>
          <w:highlight w:val="none"/>
        </w:rPr>
        <w:t>（由本单位承担提供服务）</w:t>
      </w:r>
      <w:r>
        <w:rPr>
          <w:rFonts w:hint="eastAsia" w:ascii="宋体" w:hAnsi="宋体" w:eastAsia="宋体" w:cs="宋体"/>
          <w:color w:val="auto"/>
          <w:kern w:val="0"/>
          <w:sz w:val="24"/>
          <w:szCs w:val="20"/>
          <w:highlight w:val="none"/>
        </w:rPr>
        <w:t>，或者提供其他残疾人福利性单位制造的货物（不包括使用非残疾人福利性单位注册商标的货物）。</w:t>
      </w:r>
    </w:p>
    <w:p w14:paraId="40CF9579">
      <w:pPr>
        <w:shd w:val="clear" w:color="auto" w:fill="auto"/>
        <w:spacing w:line="360" w:lineRule="auto"/>
        <w:ind w:left="1080" w:leftChars="257" w:hanging="540"/>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本单位对上述声明的真实性负责。如有虚假，将依法承担相应责任。</w:t>
      </w:r>
    </w:p>
    <w:p w14:paraId="4A961578">
      <w:pPr>
        <w:shd w:val="clear" w:color="auto" w:fill="auto"/>
        <w:spacing w:line="360" w:lineRule="auto"/>
        <w:ind w:left="1080" w:leftChars="257" w:hanging="540"/>
        <w:jc w:val="center"/>
        <w:rPr>
          <w:rFonts w:hint="eastAsia" w:ascii="宋体" w:hAnsi="宋体" w:eastAsia="宋体" w:cs="宋体"/>
          <w:color w:val="auto"/>
          <w:kern w:val="0"/>
          <w:sz w:val="24"/>
          <w:szCs w:val="20"/>
          <w:highlight w:val="none"/>
        </w:rPr>
      </w:pPr>
    </w:p>
    <w:p w14:paraId="0C7C9991">
      <w:pPr>
        <w:shd w:val="clear" w:color="auto" w:fill="auto"/>
        <w:spacing w:line="360" w:lineRule="auto"/>
        <w:ind w:left="1080" w:leftChars="257" w:hanging="540"/>
        <w:jc w:val="center"/>
        <w:rPr>
          <w:rFonts w:hint="eastAsia" w:ascii="宋体" w:hAnsi="宋体" w:eastAsia="宋体" w:cs="宋体"/>
          <w:color w:val="auto"/>
          <w:kern w:val="0"/>
          <w:sz w:val="24"/>
          <w:szCs w:val="20"/>
          <w:highlight w:val="none"/>
        </w:rPr>
      </w:pPr>
    </w:p>
    <w:p w14:paraId="7E1CEB70">
      <w:pPr>
        <w:shd w:val="clear" w:color="auto" w:fill="auto"/>
        <w:spacing w:line="360" w:lineRule="auto"/>
        <w:ind w:left="1080" w:leftChars="257" w:hanging="540"/>
        <w:rPr>
          <w:rFonts w:hint="eastAsia" w:ascii="宋体" w:hAnsi="宋体" w:eastAsia="宋体" w:cs="宋体"/>
          <w:color w:val="auto"/>
          <w:kern w:val="0"/>
          <w:sz w:val="24"/>
          <w:szCs w:val="20"/>
          <w:highlight w:val="none"/>
          <w:u w:val="single"/>
        </w:rPr>
      </w:pPr>
      <w:r>
        <w:rPr>
          <w:rFonts w:hint="eastAsia" w:ascii="宋体" w:hAnsi="宋体" w:eastAsia="宋体" w:cs="宋体"/>
          <w:color w:val="auto"/>
          <w:kern w:val="0"/>
          <w:sz w:val="24"/>
          <w:szCs w:val="20"/>
          <w:highlight w:val="none"/>
        </w:rPr>
        <w:t>残疾人福利性单位（</w:t>
      </w:r>
      <w:r>
        <w:rPr>
          <w:rFonts w:hint="eastAsia" w:ascii="宋体" w:hAnsi="宋体" w:eastAsia="宋体" w:cs="宋体"/>
          <w:color w:val="auto"/>
          <w:sz w:val="24"/>
          <w:highlight w:val="none"/>
        </w:rPr>
        <w:t>盖公章</w:t>
      </w:r>
      <w:r>
        <w:rPr>
          <w:rFonts w:hint="eastAsia" w:ascii="宋体" w:hAnsi="宋体" w:eastAsia="宋体" w:cs="宋体"/>
          <w:color w:val="auto"/>
          <w:kern w:val="0"/>
          <w:sz w:val="24"/>
          <w:szCs w:val="20"/>
          <w:highlight w:val="none"/>
        </w:rPr>
        <w:t>）：</w:t>
      </w:r>
      <w:r>
        <w:rPr>
          <w:rFonts w:hint="eastAsia" w:ascii="宋体" w:hAnsi="宋体" w:eastAsia="宋体" w:cs="宋体"/>
          <w:color w:val="auto"/>
          <w:kern w:val="0"/>
          <w:sz w:val="24"/>
          <w:szCs w:val="20"/>
          <w:highlight w:val="none"/>
          <w:u w:val="single"/>
        </w:rPr>
        <w:t xml:space="preserve">                        </w:t>
      </w:r>
    </w:p>
    <w:p w14:paraId="4B041D15">
      <w:pPr>
        <w:shd w:val="clear" w:color="auto" w:fill="auto"/>
        <w:spacing w:line="360" w:lineRule="auto"/>
        <w:ind w:left="1080" w:leftChars="257" w:hanging="540"/>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 xml:space="preserve">法定代表人或授权代表（签字或盖章）:  </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highlight w:val="none"/>
        </w:rPr>
        <w:t xml:space="preserve">         </w:t>
      </w:r>
    </w:p>
    <w:p w14:paraId="74A84A33">
      <w:pPr>
        <w:shd w:val="clear" w:color="auto" w:fill="auto"/>
        <w:spacing w:line="360" w:lineRule="auto"/>
        <w:ind w:firstLine="600" w:firstLineChars="250"/>
        <w:rPr>
          <w:rFonts w:hint="eastAsia" w:ascii="宋体" w:hAnsi="宋体" w:eastAsia="宋体" w:cs="宋体"/>
          <w:color w:val="auto"/>
          <w:kern w:val="0"/>
          <w:sz w:val="24"/>
          <w:szCs w:val="20"/>
          <w:highlight w:val="none"/>
          <w:u w:val="single"/>
        </w:rPr>
      </w:pPr>
      <w:r>
        <w:rPr>
          <w:rFonts w:hint="eastAsia" w:ascii="宋体" w:hAnsi="宋体" w:eastAsia="宋体" w:cs="宋体"/>
          <w:color w:val="auto"/>
          <w:kern w:val="0"/>
          <w:sz w:val="24"/>
          <w:szCs w:val="20"/>
          <w:highlight w:val="none"/>
        </w:rPr>
        <w:t>日  期：</w:t>
      </w:r>
      <w:r>
        <w:rPr>
          <w:rFonts w:hint="eastAsia" w:ascii="宋体" w:hAnsi="宋体" w:eastAsia="宋体" w:cs="宋体"/>
          <w:color w:val="auto"/>
          <w:kern w:val="0"/>
          <w:sz w:val="24"/>
          <w:szCs w:val="20"/>
          <w:highlight w:val="none"/>
          <w:u w:val="single"/>
        </w:rPr>
        <w:t xml:space="preserve">                                           </w:t>
      </w:r>
    </w:p>
    <w:p w14:paraId="32009BDD">
      <w:pPr>
        <w:shd w:val="clear" w:color="auto" w:fill="auto"/>
        <w:spacing w:line="360" w:lineRule="auto"/>
        <w:ind w:firstLine="600" w:firstLineChars="250"/>
        <w:rPr>
          <w:rFonts w:hint="eastAsia" w:ascii="宋体" w:hAnsi="宋体" w:eastAsia="宋体" w:cs="宋体"/>
          <w:color w:val="auto"/>
          <w:kern w:val="0"/>
          <w:sz w:val="24"/>
          <w:szCs w:val="20"/>
          <w:highlight w:val="none"/>
          <w:u w:val="single"/>
        </w:rPr>
      </w:pPr>
    </w:p>
    <w:p w14:paraId="704729A7">
      <w:pPr>
        <w:shd w:val="clear" w:color="auto" w:fill="auto"/>
        <w:spacing w:line="360" w:lineRule="auto"/>
        <w:ind w:firstLine="600" w:firstLineChars="250"/>
        <w:rPr>
          <w:rFonts w:hint="eastAsia" w:ascii="宋体" w:hAnsi="宋体" w:eastAsia="宋体" w:cs="宋体"/>
          <w:color w:val="auto"/>
          <w:kern w:val="0"/>
          <w:sz w:val="24"/>
          <w:szCs w:val="20"/>
          <w:highlight w:val="none"/>
          <w:u w:val="single"/>
        </w:rPr>
      </w:pPr>
    </w:p>
    <w:p w14:paraId="51761D74">
      <w:pPr>
        <w:shd w:val="clear" w:color="auto" w:fill="auto"/>
        <w:spacing w:line="360" w:lineRule="auto"/>
        <w:ind w:firstLine="600" w:firstLineChars="250"/>
        <w:rPr>
          <w:rFonts w:hint="eastAsia" w:ascii="宋体" w:hAnsi="宋体" w:eastAsia="宋体" w:cs="宋体"/>
          <w:color w:val="auto"/>
          <w:kern w:val="0"/>
          <w:sz w:val="24"/>
          <w:szCs w:val="20"/>
          <w:highlight w:val="none"/>
          <w:u w:val="single"/>
        </w:rPr>
      </w:pPr>
    </w:p>
    <w:p w14:paraId="3E16D01D">
      <w:pPr>
        <w:shd w:val="clear" w:color="auto" w:fill="auto"/>
        <w:spacing w:line="360" w:lineRule="auto"/>
        <w:ind w:firstLine="600" w:firstLineChars="250"/>
        <w:rPr>
          <w:rFonts w:hint="eastAsia" w:ascii="宋体" w:hAnsi="宋体" w:eastAsia="宋体" w:cs="宋体"/>
          <w:color w:val="auto"/>
          <w:kern w:val="0"/>
          <w:sz w:val="24"/>
          <w:szCs w:val="20"/>
          <w:highlight w:val="none"/>
          <w:u w:val="single"/>
        </w:rPr>
      </w:pPr>
    </w:p>
    <w:p w14:paraId="781BA63C">
      <w:pPr>
        <w:shd w:val="clear" w:color="auto" w:fill="auto"/>
        <w:spacing w:line="360" w:lineRule="auto"/>
        <w:ind w:firstLine="600" w:firstLineChars="250"/>
        <w:rPr>
          <w:rFonts w:hint="eastAsia" w:ascii="宋体" w:hAnsi="宋体" w:eastAsia="宋体" w:cs="宋体"/>
          <w:color w:val="auto"/>
          <w:kern w:val="0"/>
          <w:sz w:val="24"/>
          <w:szCs w:val="20"/>
          <w:highlight w:val="none"/>
          <w:u w:val="single"/>
        </w:rPr>
      </w:pPr>
    </w:p>
    <w:p w14:paraId="7A45E535">
      <w:pPr>
        <w:shd w:val="clear" w:color="auto" w:fill="auto"/>
        <w:spacing w:line="360" w:lineRule="auto"/>
        <w:ind w:firstLine="600" w:firstLineChars="250"/>
        <w:rPr>
          <w:rFonts w:hint="eastAsia" w:ascii="宋体" w:hAnsi="宋体" w:eastAsia="宋体" w:cs="宋体"/>
          <w:color w:val="auto"/>
          <w:kern w:val="0"/>
          <w:sz w:val="24"/>
          <w:szCs w:val="20"/>
          <w:highlight w:val="none"/>
          <w:u w:val="single"/>
        </w:rPr>
      </w:pPr>
    </w:p>
    <w:p w14:paraId="3E1C10EC">
      <w:pPr>
        <w:shd w:val="clear" w:color="auto" w:fill="auto"/>
        <w:spacing w:line="360" w:lineRule="auto"/>
        <w:rPr>
          <w:rFonts w:hint="eastAsia" w:ascii="宋体" w:hAnsi="宋体" w:eastAsia="宋体" w:cs="宋体"/>
          <w:color w:val="auto"/>
          <w:kern w:val="0"/>
          <w:sz w:val="24"/>
          <w:szCs w:val="20"/>
          <w:highlight w:val="none"/>
          <w:u w:val="single"/>
        </w:rPr>
      </w:pPr>
      <w:r>
        <w:rPr>
          <w:rFonts w:hint="eastAsia" w:ascii="宋体" w:hAnsi="宋体" w:eastAsia="宋体" w:cs="宋体"/>
          <w:color w:val="auto"/>
          <w:kern w:val="0"/>
          <w:sz w:val="24"/>
          <w:szCs w:val="20"/>
          <w:highlight w:val="none"/>
          <w:u w:val="single"/>
        </w:rPr>
        <w:t>注：符合《财政部 民政部 中国残疾人联合会关于促进残疾人就业政府采购政策的通知》价格扣减条件的投标人须提交。</w:t>
      </w:r>
    </w:p>
    <w:p w14:paraId="126C14B6">
      <w:pPr>
        <w:widowControl/>
        <w:numPr>
          <w:ilvl w:val="0"/>
          <w:numId w:val="0"/>
        </w:numPr>
        <w:shd w:val="clear" w:color="auto" w:fill="auto"/>
        <w:spacing w:before="100" w:beforeAutospacing="1" w:after="100" w:afterAutospacing="1" w:line="360" w:lineRule="auto"/>
        <w:jc w:val="center"/>
        <w:rPr>
          <w:rFonts w:hint="eastAsia" w:ascii="宋体" w:hAnsi="宋体" w:eastAsia="宋体" w:cs="宋体"/>
          <w:b/>
          <w:color w:val="auto"/>
          <w:kern w:val="0"/>
          <w:sz w:val="30"/>
          <w:szCs w:val="20"/>
          <w:highlight w:val="none"/>
          <w:lang w:val="en-US" w:eastAsia="zh-CN" w:bidi="ar-SA"/>
        </w:rPr>
      </w:pPr>
    </w:p>
    <w:p w14:paraId="7A14E161">
      <w:pPr>
        <w:widowControl/>
        <w:numPr>
          <w:ilvl w:val="0"/>
          <w:numId w:val="0"/>
        </w:numPr>
        <w:shd w:val="clear" w:color="auto" w:fill="auto"/>
        <w:spacing w:before="100" w:beforeAutospacing="1" w:after="100" w:afterAutospacing="1" w:line="360" w:lineRule="auto"/>
        <w:jc w:val="center"/>
        <w:rPr>
          <w:rFonts w:hint="eastAsia" w:ascii="宋体" w:hAnsi="宋体" w:eastAsia="宋体" w:cs="宋体"/>
          <w:b/>
          <w:color w:val="auto"/>
          <w:kern w:val="0"/>
          <w:sz w:val="30"/>
          <w:szCs w:val="20"/>
          <w:highlight w:val="none"/>
          <w:lang w:val="en-US" w:eastAsia="zh-CN" w:bidi="ar-SA"/>
        </w:rPr>
      </w:pPr>
    </w:p>
    <w:p w14:paraId="4C042C8A">
      <w:pPr>
        <w:widowControl/>
        <w:numPr>
          <w:ilvl w:val="0"/>
          <w:numId w:val="0"/>
        </w:numPr>
        <w:shd w:val="clear" w:color="auto" w:fill="auto"/>
        <w:spacing w:before="100" w:beforeAutospacing="1" w:after="100" w:afterAutospacing="1" w:line="360" w:lineRule="auto"/>
        <w:jc w:val="center"/>
        <w:rPr>
          <w:rFonts w:hint="eastAsia" w:ascii="宋体" w:hAnsi="宋体" w:eastAsia="宋体" w:cs="宋体"/>
          <w:b/>
          <w:color w:val="auto"/>
          <w:kern w:val="0"/>
          <w:sz w:val="30"/>
          <w:szCs w:val="20"/>
          <w:highlight w:val="none"/>
          <w:lang w:val="en-US" w:eastAsia="zh-CN" w:bidi="ar-SA"/>
        </w:rPr>
      </w:pPr>
    </w:p>
    <w:p w14:paraId="16B3A5AA">
      <w:pPr>
        <w:widowControl/>
        <w:numPr>
          <w:ilvl w:val="0"/>
          <w:numId w:val="0"/>
        </w:numPr>
        <w:shd w:val="clear" w:color="auto" w:fill="auto"/>
        <w:spacing w:before="100" w:beforeAutospacing="1" w:after="100" w:afterAutospacing="1" w:line="360" w:lineRule="auto"/>
        <w:jc w:val="center"/>
        <w:rPr>
          <w:rFonts w:hint="eastAsia" w:ascii="宋体" w:hAnsi="宋体" w:eastAsia="宋体" w:cs="宋体"/>
          <w:b/>
          <w:color w:val="auto"/>
          <w:kern w:val="0"/>
          <w:sz w:val="30"/>
          <w:szCs w:val="20"/>
          <w:highlight w:val="none"/>
          <w:lang w:val="en-US" w:eastAsia="zh-CN" w:bidi="ar-SA"/>
        </w:rPr>
      </w:pPr>
    </w:p>
    <w:p w14:paraId="20269B88">
      <w:pPr>
        <w:widowControl/>
        <w:numPr>
          <w:ilvl w:val="0"/>
          <w:numId w:val="0"/>
        </w:numPr>
        <w:shd w:val="clear" w:color="auto" w:fill="auto"/>
        <w:spacing w:before="100" w:beforeAutospacing="1" w:after="100" w:afterAutospacing="1" w:line="360" w:lineRule="auto"/>
        <w:jc w:val="center"/>
        <w:rPr>
          <w:rFonts w:hint="eastAsia" w:ascii="宋体" w:hAnsi="宋体" w:eastAsia="宋体" w:cs="宋体"/>
          <w:b/>
          <w:color w:val="auto"/>
          <w:kern w:val="0"/>
          <w:sz w:val="30"/>
          <w:szCs w:val="20"/>
          <w:highlight w:val="none"/>
          <w:lang w:val="en-US" w:eastAsia="zh-CN" w:bidi="ar-SA"/>
        </w:rPr>
      </w:pPr>
    </w:p>
    <w:p w14:paraId="741D7BBF">
      <w:pPr>
        <w:widowControl/>
        <w:numPr>
          <w:ilvl w:val="0"/>
          <w:numId w:val="0"/>
        </w:numPr>
        <w:shd w:val="clear" w:color="auto" w:fill="auto"/>
        <w:spacing w:before="100" w:beforeAutospacing="1" w:after="100" w:afterAutospacing="1" w:line="360" w:lineRule="auto"/>
        <w:jc w:val="center"/>
        <w:rPr>
          <w:rFonts w:hint="eastAsia" w:ascii="宋体" w:hAnsi="宋体" w:eastAsia="宋体" w:cs="宋体"/>
          <w:color w:val="auto"/>
          <w:highlight w:val="none"/>
        </w:rPr>
      </w:pPr>
      <w:r>
        <w:rPr>
          <w:rFonts w:hint="eastAsia" w:ascii="宋体" w:hAnsi="宋体" w:eastAsia="宋体" w:cs="宋体"/>
          <w:b/>
          <w:color w:val="auto"/>
          <w:kern w:val="0"/>
          <w:sz w:val="30"/>
          <w:szCs w:val="20"/>
          <w:highlight w:val="none"/>
          <w:lang w:val="en-US" w:eastAsia="zh-CN" w:bidi="ar-SA"/>
        </w:rPr>
        <w:t>第五部分</w:t>
      </w:r>
      <w:bookmarkEnd w:id="337"/>
      <w:bookmarkEnd w:id="338"/>
      <w:bookmarkEnd w:id="339"/>
      <w:bookmarkStart w:id="347" w:name="_Toc105438112"/>
      <w:bookmarkStart w:id="348" w:name="_Toc142559904"/>
      <w:bookmarkStart w:id="349" w:name="_Toc23814"/>
      <w:bookmarkStart w:id="350" w:name="_Toc12944"/>
      <w:bookmarkStart w:id="351" w:name="_Toc114840471"/>
      <w:r>
        <w:rPr>
          <w:rFonts w:hint="eastAsia" w:ascii="宋体" w:hAnsi="宋体" w:eastAsia="宋体" w:cs="宋体"/>
          <w:b/>
          <w:color w:val="auto"/>
          <w:kern w:val="0"/>
          <w:sz w:val="30"/>
          <w:szCs w:val="20"/>
          <w:highlight w:val="none"/>
          <w:lang w:val="en-US" w:eastAsia="zh-CN" w:bidi="ar-SA"/>
        </w:rPr>
        <w:t xml:space="preserve"> 投标人参加政府采购活动承诺书</w:t>
      </w:r>
      <w:bookmarkEnd w:id="347"/>
      <w:bookmarkEnd w:id="348"/>
      <w:bookmarkEnd w:id="349"/>
      <w:bookmarkEnd w:id="350"/>
      <w:bookmarkEnd w:id="351"/>
    </w:p>
    <w:p w14:paraId="63D01B1D">
      <w:pPr>
        <w:pStyle w:val="5"/>
        <w:shd w:val="clear" w:color="auto" w:fill="auto"/>
        <w:ind w:firstLine="0" w:firstLineChars="0"/>
        <w:jc w:val="center"/>
        <w:rPr>
          <w:rFonts w:hint="eastAsia" w:ascii="宋体" w:hAnsi="宋体" w:eastAsia="宋体" w:cs="宋体"/>
          <w:color w:val="auto"/>
          <w:highlight w:val="none"/>
        </w:rPr>
      </w:pPr>
      <w:bookmarkStart w:id="352" w:name="_Toc17143"/>
      <w:bookmarkStart w:id="353" w:name="_Toc16244"/>
      <w:bookmarkStart w:id="354" w:name="_Toc25198"/>
      <w:bookmarkStart w:id="355" w:name="_Toc142559905"/>
      <w:bookmarkStart w:id="356" w:name="_Toc17892"/>
      <w:bookmarkStart w:id="357" w:name="_Toc114840473"/>
      <w:bookmarkStart w:id="358" w:name="_Toc105505638"/>
      <w:bookmarkStart w:id="359" w:name="_Toc6216"/>
      <w:r>
        <w:rPr>
          <w:rFonts w:hint="eastAsia" w:ascii="宋体" w:hAnsi="宋体" w:eastAsia="宋体" w:cs="宋体"/>
          <w:color w:val="auto"/>
          <w:highlight w:val="none"/>
        </w:rPr>
        <w:t>参加政府采购活动行为自律承诺书</w:t>
      </w:r>
      <w:bookmarkEnd w:id="352"/>
      <w:bookmarkEnd w:id="353"/>
      <w:bookmarkEnd w:id="354"/>
      <w:bookmarkEnd w:id="355"/>
      <w:bookmarkEnd w:id="356"/>
      <w:bookmarkEnd w:id="357"/>
      <w:bookmarkEnd w:id="358"/>
      <w:bookmarkEnd w:id="359"/>
    </w:p>
    <w:p w14:paraId="73B81C97">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作为参加本次政府采购项目的投标人，我方郑重承诺在参与政府采购活动中遵纪守法、公平竞争、诚实守信，如有违反愿承担一切责任及后果：</w:t>
      </w:r>
    </w:p>
    <w:p w14:paraId="41D27A83">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1．不与采购人、采购代理机构、政府采购评审专家恶意串通，不向其行贿或提供其他不正当利益；</w:t>
      </w:r>
    </w:p>
    <w:p w14:paraId="27C6C528">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2．不与其他投标人恶意串通，采取“围标、串标、陪标”等商业欺诈手段谋取中标、成交；</w:t>
      </w:r>
    </w:p>
    <w:p w14:paraId="3D5DF88B">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3．不提供虚假或无效证明文件（包括但不限于资格证明文件、合同及验收文件、检验检测报告、从业人员资格证书、机构或所投产品的各类认证证书等）或虚假材料谋取中标、成交；</w:t>
      </w:r>
    </w:p>
    <w:p w14:paraId="490E28FF">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4．不采取不正当手段诋毁、排挤其他投标人；</w:t>
      </w:r>
    </w:p>
    <w:p w14:paraId="631305FC">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5．不以不正当理由拒不与采购人签订政府采购合同，或逾期签订政府采购合同，或不按照采购文件确定的事项签订政府采购合同；</w:t>
      </w:r>
    </w:p>
    <w:p w14:paraId="6FDB3D49">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6．不以不正当理由拒绝履行合同义务，不会擅自变更、中止或者终止政府采购合同或将政府采购合同转包；</w:t>
      </w:r>
    </w:p>
    <w:p w14:paraId="523C5D82">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7．不在提供商品、服务实施过程中提供假冒伪劣产品，损害采购人的合法权益或公共利益；</w:t>
      </w:r>
    </w:p>
    <w:p w14:paraId="3371D6F7">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8．不采取捏造事实、提供虚假材料或者以非法手段取得证明材料进行质疑和投诉；</w:t>
      </w:r>
    </w:p>
    <w:p w14:paraId="633704C1">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9．不发生其他有悖于政府采购公开、公平、公正和诚信原则的行为。</w:t>
      </w:r>
    </w:p>
    <w:p w14:paraId="0CF8B8DE">
      <w:pPr>
        <w:shd w:val="clear" w:color="auto" w:fill="auto"/>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10．尊重和接受政府采购监督管理部门的监督和采购人、采购代理机构的政府采购工作要求，愿意承担因违约行为给采购人造成的损失。</w:t>
      </w:r>
    </w:p>
    <w:p w14:paraId="45B33730">
      <w:pPr>
        <w:shd w:val="clear" w:color="auto" w:fill="auto"/>
        <w:spacing w:line="360" w:lineRule="auto"/>
        <w:ind w:firstLine="3376" w:firstLineChars="1407"/>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投标人：（投标人全称并加盖公章）</w:t>
      </w:r>
    </w:p>
    <w:p w14:paraId="289CCC24">
      <w:pPr>
        <w:shd w:val="clear" w:color="auto" w:fill="auto"/>
        <w:spacing w:line="360" w:lineRule="auto"/>
        <w:ind w:firstLine="3376" w:firstLineChars="1407"/>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    年  月  日</w:t>
      </w:r>
    </w:p>
    <w:p w14:paraId="74FCB89F">
      <w:pPr>
        <w:pStyle w:val="4"/>
        <w:numPr>
          <w:ilvl w:val="0"/>
          <w:numId w:val="0"/>
        </w:numPr>
        <w:shd w:val="clear" w:color="auto" w:fill="auto"/>
        <w:ind w:leftChars="0"/>
        <w:jc w:val="center"/>
        <w:rPr>
          <w:rFonts w:hint="eastAsia" w:ascii="宋体" w:hAnsi="宋体" w:eastAsia="宋体" w:cs="宋体"/>
          <w:b/>
          <w:color w:val="auto"/>
          <w:kern w:val="0"/>
          <w:sz w:val="30"/>
          <w:szCs w:val="30"/>
          <w:highlight w:val="none"/>
          <w:shd w:val="clear" w:color="auto" w:fill="FFFFFF"/>
          <w:lang w:val="zh-CN" w:eastAsia="zh-CN"/>
        </w:rPr>
      </w:pPr>
    </w:p>
    <w:p w14:paraId="4632100D">
      <w:pPr>
        <w:pStyle w:val="4"/>
        <w:numPr>
          <w:ilvl w:val="0"/>
          <w:numId w:val="0"/>
        </w:numPr>
        <w:shd w:val="clear" w:color="auto" w:fill="auto"/>
        <w:ind w:leftChars="0"/>
        <w:jc w:val="center"/>
        <w:rPr>
          <w:rFonts w:hint="eastAsia" w:ascii="宋体" w:hAnsi="宋体" w:eastAsia="宋体" w:cs="宋体"/>
          <w:b/>
          <w:color w:val="auto"/>
          <w:kern w:val="0"/>
          <w:sz w:val="30"/>
          <w:szCs w:val="30"/>
          <w:highlight w:val="none"/>
          <w:shd w:val="clear" w:color="auto" w:fill="FFFFFF"/>
          <w:lang w:val="zh-CN" w:eastAsia="zh-CN"/>
        </w:rPr>
      </w:pPr>
    </w:p>
    <w:p w14:paraId="3DFF27DA">
      <w:pPr>
        <w:pStyle w:val="4"/>
        <w:numPr>
          <w:ilvl w:val="0"/>
          <w:numId w:val="0"/>
        </w:numPr>
        <w:shd w:val="clear" w:color="auto" w:fill="auto"/>
        <w:ind w:leftChars="0"/>
        <w:jc w:val="center"/>
        <w:rPr>
          <w:rFonts w:hint="eastAsia" w:ascii="宋体" w:hAnsi="宋体" w:eastAsia="宋体" w:cs="宋体"/>
          <w:b/>
          <w:color w:val="auto"/>
          <w:kern w:val="0"/>
          <w:sz w:val="30"/>
          <w:szCs w:val="30"/>
          <w:highlight w:val="none"/>
          <w:shd w:val="clear" w:color="auto" w:fill="FFFFFF"/>
          <w:lang w:val="zh-CN" w:eastAsia="zh-CN"/>
        </w:rPr>
      </w:pPr>
    </w:p>
    <w:p w14:paraId="6FEE4EA5">
      <w:pPr>
        <w:pStyle w:val="4"/>
        <w:numPr>
          <w:ilvl w:val="0"/>
          <w:numId w:val="0"/>
        </w:numPr>
        <w:shd w:val="clear" w:color="auto" w:fill="auto"/>
        <w:ind w:left="0" w:leftChars="0" w:firstLine="420" w:firstLineChars="0"/>
        <w:jc w:val="center"/>
        <w:rPr>
          <w:rFonts w:hint="eastAsia" w:ascii="宋体" w:hAnsi="宋体" w:eastAsia="宋体" w:cs="宋体"/>
          <w:b/>
          <w:color w:val="auto"/>
          <w:kern w:val="0"/>
          <w:sz w:val="30"/>
          <w:szCs w:val="30"/>
          <w:highlight w:val="none"/>
          <w:shd w:val="clear" w:color="auto" w:fill="FFFFFF"/>
          <w:lang w:val="zh-CN" w:eastAsia="zh-CN"/>
        </w:rPr>
      </w:pPr>
      <w:r>
        <w:rPr>
          <w:rFonts w:hint="eastAsia" w:ascii="宋体" w:hAnsi="宋体" w:eastAsia="宋体" w:cs="宋体"/>
          <w:b/>
          <w:color w:val="auto"/>
          <w:kern w:val="0"/>
          <w:sz w:val="30"/>
          <w:szCs w:val="30"/>
          <w:highlight w:val="none"/>
          <w:shd w:val="clear" w:color="auto" w:fill="FFFFFF"/>
          <w:lang w:val="zh-CN" w:eastAsia="zh-CN" w:bidi="ar-SA"/>
        </w:rPr>
        <w:t>第六部分</w:t>
      </w:r>
      <w:r>
        <w:rPr>
          <w:rFonts w:hint="eastAsia" w:ascii="宋体" w:hAnsi="宋体" w:eastAsia="宋体" w:cs="宋体"/>
          <w:b/>
          <w:color w:val="auto"/>
          <w:kern w:val="0"/>
          <w:sz w:val="30"/>
          <w:szCs w:val="30"/>
          <w:highlight w:val="none"/>
          <w:shd w:val="clear" w:color="auto" w:fill="FFFFFF"/>
          <w:lang w:val="zh-CN" w:eastAsia="zh-CN"/>
        </w:rPr>
        <w:t xml:space="preserve"> 投标方案</w:t>
      </w:r>
    </w:p>
    <w:p w14:paraId="28F80BA9">
      <w:pPr>
        <w:pStyle w:val="9"/>
        <w:shd w:val="clear" w:color="auto" w:fill="auto"/>
        <w:spacing w:line="360" w:lineRule="auto"/>
        <w:ind w:left="1080" w:leftChars="257" w:hanging="540"/>
        <w:rPr>
          <w:rFonts w:hint="eastAsia" w:ascii="宋体" w:hAnsi="宋体" w:eastAsia="宋体" w:cs="宋体"/>
          <w:color w:val="auto"/>
          <w:sz w:val="24"/>
          <w:highlight w:val="none"/>
        </w:rPr>
      </w:pPr>
    </w:p>
    <w:p w14:paraId="72FCD072">
      <w:pPr>
        <w:pStyle w:val="5"/>
        <w:shd w:val="clear" w:color="auto" w:fill="auto"/>
        <w:ind w:firstLine="0" w:firstLineChars="0"/>
        <w:jc w:val="center"/>
        <w:rPr>
          <w:rFonts w:hint="eastAsia" w:ascii="宋体" w:hAnsi="宋体" w:eastAsia="宋体" w:cs="宋体"/>
          <w:color w:val="auto"/>
          <w:sz w:val="32"/>
          <w:szCs w:val="32"/>
          <w:highlight w:val="none"/>
        </w:rPr>
      </w:pPr>
      <w:bookmarkStart w:id="360" w:name="_Toc60929140"/>
      <w:bookmarkStart w:id="361" w:name="_Toc23657"/>
      <w:bookmarkStart w:id="362" w:name="_Toc62194352"/>
      <w:bookmarkStart w:id="363" w:name="_Toc24957"/>
      <w:bookmarkStart w:id="364" w:name="_Toc14086"/>
      <w:bookmarkStart w:id="365" w:name="_Toc60928908"/>
      <w:bookmarkStart w:id="366" w:name="_Toc216582817"/>
      <w:bookmarkStart w:id="367" w:name="_Toc515647820"/>
      <w:bookmarkStart w:id="368" w:name="_Toc28959"/>
      <w:bookmarkStart w:id="369" w:name="_Toc22563"/>
      <w:bookmarkStart w:id="370" w:name="_Toc532473509"/>
      <w:r>
        <w:rPr>
          <w:rFonts w:hint="eastAsia" w:ascii="宋体" w:hAnsi="宋体" w:eastAsia="宋体" w:cs="宋体"/>
          <w:color w:val="auto"/>
          <w:sz w:val="32"/>
          <w:szCs w:val="32"/>
          <w:highlight w:val="none"/>
        </w:rPr>
        <w:t>技术偏离表</w:t>
      </w:r>
      <w:bookmarkEnd w:id="360"/>
      <w:bookmarkEnd w:id="361"/>
      <w:bookmarkEnd w:id="362"/>
      <w:bookmarkEnd w:id="363"/>
      <w:bookmarkEnd w:id="364"/>
      <w:bookmarkEnd w:id="365"/>
      <w:bookmarkEnd w:id="366"/>
    </w:p>
    <w:bookmarkEnd w:id="367"/>
    <w:bookmarkEnd w:id="368"/>
    <w:bookmarkEnd w:id="369"/>
    <w:bookmarkEnd w:id="370"/>
    <w:p w14:paraId="4F5691D5">
      <w:pPr>
        <w:pStyle w:val="8"/>
        <w:shd w:val="clear" w:color="auto" w:fill="auto"/>
        <w:rPr>
          <w:rFonts w:hint="eastAsia" w:ascii="宋体" w:hAnsi="宋体" w:eastAsia="宋体" w:cs="宋体"/>
          <w:color w:val="auto"/>
          <w:highlight w:val="none"/>
          <w:u w:val="single"/>
        </w:rPr>
      </w:pPr>
      <w:r>
        <w:rPr>
          <w:rFonts w:hint="eastAsia" w:ascii="宋体" w:hAnsi="宋体" w:eastAsia="宋体" w:cs="宋体"/>
          <w:color w:val="auto"/>
          <w:highlight w:val="none"/>
        </w:rPr>
        <w:t>项目编号：</w:t>
      </w:r>
    </w:p>
    <w:p w14:paraId="2727605E">
      <w:pPr>
        <w:pStyle w:val="9"/>
        <w:shd w:val="clear" w:color="auto" w:fill="auto"/>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p>
    <w:tbl>
      <w:tblPr>
        <w:tblStyle w:val="15"/>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422"/>
        <w:gridCol w:w="993"/>
        <w:gridCol w:w="1842"/>
        <w:gridCol w:w="1560"/>
        <w:gridCol w:w="1134"/>
        <w:gridCol w:w="1112"/>
      </w:tblGrid>
      <w:tr w14:paraId="7BE58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center"/>
          </w:tcPr>
          <w:p w14:paraId="03409EB5">
            <w:pPr>
              <w:pStyle w:val="9"/>
              <w:shd w:val="clear" w:color="auto" w:fill="auto"/>
              <w:ind w:left="-31" w:leftChars="-1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422" w:type="dxa"/>
            <w:noWrap w:val="0"/>
            <w:vAlign w:val="center"/>
          </w:tcPr>
          <w:p w14:paraId="4E05571F">
            <w:pPr>
              <w:pStyle w:val="9"/>
              <w:shd w:val="clear" w:color="auto" w:fill="auto"/>
              <w:ind w:left="-149" w:leftChars="-7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货物名称</w:t>
            </w:r>
          </w:p>
        </w:tc>
        <w:tc>
          <w:tcPr>
            <w:tcW w:w="993" w:type="dxa"/>
            <w:noWrap w:val="0"/>
            <w:vAlign w:val="center"/>
          </w:tcPr>
          <w:p w14:paraId="7C1CDFE2">
            <w:pPr>
              <w:pStyle w:val="9"/>
              <w:shd w:val="clear" w:color="auto" w:fill="auto"/>
              <w:ind w:left="-107" w:leftChars="-5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1842" w:type="dxa"/>
            <w:noWrap w:val="0"/>
            <w:vAlign w:val="center"/>
          </w:tcPr>
          <w:p w14:paraId="319644DD">
            <w:pPr>
              <w:pStyle w:val="9"/>
              <w:shd w:val="clear" w:color="auto" w:fill="auto"/>
              <w:ind w:left="-206" w:leftChars="-98" w:right="-166" w:rightChars="-79"/>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招标要求</w:t>
            </w:r>
          </w:p>
        </w:tc>
        <w:tc>
          <w:tcPr>
            <w:tcW w:w="1560" w:type="dxa"/>
            <w:noWrap w:val="0"/>
            <w:vAlign w:val="center"/>
          </w:tcPr>
          <w:p w14:paraId="2F968DC5">
            <w:pPr>
              <w:pStyle w:val="9"/>
              <w:shd w:val="clear" w:color="auto" w:fill="auto"/>
              <w:ind w:left="-48" w:leftChars="-23"/>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投标响应</w:t>
            </w:r>
          </w:p>
        </w:tc>
        <w:tc>
          <w:tcPr>
            <w:tcW w:w="1134" w:type="dxa"/>
            <w:noWrap w:val="0"/>
            <w:vAlign w:val="center"/>
          </w:tcPr>
          <w:p w14:paraId="2537B5D4">
            <w:pPr>
              <w:pStyle w:val="9"/>
              <w:shd w:val="clear" w:color="auto" w:fill="auto"/>
              <w:ind w:left="-34" w:leftChars="-16"/>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w:t>
            </w:r>
          </w:p>
        </w:tc>
        <w:tc>
          <w:tcPr>
            <w:tcW w:w="1112" w:type="dxa"/>
            <w:noWrap w:val="0"/>
            <w:vAlign w:val="center"/>
          </w:tcPr>
          <w:p w14:paraId="1E4A8E97">
            <w:pPr>
              <w:pStyle w:val="9"/>
              <w:shd w:val="clear" w:color="auto" w:fill="auto"/>
              <w:ind w:left="-82" w:leftChars="-39"/>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r>
      <w:tr w14:paraId="0ED47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2E43B867">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422" w:type="dxa"/>
            <w:noWrap w:val="0"/>
            <w:vAlign w:val="top"/>
          </w:tcPr>
          <w:p w14:paraId="26694E6C">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993" w:type="dxa"/>
            <w:noWrap w:val="0"/>
            <w:vAlign w:val="top"/>
          </w:tcPr>
          <w:p w14:paraId="663E649E">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842" w:type="dxa"/>
            <w:noWrap w:val="0"/>
            <w:vAlign w:val="top"/>
          </w:tcPr>
          <w:p w14:paraId="58F672D2">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560" w:type="dxa"/>
            <w:noWrap w:val="0"/>
            <w:vAlign w:val="top"/>
          </w:tcPr>
          <w:p w14:paraId="2C024E67">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34" w:type="dxa"/>
            <w:noWrap w:val="0"/>
            <w:vAlign w:val="top"/>
          </w:tcPr>
          <w:p w14:paraId="648422EE">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12" w:type="dxa"/>
            <w:noWrap w:val="0"/>
            <w:vAlign w:val="top"/>
          </w:tcPr>
          <w:p w14:paraId="4B0DB259">
            <w:pPr>
              <w:pStyle w:val="9"/>
              <w:shd w:val="clear" w:color="auto" w:fill="auto"/>
              <w:spacing w:line="360" w:lineRule="auto"/>
              <w:ind w:left="1080" w:leftChars="257" w:hanging="540"/>
              <w:rPr>
                <w:rFonts w:hint="eastAsia" w:ascii="宋体" w:hAnsi="宋体" w:eastAsia="宋体" w:cs="宋体"/>
                <w:color w:val="auto"/>
                <w:sz w:val="24"/>
                <w:highlight w:val="none"/>
              </w:rPr>
            </w:pPr>
          </w:p>
        </w:tc>
      </w:tr>
      <w:tr w14:paraId="51EB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5278D073">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422" w:type="dxa"/>
            <w:noWrap w:val="0"/>
            <w:vAlign w:val="top"/>
          </w:tcPr>
          <w:p w14:paraId="776BECA4">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993" w:type="dxa"/>
            <w:noWrap w:val="0"/>
            <w:vAlign w:val="top"/>
          </w:tcPr>
          <w:p w14:paraId="63DFFE5F">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842" w:type="dxa"/>
            <w:noWrap w:val="0"/>
            <w:vAlign w:val="top"/>
          </w:tcPr>
          <w:p w14:paraId="1DB7D0C7">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560" w:type="dxa"/>
            <w:noWrap w:val="0"/>
            <w:vAlign w:val="top"/>
          </w:tcPr>
          <w:p w14:paraId="6113F105">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34" w:type="dxa"/>
            <w:noWrap w:val="0"/>
            <w:vAlign w:val="top"/>
          </w:tcPr>
          <w:p w14:paraId="59E67C33">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12" w:type="dxa"/>
            <w:noWrap w:val="0"/>
            <w:vAlign w:val="top"/>
          </w:tcPr>
          <w:p w14:paraId="100647E5">
            <w:pPr>
              <w:pStyle w:val="9"/>
              <w:shd w:val="clear" w:color="auto" w:fill="auto"/>
              <w:spacing w:line="360" w:lineRule="auto"/>
              <w:ind w:left="1080" w:leftChars="257" w:hanging="540"/>
              <w:rPr>
                <w:rFonts w:hint="eastAsia" w:ascii="宋体" w:hAnsi="宋体" w:eastAsia="宋体" w:cs="宋体"/>
                <w:color w:val="auto"/>
                <w:sz w:val="24"/>
                <w:highlight w:val="none"/>
              </w:rPr>
            </w:pPr>
          </w:p>
        </w:tc>
      </w:tr>
      <w:tr w14:paraId="6646E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50790EF0">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422" w:type="dxa"/>
            <w:noWrap w:val="0"/>
            <w:vAlign w:val="top"/>
          </w:tcPr>
          <w:p w14:paraId="3365E3C0">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993" w:type="dxa"/>
            <w:noWrap w:val="0"/>
            <w:vAlign w:val="top"/>
          </w:tcPr>
          <w:p w14:paraId="4BA1CE06">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842" w:type="dxa"/>
            <w:noWrap w:val="0"/>
            <w:vAlign w:val="top"/>
          </w:tcPr>
          <w:p w14:paraId="565D9FA5">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560" w:type="dxa"/>
            <w:noWrap w:val="0"/>
            <w:vAlign w:val="top"/>
          </w:tcPr>
          <w:p w14:paraId="31DD6FEF">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34" w:type="dxa"/>
            <w:noWrap w:val="0"/>
            <w:vAlign w:val="top"/>
          </w:tcPr>
          <w:p w14:paraId="67203498">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12" w:type="dxa"/>
            <w:noWrap w:val="0"/>
            <w:vAlign w:val="top"/>
          </w:tcPr>
          <w:p w14:paraId="0E2B517E">
            <w:pPr>
              <w:pStyle w:val="9"/>
              <w:shd w:val="clear" w:color="auto" w:fill="auto"/>
              <w:spacing w:line="360" w:lineRule="auto"/>
              <w:ind w:left="1080" w:leftChars="257" w:hanging="540"/>
              <w:rPr>
                <w:rFonts w:hint="eastAsia" w:ascii="宋体" w:hAnsi="宋体" w:eastAsia="宋体" w:cs="宋体"/>
                <w:color w:val="auto"/>
                <w:sz w:val="24"/>
                <w:highlight w:val="none"/>
              </w:rPr>
            </w:pPr>
          </w:p>
        </w:tc>
      </w:tr>
      <w:tr w14:paraId="12BC4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6A5FCDB8">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422" w:type="dxa"/>
            <w:noWrap w:val="0"/>
            <w:vAlign w:val="top"/>
          </w:tcPr>
          <w:p w14:paraId="19DF6831">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993" w:type="dxa"/>
            <w:noWrap w:val="0"/>
            <w:vAlign w:val="top"/>
          </w:tcPr>
          <w:p w14:paraId="7A4525B8">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842" w:type="dxa"/>
            <w:noWrap w:val="0"/>
            <w:vAlign w:val="top"/>
          </w:tcPr>
          <w:p w14:paraId="67D561C2">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560" w:type="dxa"/>
            <w:noWrap w:val="0"/>
            <w:vAlign w:val="top"/>
          </w:tcPr>
          <w:p w14:paraId="4CF4352E">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34" w:type="dxa"/>
            <w:noWrap w:val="0"/>
            <w:vAlign w:val="top"/>
          </w:tcPr>
          <w:p w14:paraId="04377DE3">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12" w:type="dxa"/>
            <w:noWrap w:val="0"/>
            <w:vAlign w:val="top"/>
          </w:tcPr>
          <w:p w14:paraId="1C401DC9">
            <w:pPr>
              <w:pStyle w:val="9"/>
              <w:shd w:val="clear" w:color="auto" w:fill="auto"/>
              <w:spacing w:line="360" w:lineRule="auto"/>
              <w:ind w:left="1080" w:leftChars="257" w:hanging="540"/>
              <w:rPr>
                <w:rFonts w:hint="eastAsia" w:ascii="宋体" w:hAnsi="宋体" w:eastAsia="宋体" w:cs="宋体"/>
                <w:color w:val="auto"/>
                <w:sz w:val="24"/>
                <w:highlight w:val="none"/>
              </w:rPr>
            </w:pPr>
          </w:p>
        </w:tc>
      </w:tr>
      <w:tr w14:paraId="68999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7F3A43D5">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422" w:type="dxa"/>
            <w:noWrap w:val="0"/>
            <w:vAlign w:val="top"/>
          </w:tcPr>
          <w:p w14:paraId="10BF7BA1">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993" w:type="dxa"/>
            <w:noWrap w:val="0"/>
            <w:vAlign w:val="top"/>
          </w:tcPr>
          <w:p w14:paraId="27ADCAE4">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842" w:type="dxa"/>
            <w:noWrap w:val="0"/>
            <w:vAlign w:val="top"/>
          </w:tcPr>
          <w:p w14:paraId="1F1E3BE5">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560" w:type="dxa"/>
            <w:noWrap w:val="0"/>
            <w:vAlign w:val="top"/>
          </w:tcPr>
          <w:p w14:paraId="1666871C">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34" w:type="dxa"/>
            <w:noWrap w:val="0"/>
            <w:vAlign w:val="top"/>
          </w:tcPr>
          <w:p w14:paraId="327CD9A0">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12" w:type="dxa"/>
            <w:noWrap w:val="0"/>
            <w:vAlign w:val="top"/>
          </w:tcPr>
          <w:p w14:paraId="1E129C33">
            <w:pPr>
              <w:pStyle w:val="9"/>
              <w:shd w:val="clear" w:color="auto" w:fill="auto"/>
              <w:spacing w:line="360" w:lineRule="auto"/>
              <w:ind w:left="1080" w:leftChars="257" w:hanging="540"/>
              <w:rPr>
                <w:rFonts w:hint="eastAsia" w:ascii="宋体" w:hAnsi="宋体" w:eastAsia="宋体" w:cs="宋体"/>
                <w:color w:val="auto"/>
                <w:sz w:val="24"/>
                <w:highlight w:val="none"/>
              </w:rPr>
            </w:pPr>
          </w:p>
        </w:tc>
      </w:tr>
      <w:tr w14:paraId="08002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6AEB9E20">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422" w:type="dxa"/>
            <w:noWrap w:val="0"/>
            <w:vAlign w:val="top"/>
          </w:tcPr>
          <w:p w14:paraId="252A6316">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993" w:type="dxa"/>
            <w:noWrap w:val="0"/>
            <w:vAlign w:val="top"/>
          </w:tcPr>
          <w:p w14:paraId="582FF09A">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842" w:type="dxa"/>
            <w:noWrap w:val="0"/>
            <w:vAlign w:val="top"/>
          </w:tcPr>
          <w:p w14:paraId="09F6CA1F">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560" w:type="dxa"/>
            <w:noWrap w:val="0"/>
            <w:vAlign w:val="top"/>
          </w:tcPr>
          <w:p w14:paraId="2E39C322">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34" w:type="dxa"/>
            <w:noWrap w:val="0"/>
            <w:vAlign w:val="top"/>
          </w:tcPr>
          <w:p w14:paraId="0A692743">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12" w:type="dxa"/>
            <w:noWrap w:val="0"/>
            <w:vAlign w:val="top"/>
          </w:tcPr>
          <w:p w14:paraId="226CA69A">
            <w:pPr>
              <w:pStyle w:val="9"/>
              <w:shd w:val="clear" w:color="auto" w:fill="auto"/>
              <w:spacing w:line="360" w:lineRule="auto"/>
              <w:ind w:left="1080" w:leftChars="257" w:hanging="540"/>
              <w:rPr>
                <w:rFonts w:hint="eastAsia" w:ascii="宋体" w:hAnsi="宋体" w:eastAsia="宋体" w:cs="宋体"/>
                <w:color w:val="auto"/>
                <w:sz w:val="24"/>
                <w:highlight w:val="none"/>
              </w:rPr>
            </w:pPr>
          </w:p>
        </w:tc>
      </w:tr>
      <w:tr w14:paraId="553E2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5BA09143">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422" w:type="dxa"/>
            <w:noWrap w:val="0"/>
            <w:vAlign w:val="top"/>
          </w:tcPr>
          <w:p w14:paraId="26836AE3">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993" w:type="dxa"/>
            <w:noWrap w:val="0"/>
            <w:vAlign w:val="top"/>
          </w:tcPr>
          <w:p w14:paraId="338839F3">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842" w:type="dxa"/>
            <w:noWrap w:val="0"/>
            <w:vAlign w:val="top"/>
          </w:tcPr>
          <w:p w14:paraId="288988B4">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560" w:type="dxa"/>
            <w:noWrap w:val="0"/>
            <w:vAlign w:val="top"/>
          </w:tcPr>
          <w:p w14:paraId="3C547C7E">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34" w:type="dxa"/>
            <w:noWrap w:val="0"/>
            <w:vAlign w:val="top"/>
          </w:tcPr>
          <w:p w14:paraId="7B83EB54">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12" w:type="dxa"/>
            <w:noWrap w:val="0"/>
            <w:vAlign w:val="top"/>
          </w:tcPr>
          <w:p w14:paraId="3D371633">
            <w:pPr>
              <w:pStyle w:val="9"/>
              <w:shd w:val="clear" w:color="auto" w:fill="auto"/>
              <w:spacing w:line="360" w:lineRule="auto"/>
              <w:ind w:left="1080" w:leftChars="257" w:hanging="540"/>
              <w:rPr>
                <w:rFonts w:hint="eastAsia" w:ascii="宋体" w:hAnsi="宋体" w:eastAsia="宋体" w:cs="宋体"/>
                <w:color w:val="auto"/>
                <w:sz w:val="24"/>
                <w:highlight w:val="none"/>
              </w:rPr>
            </w:pPr>
          </w:p>
        </w:tc>
      </w:tr>
      <w:tr w14:paraId="523F7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32F5FE19">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422" w:type="dxa"/>
            <w:noWrap w:val="0"/>
            <w:vAlign w:val="top"/>
          </w:tcPr>
          <w:p w14:paraId="689C2B7C">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993" w:type="dxa"/>
            <w:noWrap w:val="0"/>
            <w:vAlign w:val="top"/>
          </w:tcPr>
          <w:p w14:paraId="4C03310B">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842" w:type="dxa"/>
            <w:noWrap w:val="0"/>
            <w:vAlign w:val="top"/>
          </w:tcPr>
          <w:p w14:paraId="58759376">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560" w:type="dxa"/>
            <w:noWrap w:val="0"/>
            <w:vAlign w:val="top"/>
          </w:tcPr>
          <w:p w14:paraId="34E13973">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34" w:type="dxa"/>
            <w:noWrap w:val="0"/>
            <w:vAlign w:val="top"/>
          </w:tcPr>
          <w:p w14:paraId="18FBCBDA">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12" w:type="dxa"/>
            <w:noWrap w:val="0"/>
            <w:vAlign w:val="top"/>
          </w:tcPr>
          <w:p w14:paraId="26D0F83D">
            <w:pPr>
              <w:pStyle w:val="9"/>
              <w:shd w:val="clear" w:color="auto" w:fill="auto"/>
              <w:spacing w:line="360" w:lineRule="auto"/>
              <w:ind w:left="1080" w:leftChars="257" w:hanging="540"/>
              <w:rPr>
                <w:rFonts w:hint="eastAsia" w:ascii="宋体" w:hAnsi="宋体" w:eastAsia="宋体" w:cs="宋体"/>
                <w:color w:val="auto"/>
                <w:sz w:val="24"/>
                <w:highlight w:val="none"/>
              </w:rPr>
            </w:pPr>
          </w:p>
        </w:tc>
      </w:tr>
      <w:tr w14:paraId="3CDC5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685" w:type="dxa"/>
            <w:noWrap w:val="0"/>
            <w:vAlign w:val="top"/>
          </w:tcPr>
          <w:p w14:paraId="2F57EB02">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422" w:type="dxa"/>
            <w:noWrap w:val="0"/>
            <w:vAlign w:val="top"/>
          </w:tcPr>
          <w:p w14:paraId="1E25BF23">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993" w:type="dxa"/>
            <w:noWrap w:val="0"/>
            <w:vAlign w:val="top"/>
          </w:tcPr>
          <w:p w14:paraId="0C05770B">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842" w:type="dxa"/>
            <w:noWrap w:val="0"/>
            <w:vAlign w:val="top"/>
          </w:tcPr>
          <w:p w14:paraId="258CC01B">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560" w:type="dxa"/>
            <w:noWrap w:val="0"/>
            <w:vAlign w:val="top"/>
          </w:tcPr>
          <w:p w14:paraId="5D092426">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34" w:type="dxa"/>
            <w:noWrap w:val="0"/>
            <w:vAlign w:val="top"/>
          </w:tcPr>
          <w:p w14:paraId="13D7EF5B">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12" w:type="dxa"/>
            <w:noWrap w:val="0"/>
            <w:vAlign w:val="top"/>
          </w:tcPr>
          <w:p w14:paraId="04A06007">
            <w:pPr>
              <w:pStyle w:val="9"/>
              <w:shd w:val="clear" w:color="auto" w:fill="auto"/>
              <w:spacing w:line="360" w:lineRule="auto"/>
              <w:ind w:left="1080" w:leftChars="257" w:hanging="540"/>
              <w:rPr>
                <w:rFonts w:hint="eastAsia" w:ascii="宋体" w:hAnsi="宋体" w:eastAsia="宋体" w:cs="宋体"/>
                <w:color w:val="auto"/>
                <w:sz w:val="24"/>
                <w:highlight w:val="none"/>
              </w:rPr>
            </w:pPr>
          </w:p>
        </w:tc>
      </w:tr>
      <w:tr w14:paraId="65D81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167465C1">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422" w:type="dxa"/>
            <w:noWrap w:val="0"/>
            <w:vAlign w:val="top"/>
          </w:tcPr>
          <w:p w14:paraId="4F2212C7">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993" w:type="dxa"/>
            <w:noWrap w:val="0"/>
            <w:vAlign w:val="top"/>
          </w:tcPr>
          <w:p w14:paraId="0232DA81">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842" w:type="dxa"/>
            <w:noWrap w:val="0"/>
            <w:vAlign w:val="top"/>
          </w:tcPr>
          <w:p w14:paraId="63E5FBBA">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560" w:type="dxa"/>
            <w:noWrap w:val="0"/>
            <w:vAlign w:val="top"/>
          </w:tcPr>
          <w:p w14:paraId="5E1B4DB6">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34" w:type="dxa"/>
            <w:noWrap w:val="0"/>
            <w:vAlign w:val="top"/>
          </w:tcPr>
          <w:p w14:paraId="6AF6E5C9">
            <w:pPr>
              <w:pStyle w:val="9"/>
              <w:shd w:val="clear" w:color="auto" w:fill="auto"/>
              <w:spacing w:line="360" w:lineRule="auto"/>
              <w:ind w:left="1080" w:leftChars="257" w:hanging="540"/>
              <w:rPr>
                <w:rFonts w:hint="eastAsia" w:ascii="宋体" w:hAnsi="宋体" w:eastAsia="宋体" w:cs="宋体"/>
                <w:color w:val="auto"/>
                <w:sz w:val="24"/>
                <w:highlight w:val="none"/>
              </w:rPr>
            </w:pPr>
          </w:p>
        </w:tc>
        <w:tc>
          <w:tcPr>
            <w:tcW w:w="1112" w:type="dxa"/>
            <w:noWrap w:val="0"/>
            <w:vAlign w:val="top"/>
          </w:tcPr>
          <w:p w14:paraId="0C94FA2E">
            <w:pPr>
              <w:pStyle w:val="9"/>
              <w:shd w:val="clear" w:color="auto" w:fill="auto"/>
              <w:spacing w:line="360" w:lineRule="auto"/>
              <w:ind w:left="1080" w:leftChars="257" w:hanging="540"/>
              <w:rPr>
                <w:rFonts w:hint="eastAsia" w:ascii="宋体" w:hAnsi="宋体" w:eastAsia="宋体" w:cs="宋体"/>
                <w:color w:val="auto"/>
                <w:sz w:val="24"/>
                <w:highlight w:val="none"/>
              </w:rPr>
            </w:pPr>
          </w:p>
        </w:tc>
      </w:tr>
    </w:tbl>
    <w:p w14:paraId="3FD3650D">
      <w:pPr>
        <w:pStyle w:val="9"/>
        <w:shd w:val="clear" w:color="auto" w:fill="auto"/>
        <w:spacing w:line="360" w:lineRule="auto"/>
        <w:ind w:left="1080" w:leftChars="257" w:hanging="540"/>
        <w:rPr>
          <w:rFonts w:hint="eastAsia" w:ascii="宋体" w:hAnsi="宋体" w:eastAsia="宋体" w:cs="宋体"/>
          <w:color w:val="auto"/>
          <w:sz w:val="24"/>
          <w:highlight w:val="none"/>
        </w:rPr>
      </w:pPr>
    </w:p>
    <w:p w14:paraId="2D5A0E92">
      <w:pPr>
        <w:shd w:val="clear" w:color="auto" w:fill="auto"/>
        <w:spacing w:line="360" w:lineRule="auto"/>
        <w:ind w:firstLine="1920" w:firstLineChars="8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投标人（盖公章）：</w:t>
      </w:r>
      <w:r>
        <w:rPr>
          <w:rFonts w:hint="eastAsia" w:ascii="宋体" w:hAnsi="宋体" w:eastAsia="宋体" w:cs="宋体"/>
          <w:color w:val="auto"/>
          <w:sz w:val="24"/>
          <w:highlight w:val="none"/>
          <w:u w:val="single"/>
        </w:rPr>
        <w:t xml:space="preserve">                             </w:t>
      </w:r>
    </w:p>
    <w:p w14:paraId="00F8DBED">
      <w:pPr>
        <w:shd w:val="clear" w:color="auto" w:fill="auto"/>
        <w:spacing w:line="360" w:lineRule="auto"/>
        <w:ind w:firstLine="1920" w:firstLineChars="8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法定代表人或授权代表（签字或盖章）：</w:t>
      </w:r>
      <w:r>
        <w:rPr>
          <w:rFonts w:hint="eastAsia" w:ascii="宋体" w:hAnsi="宋体" w:eastAsia="宋体" w:cs="宋体"/>
          <w:color w:val="auto"/>
          <w:sz w:val="24"/>
          <w:highlight w:val="none"/>
          <w:u w:val="single"/>
        </w:rPr>
        <w:t xml:space="preserve">           </w:t>
      </w:r>
    </w:p>
    <w:p w14:paraId="4A80A34F">
      <w:pPr>
        <w:pStyle w:val="9"/>
        <w:shd w:val="clear" w:color="auto" w:fill="auto"/>
        <w:tabs>
          <w:tab w:val="left" w:pos="5580"/>
        </w:tabs>
        <w:spacing w:line="360" w:lineRule="auto"/>
        <w:ind w:firstLine="1920" w:firstLineChars="800"/>
        <w:rPr>
          <w:rFonts w:hint="eastAsia" w:ascii="宋体" w:hAnsi="宋体" w:eastAsia="宋体" w:cs="宋体"/>
          <w:color w:val="auto"/>
          <w:sz w:val="24"/>
          <w:highlight w:val="none"/>
        </w:rPr>
      </w:pPr>
      <w:r>
        <w:rPr>
          <w:rFonts w:hint="eastAsia" w:hAnsi="宋体" w:eastAsia="宋体" w:cs="宋体"/>
          <w:color w:val="auto"/>
          <w:sz w:val="24"/>
          <w:highlight w:val="none"/>
        </w:rPr>
        <w:t>日    期：</w:t>
      </w:r>
      <w:r>
        <w:rPr>
          <w:rFonts w:hint="eastAsia" w:hAnsi="宋体" w:eastAsia="宋体" w:cs="宋体"/>
          <w:color w:val="auto"/>
          <w:sz w:val="32"/>
          <w:highlight w:val="none"/>
          <w:u w:val="single"/>
        </w:rPr>
        <w:t xml:space="preserve">                            </w:t>
      </w:r>
    </w:p>
    <w:p w14:paraId="4754237D">
      <w:pPr>
        <w:pStyle w:val="9"/>
        <w:shd w:val="clear" w:color="auto" w:fill="auto"/>
        <w:spacing w:line="360" w:lineRule="auto"/>
        <w:rPr>
          <w:rFonts w:hint="eastAsia" w:ascii="宋体" w:hAnsi="宋体" w:eastAsia="宋体" w:cs="宋体"/>
          <w:color w:val="auto"/>
          <w:sz w:val="24"/>
          <w:highlight w:val="none"/>
          <w:u w:val="single"/>
        </w:rPr>
      </w:pPr>
    </w:p>
    <w:p w14:paraId="5B718444">
      <w:pPr>
        <w:pStyle w:val="9"/>
        <w:shd w:val="clear" w:color="auto" w:fill="auto"/>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注：1.投标文件技术参数指标响应内容必须按照投标产品实际参数指标填写，与相关证明材料一致，不得直接将采购文件的技术参数指标要求完全复制作为投标文件响应内容，否则将会影响评审得分。</w:t>
      </w:r>
    </w:p>
    <w:p w14:paraId="7A3F20DB">
      <w:pPr>
        <w:pStyle w:val="9"/>
        <w:shd w:val="clear" w:color="auto" w:fill="auto"/>
        <w:spacing w:line="360" w:lineRule="auto"/>
        <w:ind w:left="1080" w:leftChars="257" w:hanging="5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2.务必完整填写所有指标响应参数；必须在备注栏进行明确说明偏离情况，且偏离</w:t>
      </w:r>
    </w:p>
    <w:p w14:paraId="5ED82C34">
      <w:pPr>
        <w:pStyle w:val="9"/>
        <w:shd w:val="clear" w:color="auto" w:fill="auto"/>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情况与实际相符，否则将会影响评审得分。</w:t>
      </w:r>
    </w:p>
    <w:p w14:paraId="00E0EBEE">
      <w:pPr>
        <w:pStyle w:val="9"/>
        <w:shd w:val="clear" w:color="auto" w:fill="auto"/>
        <w:spacing w:line="360" w:lineRule="auto"/>
        <w:ind w:left="1080" w:leftChars="257" w:hanging="5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3.采购文件中约定的每项采购内容的技术偏离情况都必须体现在此技术偏离表中，</w:t>
      </w:r>
    </w:p>
    <w:p w14:paraId="46AAAC42">
      <w:pPr>
        <w:pStyle w:val="9"/>
        <w:shd w:val="clear" w:color="auto" w:fill="auto"/>
        <w:spacing w:line="360" w:lineRule="auto"/>
        <w:rPr>
          <w:rFonts w:hint="eastAsia" w:ascii="宋体" w:hAnsi="宋体" w:eastAsia="宋体" w:cs="宋体"/>
          <w:color w:val="auto"/>
          <w:sz w:val="24"/>
          <w:highlight w:val="none"/>
        </w:rPr>
      </w:pPr>
      <w:r>
        <w:rPr>
          <w:rFonts w:hint="eastAsia" w:ascii="宋体" w:hAnsi="宋体" w:eastAsia="宋体" w:cs="宋体"/>
          <w:color w:val="auto"/>
          <w:szCs w:val="21"/>
          <w:highlight w:val="none"/>
        </w:rPr>
        <w:t>否则将会影响评审得分。</w:t>
      </w:r>
    </w:p>
    <w:p w14:paraId="3408AE8F">
      <w:pPr>
        <w:pStyle w:val="5"/>
        <w:shd w:val="clear" w:color="auto" w:fill="auto"/>
        <w:ind w:firstLine="0" w:firstLineChars="0"/>
        <w:jc w:val="center"/>
        <w:rPr>
          <w:rFonts w:hint="eastAsia" w:ascii="宋体" w:hAnsi="宋体" w:eastAsia="宋体" w:cs="宋体"/>
          <w:color w:val="auto"/>
          <w:sz w:val="32"/>
          <w:szCs w:val="32"/>
          <w:highlight w:val="none"/>
        </w:rPr>
      </w:pPr>
      <w:bookmarkStart w:id="371" w:name="_Toc60928909"/>
      <w:bookmarkStart w:id="372" w:name="_Toc62194353"/>
      <w:bookmarkStart w:id="373" w:name="_Toc60929141"/>
      <w:bookmarkStart w:id="374" w:name="_Toc216582818"/>
      <w:bookmarkStart w:id="375" w:name="_Toc6151"/>
      <w:bookmarkStart w:id="376" w:name="_Toc19289"/>
      <w:bookmarkStart w:id="377" w:name="_Toc6514"/>
      <w:bookmarkStart w:id="378" w:name="_Toc515647821"/>
      <w:bookmarkStart w:id="379" w:name="_Toc1980"/>
      <w:bookmarkStart w:id="380" w:name="_Toc23"/>
      <w:bookmarkStart w:id="381" w:name="_Toc532473510"/>
    </w:p>
    <w:p w14:paraId="21B34B29">
      <w:pPr>
        <w:pStyle w:val="5"/>
        <w:shd w:val="clear" w:color="auto" w:fill="auto"/>
        <w:ind w:firstLine="0" w:firstLineChars="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商务条款偏离表</w:t>
      </w:r>
      <w:bookmarkEnd w:id="371"/>
      <w:bookmarkEnd w:id="372"/>
      <w:bookmarkEnd w:id="373"/>
      <w:bookmarkEnd w:id="374"/>
      <w:bookmarkEnd w:id="375"/>
      <w:bookmarkEnd w:id="376"/>
      <w:bookmarkEnd w:id="377"/>
    </w:p>
    <w:bookmarkEnd w:id="378"/>
    <w:bookmarkEnd w:id="379"/>
    <w:bookmarkEnd w:id="380"/>
    <w:bookmarkEnd w:id="381"/>
    <w:p w14:paraId="7621936A">
      <w:pPr>
        <w:pStyle w:val="8"/>
        <w:shd w:val="clear" w:color="auto" w:fill="auto"/>
        <w:rPr>
          <w:rFonts w:hint="eastAsia" w:ascii="宋体" w:hAnsi="宋体" w:eastAsia="宋体" w:cs="宋体"/>
          <w:color w:val="auto"/>
          <w:highlight w:val="none"/>
          <w:u w:val="single"/>
        </w:rPr>
      </w:pPr>
      <w:r>
        <w:rPr>
          <w:rFonts w:hint="eastAsia" w:ascii="宋体" w:hAnsi="宋体" w:eastAsia="宋体" w:cs="宋体"/>
          <w:color w:val="auto"/>
          <w:highlight w:val="none"/>
        </w:rPr>
        <w:t>项目编号：</w:t>
      </w:r>
    </w:p>
    <w:p w14:paraId="29431DF2">
      <w:pPr>
        <w:pStyle w:val="9"/>
        <w:shd w:val="clear" w:color="auto" w:fill="auto"/>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p>
    <w:tbl>
      <w:tblPr>
        <w:tblStyle w:val="15"/>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1792"/>
        <w:gridCol w:w="1628"/>
      </w:tblGrid>
      <w:tr w14:paraId="7B993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78720D8A">
            <w:pPr>
              <w:pStyle w:val="9"/>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040" w:type="dxa"/>
            <w:noWrap w:val="0"/>
            <w:vAlign w:val="center"/>
          </w:tcPr>
          <w:p w14:paraId="012A3C4A">
            <w:pPr>
              <w:pStyle w:val="9"/>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招标要求</w:t>
            </w:r>
          </w:p>
        </w:tc>
        <w:tc>
          <w:tcPr>
            <w:tcW w:w="2520" w:type="dxa"/>
            <w:noWrap w:val="0"/>
            <w:vAlign w:val="center"/>
          </w:tcPr>
          <w:p w14:paraId="28F89A9B">
            <w:pPr>
              <w:pStyle w:val="9"/>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投标响应</w:t>
            </w:r>
          </w:p>
        </w:tc>
        <w:tc>
          <w:tcPr>
            <w:tcW w:w="1792" w:type="dxa"/>
            <w:noWrap w:val="0"/>
            <w:vAlign w:val="center"/>
          </w:tcPr>
          <w:p w14:paraId="38F97A4A">
            <w:pPr>
              <w:pStyle w:val="9"/>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w:t>
            </w:r>
          </w:p>
        </w:tc>
        <w:tc>
          <w:tcPr>
            <w:tcW w:w="1628" w:type="dxa"/>
            <w:noWrap w:val="0"/>
            <w:vAlign w:val="center"/>
          </w:tcPr>
          <w:p w14:paraId="1F7AE21E">
            <w:pPr>
              <w:pStyle w:val="9"/>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r>
      <w:tr w14:paraId="58F4F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42313F78">
            <w:pPr>
              <w:pStyle w:val="9"/>
              <w:shd w:val="clear" w:color="auto" w:fill="auto"/>
              <w:ind w:left="1080" w:leftChars="257" w:hanging="540"/>
              <w:jc w:val="center"/>
              <w:rPr>
                <w:rFonts w:hint="eastAsia" w:ascii="宋体" w:hAnsi="宋体" w:eastAsia="宋体" w:cs="宋体"/>
                <w:color w:val="auto"/>
                <w:sz w:val="24"/>
                <w:highlight w:val="none"/>
              </w:rPr>
            </w:pPr>
          </w:p>
        </w:tc>
        <w:tc>
          <w:tcPr>
            <w:tcW w:w="2040" w:type="dxa"/>
            <w:noWrap w:val="0"/>
            <w:vAlign w:val="center"/>
          </w:tcPr>
          <w:p w14:paraId="6D7F7801">
            <w:pPr>
              <w:shd w:val="clear" w:color="auto" w:fill="auto"/>
              <w:jc w:val="center"/>
              <w:rPr>
                <w:rFonts w:hint="eastAsia" w:ascii="宋体" w:hAnsi="宋体" w:eastAsia="宋体" w:cs="宋体"/>
                <w:bCs/>
                <w:color w:val="auto"/>
                <w:sz w:val="24"/>
                <w:highlight w:val="none"/>
              </w:rPr>
            </w:pPr>
          </w:p>
        </w:tc>
        <w:tc>
          <w:tcPr>
            <w:tcW w:w="2520" w:type="dxa"/>
            <w:noWrap w:val="0"/>
            <w:vAlign w:val="center"/>
          </w:tcPr>
          <w:p w14:paraId="3ACE90FF">
            <w:pPr>
              <w:pStyle w:val="9"/>
              <w:shd w:val="clear" w:color="auto" w:fill="auto"/>
              <w:ind w:left="1080" w:leftChars="257" w:hanging="540"/>
              <w:jc w:val="center"/>
              <w:rPr>
                <w:rFonts w:hint="eastAsia" w:ascii="宋体" w:hAnsi="宋体" w:eastAsia="宋体" w:cs="宋体"/>
                <w:color w:val="auto"/>
                <w:sz w:val="24"/>
                <w:highlight w:val="none"/>
              </w:rPr>
            </w:pPr>
          </w:p>
        </w:tc>
        <w:tc>
          <w:tcPr>
            <w:tcW w:w="1792" w:type="dxa"/>
            <w:noWrap w:val="0"/>
            <w:vAlign w:val="center"/>
          </w:tcPr>
          <w:p w14:paraId="02EBFC3E">
            <w:pPr>
              <w:pStyle w:val="9"/>
              <w:shd w:val="clear" w:color="auto" w:fill="auto"/>
              <w:ind w:left="1080" w:leftChars="257" w:hanging="540"/>
              <w:jc w:val="center"/>
              <w:rPr>
                <w:rFonts w:hint="eastAsia" w:ascii="宋体" w:hAnsi="宋体" w:eastAsia="宋体" w:cs="宋体"/>
                <w:color w:val="auto"/>
                <w:sz w:val="24"/>
                <w:highlight w:val="none"/>
              </w:rPr>
            </w:pPr>
          </w:p>
        </w:tc>
        <w:tc>
          <w:tcPr>
            <w:tcW w:w="1628" w:type="dxa"/>
            <w:noWrap w:val="0"/>
            <w:vAlign w:val="center"/>
          </w:tcPr>
          <w:p w14:paraId="1D617C8E">
            <w:pPr>
              <w:pStyle w:val="9"/>
              <w:shd w:val="clear" w:color="auto" w:fill="auto"/>
              <w:ind w:left="1080" w:leftChars="257" w:hanging="540"/>
              <w:jc w:val="center"/>
              <w:rPr>
                <w:rFonts w:hint="eastAsia" w:ascii="宋体" w:hAnsi="宋体" w:eastAsia="宋体" w:cs="宋体"/>
                <w:color w:val="auto"/>
                <w:sz w:val="24"/>
                <w:highlight w:val="none"/>
              </w:rPr>
            </w:pPr>
          </w:p>
        </w:tc>
      </w:tr>
      <w:tr w14:paraId="4FDF4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147572B0">
            <w:pPr>
              <w:pStyle w:val="9"/>
              <w:shd w:val="clear" w:color="auto" w:fill="auto"/>
              <w:ind w:left="1080" w:leftChars="257" w:hanging="540"/>
              <w:jc w:val="center"/>
              <w:rPr>
                <w:rFonts w:hint="eastAsia" w:ascii="宋体" w:hAnsi="宋体" w:eastAsia="宋体" w:cs="宋体"/>
                <w:color w:val="auto"/>
                <w:sz w:val="24"/>
                <w:highlight w:val="none"/>
              </w:rPr>
            </w:pPr>
          </w:p>
        </w:tc>
        <w:tc>
          <w:tcPr>
            <w:tcW w:w="2040" w:type="dxa"/>
            <w:noWrap w:val="0"/>
            <w:vAlign w:val="center"/>
          </w:tcPr>
          <w:p w14:paraId="2A36DB95">
            <w:pPr>
              <w:shd w:val="clear" w:color="auto" w:fill="auto"/>
              <w:jc w:val="center"/>
              <w:rPr>
                <w:rFonts w:hint="eastAsia" w:ascii="宋体" w:hAnsi="宋体" w:eastAsia="宋体" w:cs="宋体"/>
                <w:bCs/>
                <w:color w:val="auto"/>
                <w:sz w:val="24"/>
                <w:highlight w:val="none"/>
              </w:rPr>
            </w:pPr>
          </w:p>
        </w:tc>
        <w:tc>
          <w:tcPr>
            <w:tcW w:w="2520" w:type="dxa"/>
            <w:noWrap w:val="0"/>
            <w:vAlign w:val="center"/>
          </w:tcPr>
          <w:p w14:paraId="07604DAB">
            <w:pPr>
              <w:pStyle w:val="9"/>
              <w:shd w:val="clear" w:color="auto" w:fill="auto"/>
              <w:ind w:left="1080" w:leftChars="257" w:hanging="540"/>
              <w:jc w:val="center"/>
              <w:rPr>
                <w:rFonts w:hint="eastAsia" w:ascii="宋体" w:hAnsi="宋体" w:eastAsia="宋体" w:cs="宋体"/>
                <w:color w:val="auto"/>
                <w:sz w:val="24"/>
                <w:highlight w:val="none"/>
              </w:rPr>
            </w:pPr>
          </w:p>
        </w:tc>
        <w:tc>
          <w:tcPr>
            <w:tcW w:w="1792" w:type="dxa"/>
            <w:noWrap w:val="0"/>
            <w:vAlign w:val="center"/>
          </w:tcPr>
          <w:p w14:paraId="4F244FF7">
            <w:pPr>
              <w:pStyle w:val="9"/>
              <w:shd w:val="clear" w:color="auto" w:fill="auto"/>
              <w:ind w:left="1080" w:leftChars="257" w:hanging="540"/>
              <w:jc w:val="center"/>
              <w:rPr>
                <w:rFonts w:hint="eastAsia" w:ascii="宋体" w:hAnsi="宋体" w:eastAsia="宋体" w:cs="宋体"/>
                <w:color w:val="auto"/>
                <w:sz w:val="24"/>
                <w:highlight w:val="none"/>
              </w:rPr>
            </w:pPr>
          </w:p>
        </w:tc>
        <w:tc>
          <w:tcPr>
            <w:tcW w:w="1628" w:type="dxa"/>
            <w:noWrap w:val="0"/>
            <w:vAlign w:val="center"/>
          </w:tcPr>
          <w:p w14:paraId="4328F830">
            <w:pPr>
              <w:pStyle w:val="9"/>
              <w:shd w:val="clear" w:color="auto" w:fill="auto"/>
              <w:ind w:left="1080" w:leftChars="257" w:hanging="540"/>
              <w:jc w:val="center"/>
              <w:rPr>
                <w:rFonts w:hint="eastAsia" w:ascii="宋体" w:hAnsi="宋体" w:eastAsia="宋体" w:cs="宋体"/>
                <w:color w:val="auto"/>
                <w:sz w:val="24"/>
                <w:highlight w:val="none"/>
              </w:rPr>
            </w:pPr>
          </w:p>
        </w:tc>
      </w:tr>
      <w:tr w14:paraId="65BF2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18E648F1">
            <w:pPr>
              <w:pStyle w:val="9"/>
              <w:shd w:val="clear" w:color="auto" w:fill="auto"/>
              <w:ind w:left="1080" w:leftChars="257" w:hanging="540"/>
              <w:jc w:val="center"/>
              <w:rPr>
                <w:rFonts w:hint="eastAsia" w:ascii="宋体" w:hAnsi="宋体" w:eastAsia="宋体" w:cs="宋体"/>
                <w:color w:val="auto"/>
                <w:sz w:val="24"/>
                <w:highlight w:val="none"/>
              </w:rPr>
            </w:pPr>
          </w:p>
        </w:tc>
        <w:tc>
          <w:tcPr>
            <w:tcW w:w="2040" w:type="dxa"/>
            <w:noWrap w:val="0"/>
            <w:vAlign w:val="center"/>
          </w:tcPr>
          <w:p w14:paraId="4BD94111">
            <w:pPr>
              <w:shd w:val="clear" w:color="auto" w:fill="auto"/>
              <w:jc w:val="center"/>
              <w:rPr>
                <w:rFonts w:hint="eastAsia" w:ascii="宋体" w:hAnsi="宋体" w:eastAsia="宋体" w:cs="宋体"/>
                <w:bCs/>
                <w:color w:val="auto"/>
                <w:sz w:val="24"/>
                <w:highlight w:val="none"/>
              </w:rPr>
            </w:pPr>
          </w:p>
        </w:tc>
        <w:tc>
          <w:tcPr>
            <w:tcW w:w="2520" w:type="dxa"/>
            <w:noWrap w:val="0"/>
            <w:vAlign w:val="center"/>
          </w:tcPr>
          <w:p w14:paraId="27BD4385">
            <w:pPr>
              <w:pStyle w:val="9"/>
              <w:shd w:val="clear" w:color="auto" w:fill="auto"/>
              <w:ind w:left="1080" w:leftChars="257" w:hanging="540"/>
              <w:jc w:val="center"/>
              <w:rPr>
                <w:rFonts w:hint="eastAsia" w:ascii="宋体" w:hAnsi="宋体" w:eastAsia="宋体" w:cs="宋体"/>
                <w:color w:val="auto"/>
                <w:sz w:val="24"/>
                <w:highlight w:val="none"/>
              </w:rPr>
            </w:pPr>
          </w:p>
        </w:tc>
        <w:tc>
          <w:tcPr>
            <w:tcW w:w="1792" w:type="dxa"/>
            <w:noWrap w:val="0"/>
            <w:vAlign w:val="center"/>
          </w:tcPr>
          <w:p w14:paraId="25B55433">
            <w:pPr>
              <w:pStyle w:val="9"/>
              <w:shd w:val="clear" w:color="auto" w:fill="auto"/>
              <w:ind w:left="1080" w:leftChars="257" w:hanging="540"/>
              <w:jc w:val="center"/>
              <w:rPr>
                <w:rFonts w:hint="eastAsia" w:ascii="宋体" w:hAnsi="宋体" w:eastAsia="宋体" w:cs="宋体"/>
                <w:color w:val="auto"/>
                <w:sz w:val="24"/>
                <w:highlight w:val="none"/>
              </w:rPr>
            </w:pPr>
          </w:p>
        </w:tc>
        <w:tc>
          <w:tcPr>
            <w:tcW w:w="1628" w:type="dxa"/>
            <w:noWrap w:val="0"/>
            <w:vAlign w:val="center"/>
          </w:tcPr>
          <w:p w14:paraId="2064AAAC">
            <w:pPr>
              <w:pStyle w:val="9"/>
              <w:shd w:val="clear" w:color="auto" w:fill="auto"/>
              <w:ind w:left="1080" w:leftChars="257" w:hanging="540"/>
              <w:jc w:val="center"/>
              <w:rPr>
                <w:rFonts w:hint="eastAsia" w:ascii="宋体" w:hAnsi="宋体" w:eastAsia="宋体" w:cs="宋体"/>
                <w:color w:val="auto"/>
                <w:sz w:val="24"/>
                <w:highlight w:val="none"/>
              </w:rPr>
            </w:pPr>
          </w:p>
        </w:tc>
      </w:tr>
      <w:tr w14:paraId="14855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3F96BA2E">
            <w:pPr>
              <w:pStyle w:val="9"/>
              <w:shd w:val="clear" w:color="auto" w:fill="auto"/>
              <w:ind w:left="1080" w:leftChars="257" w:hanging="540"/>
              <w:jc w:val="center"/>
              <w:rPr>
                <w:rFonts w:hint="eastAsia" w:ascii="宋体" w:hAnsi="宋体" w:eastAsia="宋体" w:cs="宋体"/>
                <w:color w:val="auto"/>
                <w:sz w:val="24"/>
                <w:highlight w:val="none"/>
              </w:rPr>
            </w:pPr>
          </w:p>
        </w:tc>
        <w:tc>
          <w:tcPr>
            <w:tcW w:w="2040" w:type="dxa"/>
            <w:noWrap w:val="0"/>
            <w:vAlign w:val="center"/>
          </w:tcPr>
          <w:p w14:paraId="37F3C272">
            <w:pPr>
              <w:shd w:val="clear" w:color="auto" w:fill="auto"/>
              <w:jc w:val="center"/>
              <w:rPr>
                <w:rFonts w:hint="eastAsia" w:ascii="宋体" w:hAnsi="宋体" w:eastAsia="宋体" w:cs="宋体"/>
                <w:bCs/>
                <w:color w:val="auto"/>
                <w:sz w:val="24"/>
                <w:highlight w:val="none"/>
              </w:rPr>
            </w:pPr>
          </w:p>
        </w:tc>
        <w:tc>
          <w:tcPr>
            <w:tcW w:w="2520" w:type="dxa"/>
            <w:noWrap w:val="0"/>
            <w:vAlign w:val="center"/>
          </w:tcPr>
          <w:p w14:paraId="067CDDFD">
            <w:pPr>
              <w:pStyle w:val="9"/>
              <w:shd w:val="clear" w:color="auto" w:fill="auto"/>
              <w:ind w:left="1080" w:leftChars="257" w:hanging="540"/>
              <w:jc w:val="center"/>
              <w:rPr>
                <w:rFonts w:hint="eastAsia" w:ascii="宋体" w:hAnsi="宋体" w:eastAsia="宋体" w:cs="宋体"/>
                <w:color w:val="auto"/>
                <w:sz w:val="24"/>
                <w:highlight w:val="none"/>
              </w:rPr>
            </w:pPr>
          </w:p>
        </w:tc>
        <w:tc>
          <w:tcPr>
            <w:tcW w:w="1792" w:type="dxa"/>
            <w:noWrap w:val="0"/>
            <w:vAlign w:val="center"/>
          </w:tcPr>
          <w:p w14:paraId="388C6221">
            <w:pPr>
              <w:pStyle w:val="9"/>
              <w:shd w:val="clear" w:color="auto" w:fill="auto"/>
              <w:ind w:left="1080" w:leftChars="257" w:hanging="540"/>
              <w:jc w:val="center"/>
              <w:rPr>
                <w:rFonts w:hint="eastAsia" w:ascii="宋体" w:hAnsi="宋体" w:eastAsia="宋体" w:cs="宋体"/>
                <w:color w:val="auto"/>
                <w:sz w:val="24"/>
                <w:highlight w:val="none"/>
              </w:rPr>
            </w:pPr>
          </w:p>
        </w:tc>
        <w:tc>
          <w:tcPr>
            <w:tcW w:w="1628" w:type="dxa"/>
            <w:noWrap w:val="0"/>
            <w:vAlign w:val="center"/>
          </w:tcPr>
          <w:p w14:paraId="3E03581E">
            <w:pPr>
              <w:pStyle w:val="9"/>
              <w:shd w:val="clear" w:color="auto" w:fill="auto"/>
              <w:ind w:left="1080" w:leftChars="257" w:hanging="540"/>
              <w:jc w:val="center"/>
              <w:rPr>
                <w:rFonts w:hint="eastAsia" w:ascii="宋体" w:hAnsi="宋体" w:eastAsia="宋体" w:cs="宋体"/>
                <w:color w:val="auto"/>
                <w:sz w:val="24"/>
                <w:highlight w:val="none"/>
              </w:rPr>
            </w:pPr>
          </w:p>
        </w:tc>
      </w:tr>
      <w:tr w14:paraId="33C8C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036DDB40">
            <w:pPr>
              <w:pStyle w:val="9"/>
              <w:shd w:val="clear" w:color="auto" w:fill="auto"/>
              <w:ind w:left="1080" w:leftChars="257" w:hanging="540"/>
              <w:jc w:val="center"/>
              <w:rPr>
                <w:rFonts w:hint="eastAsia" w:ascii="宋体" w:hAnsi="宋体" w:eastAsia="宋体" w:cs="宋体"/>
                <w:color w:val="auto"/>
                <w:sz w:val="24"/>
                <w:highlight w:val="none"/>
              </w:rPr>
            </w:pPr>
          </w:p>
        </w:tc>
        <w:tc>
          <w:tcPr>
            <w:tcW w:w="2040" w:type="dxa"/>
            <w:noWrap w:val="0"/>
            <w:vAlign w:val="center"/>
          </w:tcPr>
          <w:p w14:paraId="016EFDD6">
            <w:pPr>
              <w:shd w:val="clear" w:color="auto" w:fill="auto"/>
              <w:jc w:val="center"/>
              <w:rPr>
                <w:rFonts w:hint="eastAsia" w:ascii="宋体" w:hAnsi="宋体" w:eastAsia="宋体" w:cs="宋体"/>
                <w:bCs/>
                <w:color w:val="auto"/>
                <w:sz w:val="24"/>
                <w:highlight w:val="none"/>
              </w:rPr>
            </w:pPr>
          </w:p>
        </w:tc>
        <w:tc>
          <w:tcPr>
            <w:tcW w:w="2520" w:type="dxa"/>
            <w:noWrap w:val="0"/>
            <w:vAlign w:val="center"/>
          </w:tcPr>
          <w:p w14:paraId="3B12DD3D">
            <w:pPr>
              <w:pStyle w:val="9"/>
              <w:shd w:val="clear" w:color="auto" w:fill="auto"/>
              <w:ind w:left="1080" w:leftChars="257" w:hanging="540"/>
              <w:jc w:val="center"/>
              <w:rPr>
                <w:rFonts w:hint="eastAsia" w:ascii="宋体" w:hAnsi="宋体" w:eastAsia="宋体" w:cs="宋体"/>
                <w:color w:val="auto"/>
                <w:sz w:val="24"/>
                <w:highlight w:val="none"/>
              </w:rPr>
            </w:pPr>
          </w:p>
        </w:tc>
        <w:tc>
          <w:tcPr>
            <w:tcW w:w="1792" w:type="dxa"/>
            <w:noWrap w:val="0"/>
            <w:vAlign w:val="center"/>
          </w:tcPr>
          <w:p w14:paraId="2C04C21D">
            <w:pPr>
              <w:pStyle w:val="9"/>
              <w:shd w:val="clear" w:color="auto" w:fill="auto"/>
              <w:ind w:left="1080" w:leftChars="257" w:hanging="540"/>
              <w:jc w:val="center"/>
              <w:rPr>
                <w:rFonts w:hint="eastAsia" w:ascii="宋体" w:hAnsi="宋体" w:eastAsia="宋体" w:cs="宋体"/>
                <w:color w:val="auto"/>
                <w:sz w:val="24"/>
                <w:highlight w:val="none"/>
              </w:rPr>
            </w:pPr>
          </w:p>
        </w:tc>
        <w:tc>
          <w:tcPr>
            <w:tcW w:w="1628" w:type="dxa"/>
            <w:noWrap w:val="0"/>
            <w:vAlign w:val="center"/>
          </w:tcPr>
          <w:p w14:paraId="4982CB2D">
            <w:pPr>
              <w:pStyle w:val="9"/>
              <w:shd w:val="clear" w:color="auto" w:fill="auto"/>
              <w:ind w:left="1080" w:leftChars="257" w:hanging="540"/>
              <w:jc w:val="center"/>
              <w:rPr>
                <w:rFonts w:hint="eastAsia" w:ascii="宋体" w:hAnsi="宋体" w:eastAsia="宋体" w:cs="宋体"/>
                <w:color w:val="auto"/>
                <w:sz w:val="24"/>
                <w:highlight w:val="none"/>
              </w:rPr>
            </w:pPr>
          </w:p>
        </w:tc>
      </w:tr>
      <w:tr w14:paraId="30332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3548D68F">
            <w:pPr>
              <w:pStyle w:val="9"/>
              <w:shd w:val="clear" w:color="auto" w:fill="auto"/>
              <w:ind w:left="1080" w:leftChars="257" w:hanging="540"/>
              <w:jc w:val="center"/>
              <w:rPr>
                <w:rFonts w:hint="eastAsia" w:ascii="宋体" w:hAnsi="宋体" w:eastAsia="宋体" w:cs="宋体"/>
                <w:color w:val="auto"/>
                <w:sz w:val="24"/>
                <w:highlight w:val="none"/>
              </w:rPr>
            </w:pPr>
          </w:p>
        </w:tc>
        <w:tc>
          <w:tcPr>
            <w:tcW w:w="2040" w:type="dxa"/>
            <w:noWrap w:val="0"/>
            <w:vAlign w:val="center"/>
          </w:tcPr>
          <w:p w14:paraId="667BAB95">
            <w:pPr>
              <w:shd w:val="clear" w:color="auto" w:fill="auto"/>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w:t>
            </w:r>
          </w:p>
        </w:tc>
        <w:tc>
          <w:tcPr>
            <w:tcW w:w="2520" w:type="dxa"/>
            <w:noWrap w:val="0"/>
            <w:vAlign w:val="center"/>
          </w:tcPr>
          <w:p w14:paraId="0609A7D5">
            <w:pPr>
              <w:pStyle w:val="9"/>
              <w:shd w:val="clear" w:color="auto" w:fill="auto"/>
              <w:ind w:left="1080" w:leftChars="257" w:hanging="540"/>
              <w:jc w:val="center"/>
              <w:rPr>
                <w:rFonts w:hint="eastAsia" w:ascii="宋体" w:hAnsi="宋体" w:eastAsia="宋体" w:cs="宋体"/>
                <w:color w:val="auto"/>
                <w:sz w:val="24"/>
                <w:highlight w:val="none"/>
              </w:rPr>
            </w:pPr>
          </w:p>
        </w:tc>
        <w:tc>
          <w:tcPr>
            <w:tcW w:w="1792" w:type="dxa"/>
            <w:noWrap w:val="0"/>
            <w:vAlign w:val="center"/>
          </w:tcPr>
          <w:p w14:paraId="47C9F7EB">
            <w:pPr>
              <w:pStyle w:val="9"/>
              <w:shd w:val="clear" w:color="auto" w:fill="auto"/>
              <w:ind w:left="1080" w:leftChars="257" w:hanging="540"/>
              <w:jc w:val="center"/>
              <w:rPr>
                <w:rFonts w:hint="eastAsia" w:ascii="宋体" w:hAnsi="宋体" w:eastAsia="宋体" w:cs="宋体"/>
                <w:color w:val="auto"/>
                <w:sz w:val="24"/>
                <w:highlight w:val="none"/>
              </w:rPr>
            </w:pPr>
          </w:p>
        </w:tc>
        <w:tc>
          <w:tcPr>
            <w:tcW w:w="1628" w:type="dxa"/>
            <w:noWrap w:val="0"/>
            <w:vAlign w:val="center"/>
          </w:tcPr>
          <w:p w14:paraId="330F1EF2">
            <w:pPr>
              <w:pStyle w:val="9"/>
              <w:shd w:val="clear" w:color="auto" w:fill="auto"/>
              <w:ind w:left="1080" w:leftChars="257" w:hanging="540"/>
              <w:jc w:val="center"/>
              <w:rPr>
                <w:rFonts w:hint="eastAsia" w:ascii="宋体" w:hAnsi="宋体" w:eastAsia="宋体" w:cs="宋体"/>
                <w:color w:val="auto"/>
                <w:sz w:val="24"/>
                <w:highlight w:val="none"/>
              </w:rPr>
            </w:pPr>
          </w:p>
        </w:tc>
      </w:tr>
      <w:tr w14:paraId="16753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2563E618">
            <w:pPr>
              <w:pStyle w:val="9"/>
              <w:shd w:val="clear" w:color="auto" w:fill="auto"/>
              <w:ind w:left="1080" w:leftChars="257" w:hanging="540"/>
              <w:jc w:val="center"/>
              <w:rPr>
                <w:rFonts w:hint="eastAsia" w:ascii="宋体" w:hAnsi="宋体" w:eastAsia="宋体" w:cs="宋体"/>
                <w:color w:val="auto"/>
                <w:sz w:val="24"/>
                <w:highlight w:val="none"/>
              </w:rPr>
            </w:pPr>
          </w:p>
        </w:tc>
        <w:tc>
          <w:tcPr>
            <w:tcW w:w="2040" w:type="dxa"/>
            <w:noWrap w:val="0"/>
            <w:vAlign w:val="center"/>
          </w:tcPr>
          <w:p w14:paraId="775B9E64">
            <w:pPr>
              <w:shd w:val="clear" w:color="auto" w:fill="auto"/>
              <w:jc w:val="center"/>
              <w:rPr>
                <w:rFonts w:hint="eastAsia" w:ascii="宋体" w:hAnsi="宋体" w:eastAsia="宋体" w:cs="宋体"/>
                <w:bCs/>
                <w:color w:val="auto"/>
                <w:sz w:val="24"/>
                <w:highlight w:val="none"/>
              </w:rPr>
            </w:pPr>
          </w:p>
        </w:tc>
        <w:tc>
          <w:tcPr>
            <w:tcW w:w="2520" w:type="dxa"/>
            <w:noWrap w:val="0"/>
            <w:vAlign w:val="center"/>
          </w:tcPr>
          <w:p w14:paraId="1B1115D3">
            <w:pPr>
              <w:pStyle w:val="9"/>
              <w:shd w:val="clear" w:color="auto" w:fill="auto"/>
              <w:ind w:left="1080" w:leftChars="257" w:hanging="540"/>
              <w:jc w:val="center"/>
              <w:rPr>
                <w:rFonts w:hint="eastAsia" w:ascii="宋体" w:hAnsi="宋体" w:eastAsia="宋体" w:cs="宋体"/>
                <w:color w:val="auto"/>
                <w:sz w:val="24"/>
                <w:highlight w:val="none"/>
              </w:rPr>
            </w:pPr>
          </w:p>
        </w:tc>
        <w:tc>
          <w:tcPr>
            <w:tcW w:w="1792" w:type="dxa"/>
            <w:noWrap w:val="0"/>
            <w:vAlign w:val="center"/>
          </w:tcPr>
          <w:p w14:paraId="0E11857A">
            <w:pPr>
              <w:pStyle w:val="9"/>
              <w:shd w:val="clear" w:color="auto" w:fill="auto"/>
              <w:ind w:left="1080" w:leftChars="257" w:hanging="540"/>
              <w:jc w:val="center"/>
              <w:rPr>
                <w:rFonts w:hint="eastAsia" w:ascii="宋体" w:hAnsi="宋体" w:eastAsia="宋体" w:cs="宋体"/>
                <w:color w:val="auto"/>
                <w:sz w:val="24"/>
                <w:highlight w:val="none"/>
              </w:rPr>
            </w:pPr>
          </w:p>
        </w:tc>
        <w:tc>
          <w:tcPr>
            <w:tcW w:w="1628" w:type="dxa"/>
            <w:noWrap w:val="0"/>
            <w:vAlign w:val="center"/>
          </w:tcPr>
          <w:p w14:paraId="314891E5">
            <w:pPr>
              <w:pStyle w:val="9"/>
              <w:shd w:val="clear" w:color="auto" w:fill="auto"/>
              <w:ind w:left="1080" w:leftChars="257" w:hanging="540"/>
              <w:jc w:val="center"/>
              <w:rPr>
                <w:rFonts w:hint="eastAsia" w:ascii="宋体" w:hAnsi="宋体" w:eastAsia="宋体" w:cs="宋体"/>
                <w:color w:val="auto"/>
                <w:sz w:val="24"/>
                <w:highlight w:val="none"/>
              </w:rPr>
            </w:pPr>
          </w:p>
        </w:tc>
      </w:tr>
      <w:tr w14:paraId="63EB7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7A27AF70">
            <w:pPr>
              <w:pStyle w:val="9"/>
              <w:shd w:val="clear" w:color="auto" w:fill="auto"/>
              <w:ind w:left="1080" w:leftChars="257" w:hanging="540"/>
              <w:jc w:val="center"/>
              <w:rPr>
                <w:rFonts w:hint="eastAsia" w:ascii="宋体" w:hAnsi="宋体" w:eastAsia="宋体" w:cs="宋体"/>
                <w:color w:val="auto"/>
                <w:sz w:val="24"/>
                <w:highlight w:val="none"/>
              </w:rPr>
            </w:pPr>
          </w:p>
        </w:tc>
        <w:tc>
          <w:tcPr>
            <w:tcW w:w="2040" w:type="dxa"/>
            <w:noWrap w:val="0"/>
            <w:vAlign w:val="center"/>
          </w:tcPr>
          <w:p w14:paraId="28CB4721">
            <w:pPr>
              <w:pStyle w:val="9"/>
              <w:shd w:val="clear" w:color="auto" w:fill="auto"/>
              <w:ind w:left="1080" w:leftChars="257" w:hanging="540"/>
              <w:jc w:val="center"/>
              <w:rPr>
                <w:rFonts w:hint="eastAsia" w:ascii="宋体" w:hAnsi="宋体" w:eastAsia="宋体" w:cs="宋体"/>
                <w:color w:val="auto"/>
                <w:sz w:val="24"/>
                <w:highlight w:val="none"/>
              </w:rPr>
            </w:pPr>
          </w:p>
        </w:tc>
        <w:tc>
          <w:tcPr>
            <w:tcW w:w="2520" w:type="dxa"/>
            <w:noWrap w:val="0"/>
            <w:vAlign w:val="center"/>
          </w:tcPr>
          <w:p w14:paraId="052232C4">
            <w:pPr>
              <w:pStyle w:val="9"/>
              <w:shd w:val="clear" w:color="auto" w:fill="auto"/>
              <w:ind w:left="1080" w:leftChars="257" w:hanging="540"/>
              <w:jc w:val="center"/>
              <w:rPr>
                <w:rFonts w:hint="eastAsia" w:ascii="宋体" w:hAnsi="宋体" w:eastAsia="宋体" w:cs="宋体"/>
                <w:color w:val="auto"/>
                <w:sz w:val="24"/>
                <w:highlight w:val="none"/>
              </w:rPr>
            </w:pPr>
          </w:p>
        </w:tc>
        <w:tc>
          <w:tcPr>
            <w:tcW w:w="1792" w:type="dxa"/>
            <w:noWrap w:val="0"/>
            <w:vAlign w:val="center"/>
          </w:tcPr>
          <w:p w14:paraId="3A1885A6">
            <w:pPr>
              <w:pStyle w:val="9"/>
              <w:shd w:val="clear" w:color="auto" w:fill="auto"/>
              <w:ind w:left="1080" w:leftChars="257" w:hanging="540"/>
              <w:jc w:val="center"/>
              <w:rPr>
                <w:rFonts w:hint="eastAsia" w:ascii="宋体" w:hAnsi="宋体" w:eastAsia="宋体" w:cs="宋体"/>
                <w:color w:val="auto"/>
                <w:sz w:val="24"/>
                <w:highlight w:val="none"/>
              </w:rPr>
            </w:pPr>
          </w:p>
        </w:tc>
        <w:tc>
          <w:tcPr>
            <w:tcW w:w="1628" w:type="dxa"/>
            <w:noWrap w:val="0"/>
            <w:vAlign w:val="center"/>
          </w:tcPr>
          <w:p w14:paraId="04377A2D">
            <w:pPr>
              <w:pStyle w:val="9"/>
              <w:shd w:val="clear" w:color="auto" w:fill="auto"/>
              <w:ind w:left="1080" w:leftChars="257" w:hanging="540"/>
              <w:jc w:val="center"/>
              <w:rPr>
                <w:rFonts w:hint="eastAsia" w:ascii="宋体" w:hAnsi="宋体" w:eastAsia="宋体" w:cs="宋体"/>
                <w:color w:val="auto"/>
                <w:sz w:val="24"/>
                <w:highlight w:val="none"/>
              </w:rPr>
            </w:pPr>
          </w:p>
        </w:tc>
      </w:tr>
      <w:tr w14:paraId="5505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4BA16620">
            <w:pPr>
              <w:pStyle w:val="9"/>
              <w:shd w:val="clear" w:color="auto" w:fill="auto"/>
              <w:ind w:left="1080" w:leftChars="257" w:hanging="540"/>
              <w:jc w:val="center"/>
              <w:rPr>
                <w:rFonts w:hint="eastAsia" w:ascii="宋体" w:hAnsi="宋体" w:eastAsia="宋体" w:cs="宋体"/>
                <w:color w:val="auto"/>
                <w:sz w:val="24"/>
                <w:highlight w:val="none"/>
              </w:rPr>
            </w:pPr>
          </w:p>
        </w:tc>
        <w:tc>
          <w:tcPr>
            <w:tcW w:w="2040" w:type="dxa"/>
            <w:noWrap w:val="0"/>
            <w:vAlign w:val="center"/>
          </w:tcPr>
          <w:p w14:paraId="13C221A3">
            <w:pPr>
              <w:pStyle w:val="9"/>
              <w:shd w:val="clear" w:color="auto" w:fill="auto"/>
              <w:ind w:left="1080" w:leftChars="257" w:hanging="540"/>
              <w:jc w:val="center"/>
              <w:rPr>
                <w:rFonts w:hint="eastAsia" w:ascii="宋体" w:hAnsi="宋体" w:eastAsia="宋体" w:cs="宋体"/>
                <w:color w:val="auto"/>
                <w:sz w:val="24"/>
                <w:highlight w:val="none"/>
              </w:rPr>
            </w:pPr>
          </w:p>
        </w:tc>
        <w:tc>
          <w:tcPr>
            <w:tcW w:w="2520" w:type="dxa"/>
            <w:noWrap w:val="0"/>
            <w:vAlign w:val="center"/>
          </w:tcPr>
          <w:p w14:paraId="371D28FF">
            <w:pPr>
              <w:pStyle w:val="9"/>
              <w:shd w:val="clear" w:color="auto" w:fill="auto"/>
              <w:ind w:left="1080" w:leftChars="257" w:hanging="540"/>
              <w:jc w:val="center"/>
              <w:rPr>
                <w:rFonts w:hint="eastAsia" w:ascii="宋体" w:hAnsi="宋体" w:eastAsia="宋体" w:cs="宋体"/>
                <w:color w:val="auto"/>
                <w:sz w:val="24"/>
                <w:highlight w:val="none"/>
              </w:rPr>
            </w:pPr>
          </w:p>
        </w:tc>
        <w:tc>
          <w:tcPr>
            <w:tcW w:w="1792" w:type="dxa"/>
            <w:noWrap w:val="0"/>
            <w:vAlign w:val="center"/>
          </w:tcPr>
          <w:p w14:paraId="501944EA">
            <w:pPr>
              <w:pStyle w:val="9"/>
              <w:shd w:val="clear" w:color="auto" w:fill="auto"/>
              <w:ind w:left="1080" w:leftChars="257" w:hanging="540"/>
              <w:jc w:val="center"/>
              <w:rPr>
                <w:rFonts w:hint="eastAsia" w:ascii="宋体" w:hAnsi="宋体" w:eastAsia="宋体" w:cs="宋体"/>
                <w:color w:val="auto"/>
                <w:sz w:val="24"/>
                <w:highlight w:val="none"/>
              </w:rPr>
            </w:pPr>
          </w:p>
        </w:tc>
        <w:tc>
          <w:tcPr>
            <w:tcW w:w="1628" w:type="dxa"/>
            <w:noWrap w:val="0"/>
            <w:vAlign w:val="center"/>
          </w:tcPr>
          <w:p w14:paraId="3814D816">
            <w:pPr>
              <w:pStyle w:val="9"/>
              <w:shd w:val="clear" w:color="auto" w:fill="auto"/>
              <w:ind w:left="1080" w:leftChars="257" w:hanging="540"/>
              <w:jc w:val="center"/>
              <w:rPr>
                <w:rFonts w:hint="eastAsia" w:ascii="宋体" w:hAnsi="宋体" w:eastAsia="宋体" w:cs="宋体"/>
                <w:color w:val="auto"/>
                <w:sz w:val="24"/>
                <w:highlight w:val="none"/>
              </w:rPr>
            </w:pPr>
          </w:p>
        </w:tc>
      </w:tr>
      <w:tr w14:paraId="2FB67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2F9BD125">
            <w:pPr>
              <w:pStyle w:val="9"/>
              <w:shd w:val="clear" w:color="auto" w:fill="auto"/>
              <w:ind w:left="1080" w:leftChars="257" w:hanging="540"/>
              <w:jc w:val="center"/>
              <w:rPr>
                <w:rFonts w:hint="eastAsia" w:ascii="宋体" w:hAnsi="宋体" w:eastAsia="宋体" w:cs="宋体"/>
                <w:color w:val="auto"/>
                <w:sz w:val="24"/>
                <w:highlight w:val="none"/>
              </w:rPr>
            </w:pPr>
          </w:p>
        </w:tc>
        <w:tc>
          <w:tcPr>
            <w:tcW w:w="2040" w:type="dxa"/>
            <w:noWrap w:val="0"/>
            <w:vAlign w:val="center"/>
          </w:tcPr>
          <w:p w14:paraId="343546C7">
            <w:pPr>
              <w:pStyle w:val="9"/>
              <w:shd w:val="clear" w:color="auto" w:fill="auto"/>
              <w:ind w:left="1080" w:leftChars="257" w:hanging="540"/>
              <w:jc w:val="center"/>
              <w:rPr>
                <w:rFonts w:hint="eastAsia" w:ascii="宋体" w:hAnsi="宋体" w:eastAsia="宋体" w:cs="宋体"/>
                <w:color w:val="auto"/>
                <w:sz w:val="24"/>
                <w:highlight w:val="none"/>
              </w:rPr>
            </w:pPr>
          </w:p>
        </w:tc>
        <w:tc>
          <w:tcPr>
            <w:tcW w:w="2520" w:type="dxa"/>
            <w:noWrap w:val="0"/>
            <w:vAlign w:val="center"/>
          </w:tcPr>
          <w:p w14:paraId="667D11DD">
            <w:pPr>
              <w:pStyle w:val="9"/>
              <w:shd w:val="clear" w:color="auto" w:fill="auto"/>
              <w:ind w:left="1080" w:leftChars="257" w:hanging="540"/>
              <w:jc w:val="center"/>
              <w:rPr>
                <w:rFonts w:hint="eastAsia" w:ascii="宋体" w:hAnsi="宋体" w:eastAsia="宋体" w:cs="宋体"/>
                <w:color w:val="auto"/>
                <w:sz w:val="24"/>
                <w:highlight w:val="none"/>
              </w:rPr>
            </w:pPr>
          </w:p>
        </w:tc>
        <w:tc>
          <w:tcPr>
            <w:tcW w:w="1792" w:type="dxa"/>
            <w:noWrap w:val="0"/>
            <w:vAlign w:val="center"/>
          </w:tcPr>
          <w:p w14:paraId="643A6960">
            <w:pPr>
              <w:pStyle w:val="9"/>
              <w:shd w:val="clear" w:color="auto" w:fill="auto"/>
              <w:ind w:left="1080" w:leftChars="257" w:hanging="540"/>
              <w:jc w:val="center"/>
              <w:rPr>
                <w:rFonts w:hint="eastAsia" w:ascii="宋体" w:hAnsi="宋体" w:eastAsia="宋体" w:cs="宋体"/>
                <w:color w:val="auto"/>
                <w:sz w:val="24"/>
                <w:highlight w:val="none"/>
              </w:rPr>
            </w:pPr>
          </w:p>
        </w:tc>
        <w:tc>
          <w:tcPr>
            <w:tcW w:w="1628" w:type="dxa"/>
            <w:noWrap w:val="0"/>
            <w:vAlign w:val="center"/>
          </w:tcPr>
          <w:p w14:paraId="65A549CF">
            <w:pPr>
              <w:pStyle w:val="9"/>
              <w:shd w:val="clear" w:color="auto" w:fill="auto"/>
              <w:ind w:left="1080" w:leftChars="257" w:hanging="540"/>
              <w:jc w:val="center"/>
              <w:rPr>
                <w:rFonts w:hint="eastAsia" w:ascii="宋体" w:hAnsi="宋体" w:eastAsia="宋体" w:cs="宋体"/>
                <w:color w:val="auto"/>
                <w:sz w:val="24"/>
                <w:highlight w:val="none"/>
              </w:rPr>
            </w:pPr>
          </w:p>
        </w:tc>
      </w:tr>
      <w:tr w14:paraId="41025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0CEA8485">
            <w:pPr>
              <w:pStyle w:val="9"/>
              <w:shd w:val="clear" w:color="auto" w:fill="auto"/>
              <w:ind w:left="1080" w:leftChars="257" w:hanging="540"/>
              <w:jc w:val="center"/>
              <w:rPr>
                <w:rFonts w:hint="eastAsia" w:ascii="宋体" w:hAnsi="宋体" w:eastAsia="宋体" w:cs="宋体"/>
                <w:color w:val="auto"/>
                <w:sz w:val="24"/>
                <w:highlight w:val="none"/>
              </w:rPr>
            </w:pPr>
          </w:p>
        </w:tc>
        <w:tc>
          <w:tcPr>
            <w:tcW w:w="2040" w:type="dxa"/>
            <w:noWrap w:val="0"/>
            <w:vAlign w:val="center"/>
          </w:tcPr>
          <w:p w14:paraId="3A0C2BF2">
            <w:pPr>
              <w:pStyle w:val="9"/>
              <w:shd w:val="clear" w:color="auto" w:fill="auto"/>
              <w:ind w:left="1080" w:leftChars="257" w:hanging="540"/>
              <w:jc w:val="center"/>
              <w:rPr>
                <w:rFonts w:hint="eastAsia" w:ascii="宋体" w:hAnsi="宋体" w:eastAsia="宋体" w:cs="宋体"/>
                <w:color w:val="auto"/>
                <w:sz w:val="24"/>
                <w:highlight w:val="none"/>
              </w:rPr>
            </w:pPr>
          </w:p>
        </w:tc>
        <w:tc>
          <w:tcPr>
            <w:tcW w:w="2520" w:type="dxa"/>
            <w:noWrap w:val="0"/>
            <w:vAlign w:val="center"/>
          </w:tcPr>
          <w:p w14:paraId="3DB1CBB8">
            <w:pPr>
              <w:pStyle w:val="9"/>
              <w:shd w:val="clear" w:color="auto" w:fill="auto"/>
              <w:ind w:left="1080" w:leftChars="257" w:hanging="540"/>
              <w:jc w:val="center"/>
              <w:rPr>
                <w:rFonts w:hint="eastAsia" w:ascii="宋体" w:hAnsi="宋体" w:eastAsia="宋体" w:cs="宋体"/>
                <w:color w:val="auto"/>
                <w:sz w:val="24"/>
                <w:highlight w:val="none"/>
              </w:rPr>
            </w:pPr>
          </w:p>
        </w:tc>
        <w:tc>
          <w:tcPr>
            <w:tcW w:w="1792" w:type="dxa"/>
            <w:noWrap w:val="0"/>
            <w:vAlign w:val="center"/>
          </w:tcPr>
          <w:p w14:paraId="7DEB7EBF">
            <w:pPr>
              <w:pStyle w:val="9"/>
              <w:shd w:val="clear" w:color="auto" w:fill="auto"/>
              <w:ind w:left="1080" w:leftChars="257" w:hanging="540"/>
              <w:jc w:val="center"/>
              <w:rPr>
                <w:rFonts w:hint="eastAsia" w:ascii="宋体" w:hAnsi="宋体" w:eastAsia="宋体" w:cs="宋体"/>
                <w:color w:val="auto"/>
                <w:sz w:val="24"/>
                <w:highlight w:val="none"/>
              </w:rPr>
            </w:pPr>
          </w:p>
        </w:tc>
        <w:tc>
          <w:tcPr>
            <w:tcW w:w="1628" w:type="dxa"/>
            <w:noWrap w:val="0"/>
            <w:vAlign w:val="center"/>
          </w:tcPr>
          <w:p w14:paraId="1C7830EF">
            <w:pPr>
              <w:pStyle w:val="9"/>
              <w:shd w:val="clear" w:color="auto" w:fill="auto"/>
              <w:ind w:left="1080" w:leftChars="257" w:hanging="540"/>
              <w:jc w:val="center"/>
              <w:rPr>
                <w:rFonts w:hint="eastAsia" w:ascii="宋体" w:hAnsi="宋体" w:eastAsia="宋体" w:cs="宋体"/>
                <w:color w:val="auto"/>
                <w:sz w:val="24"/>
                <w:highlight w:val="none"/>
              </w:rPr>
            </w:pPr>
          </w:p>
        </w:tc>
      </w:tr>
      <w:tr w14:paraId="15809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2410BF98">
            <w:pPr>
              <w:pStyle w:val="9"/>
              <w:shd w:val="clear" w:color="auto" w:fill="auto"/>
              <w:ind w:left="1080" w:leftChars="257" w:hanging="540"/>
              <w:jc w:val="center"/>
              <w:rPr>
                <w:rFonts w:hint="eastAsia" w:ascii="宋体" w:hAnsi="宋体" w:eastAsia="宋体" w:cs="宋体"/>
                <w:color w:val="auto"/>
                <w:sz w:val="24"/>
                <w:highlight w:val="none"/>
              </w:rPr>
            </w:pPr>
          </w:p>
        </w:tc>
        <w:tc>
          <w:tcPr>
            <w:tcW w:w="2040" w:type="dxa"/>
            <w:noWrap w:val="0"/>
            <w:vAlign w:val="center"/>
          </w:tcPr>
          <w:p w14:paraId="3F5A895E">
            <w:pPr>
              <w:pStyle w:val="9"/>
              <w:shd w:val="clear" w:color="auto" w:fill="auto"/>
              <w:ind w:left="1080" w:leftChars="257" w:hanging="540"/>
              <w:jc w:val="center"/>
              <w:rPr>
                <w:rFonts w:hint="eastAsia" w:ascii="宋体" w:hAnsi="宋体" w:eastAsia="宋体" w:cs="宋体"/>
                <w:color w:val="auto"/>
                <w:sz w:val="24"/>
                <w:highlight w:val="none"/>
              </w:rPr>
            </w:pPr>
          </w:p>
        </w:tc>
        <w:tc>
          <w:tcPr>
            <w:tcW w:w="2520" w:type="dxa"/>
            <w:noWrap w:val="0"/>
            <w:vAlign w:val="center"/>
          </w:tcPr>
          <w:p w14:paraId="20152FE9">
            <w:pPr>
              <w:pStyle w:val="9"/>
              <w:shd w:val="clear" w:color="auto" w:fill="auto"/>
              <w:ind w:left="1080" w:leftChars="257" w:hanging="540"/>
              <w:jc w:val="center"/>
              <w:rPr>
                <w:rFonts w:hint="eastAsia" w:ascii="宋体" w:hAnsi="宋体" w:eastAsia="宋体" w:cs="宋体"/>
                <w:color w:val="auto"/>
                <w:sz w:val="24"/>
                <w:highlight w:val="none"/>
              </w:rPr>
            </w:pPr>
          </w:p>
        </w:tc>
        <w:tc>
          <w:tcPr>
            <w:tcW w:w="1792" w:type="dxa"/>
            <w:noWrap w:val="0"/>
            <w:vAlign w:val="center"/>
          </w:tcPr>
          <w:p w14:paraId="43B92B01">
            <w:pPr>
              <w:pStyle w:val="9"/>
              <w:shd w:val="clear" w:color="auto" w:fill="auto"/>
              <w:ind w:left="1080" w:leftChars="257" w:hanging="540"/>
              <w:jc w:val="center"/>
              <w:rPr>
                <w:rFonts w:hint="eastAsia" w:ascii="宋体" w:hAnsi="宋体" w:eastAsia="宋体" w:cs="宋体"/>
                <w:color w:val="auto"/>
                <w:sz w:val="24"/>
                <w:highlight w:val="none"/>
              </w:rPr>
            </w:pPr>
          </w:p>
        </w:tc>
        <w:tc>
          <w:tcPr>
            <w:tcW w:w="1628" w:type="dxa"/>
            <w:noWrap w:val="0"/>
            <w:vAlign w:val="center"/>
          </w:tcPr>
          <w:p w14:paraId="46BF76C5">
            <w:pPr>
              <w:pStyle w:val="9"/>
              <w:shd w:val="clear" w:color="auto" w:fill="auto"/>
              <w:ind w:left="1080" w:leftChars="257" w:hanging="540"/>
              <w:jc w:val="center"/>
              <w:rPr>
                <w:rFonts w:hint="eastAsia" w:ascii="宋体" w:hAnsi="宋体" w:eastAsia="宋体" w:cs="宋体"/>
                <w:color w:val="auto"/>
                <w:sz w:val="24"/>
                <w:highlight w:val="none"/>
              </w:rPr>
            </w:pPr>
          </w:p>
        </w:tc>
      </w:tr>
      <w:tr w14:paraId="23A75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307E6349">
            <w:pPr>
              <w:pStyle w:val="9"/>
              <w:shd w:val="clear" w:color="auto" w:fill="auto"/>
              <w:ind w:left="1080" w:leftChars="257" w:hanging="540"/>
              <w:jc w:val="center"/>
              <w:rPr>
                <w:rFonts w:hint="eastAsia" w:ascii="宋体" w:hAnsi="宋体" w:eastAsia="宋体" w:cs="宋体"/>
                <w:color w:val="auto"/>
                <w:sz w:val="24"/>
                <w:highlight w:val="none"/>
              </w:rPr>
            </w:pPr>
          </w:p>
        </w:tc>
        <w:tc>
          <w:tcPr>
            <w:tcW w:w="2040" w:type="dxa"/>
            <w:noWrap w:val="0"/>
            <w:vAlign w:val="center"/>
          </w:tcPr>
          <w:p w14:paraId="3C4BBCBC">
            <w:pPr>
              <w:pStyle w:val="9"/>
              <w:shd w:val="clear" w:color="auto" w:fill="auto"/>
              <w:ind w:left="1080" w:leftChars="257" w:hanging="540"/>
              <w:jc w:val="center"/>
              <w:rPr>
                <w:rFonts w:hint="eastAsia" w:ascii="宋体" w:hAnsi="宋体" w:eastAsia="宋体" w:cs="宋体"/>
                <w:color w:val="auto"/>
                <w:sz w:val="24"/>
                <w:highlight w:val="none"/>
              </w:rPr>
            </w:pPr>
          </w:p>
        </w:tc>
        <w:tc>
          <w:tcPr>
            <w:tcW w:w="2520" w:type="dxa"/>
            <w:noWrap w:val="0"/>
            <w:vAlign w:val="center"/>
          </w:tcPr>
          <w:p w14:paraId="5E2D9614">
            <w:pPr>
              <w:pStyle w:val="9"/>
              <w:shd w:val="clear" w:color="auto" w:fill="auto"/>
              <w:ind w:left="1080" w:leftChars="257" w:hanging="540"/>
              <w:jc w:val="center"/>
              <w:rPr>
                <w:rFonts w:hint="eastAsia" w:ascii="宋体" w:hAnsi="宋体" w:eastAsia="宋体" w:cs="宋体"/>
                <w:color w:val="auto"/>
                <w:sz w:val="24"/>
                <w:highlight w:val="none"/>
              </w:rPr>
            </w:pPr>
          </w:p>
        </w:tc>
        <w:tc>
          <w:tcPr>
            <w:tcW w:w="1792" w:type="dxa"/>
            <w:noWrap w:val="0"/>
            <w:vAlign w:val="center"/>
          </w:tcPr>
          <w:p w14:paraId="508DCDBC">
            <w:pPr>
              <w:pStyle w:val="9"/>
              <w:shd w:val="clear" w:color="auto" w:fill="auto"/>
              <w:ind w:left="1080" w:leftChars="257" w:hanging="540"/>
              <w:jc w:val="center"/>
              <w:rPr>
                <w:rFonts w:hint="eastAsia" w:ascii="宋体" w:hAnsi="宋体" w:eastAsia="宋体" w:cs="宋体"/>
                <w:color w:val="auto"/>
                <w:sz w:val="24"/>
                <w:highlight w:val="none"/>
              </w:rPr>
            </w:pPr>
          </w:p>
        </w:tc>
        <w:tc>
          <w:tcPr>
            <w:tcW w:w="1628" w:type="dxa"/>
            <w:noWrap w:val="0"/>
            <w:vAlign w:val="center"/>
          </w:tcPr>
          <w:p w14:paraId="6E040515">
            <w:pPr>
              <w:pStyle w:val="9"/>
              <w:shd w:val="clear" w:color="auto" w:fill="auto"/>
              <w:ind w:left="1080" w:leftChars="257" w:hanging="540"/>
              <w:jc w:val="center"/>
              <w:rPr>
                <w:rFonts w:hint="eastAsia" w:ascii="宋体" w:hAnsi="宋体" w:eastAsia="宋体" w:cs="宋体"/>
                <w:color w:val="auto"/>
                <w:sz w:val="24"/>
                <w:highlight w:val="none"/>
              </w:rPr>
            </w:pPr>
          </w:p>
        </w:tc>
      </w:tr>
      <w:tr w14:paraId="2E4E6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3A67B738">
            <w:pPr>
              <w:pStyle w:val="9"/>
              <w:shd w:val="clear" w:color="auto" w:fill="auto"/>
              <w:ind w:left="1080" w:leftChars="257" w:hanging="540"/>
              <w:jc w:val="center"/>
              <w:rPr>
                <w:rFonts w:hint="eastAsia" w:ascii="宋体" w:hAnsi="宋体" w:eastAsia="宋体" w:cs="宋体"/>
                <w:color w:val="auto"/>
                <w:sz w:val="24"/>
                <w:highlight w:val="none"/>
              </w:rPr>
            </w:pPr>
          </w:p>
        </w:tc>
        <w:tc>
          <w:tcPr>
            <w:tcW w:w="2040" w:type="dxa"/>
            <w:noWrap w:val="0"/>
            <w:vAlign w:val="center"/>
          </w:tcPr>
          <w:p w14:paraId="03DE7C14">
            <w:pPr>
              <w:pStyle w:val="9"/>
              <w:shd w:val="clear" w:color="auto" w:fill="auto"/>
              <w:ind w:left="1080" w:leftChars="257" w:hanging="540"/>
              <w:jc w:val="center"/>
              <w:rPr>
                <w:rFonts w:hint="eastAsia" w:ascii="宋体" w:hAnsi="宋体" w:eastAsia="宋体" w:cs="宋体"/>
                <w:color w:val="auto"/>
                <w:sz w:val="24"/>
                <w:highlight w:val="none"/>
              </w:rPr>
            </w:pPr>
          </w:p>
        </w:tc>
        <w:tc>
          <w:tcPr>
            <w:tcW w:w="2520" w:type="dxa"/>
            <w:noWrap w:val="0"/>
            <w:vAlign w:val="center"/>
          </w:tcPr>
          <w:p w14:paraId="50D767E9">
            <w:pPr>
              <w:pStyle w:val="9"/>
              <w:shd w:val="clear" w:color="auto" w:fill="auto"/>
              <w:ind w:left="1080" w:leftChars="257" w:hanging="540"/>
              <w:jc w:val="center"/>
              <w:rPr>
                <w:rFonts w:hint="eastAsia" w:ascii="宋体" w:hAnsi="宋体" w:eastAsia="宋体" w:cs="宋体"/>
                <w:color w:val="auto"/>
                <w:sz w:val="24"/>
                <w:highlight w:val="none"/>
              </w:rPr>
            </w:pPr>
          </w:p>
        </w:tc>
        <w:tc>
          <w:tcPr>
            <w:tcW w:w="1792" w:type="dxa"/>
            <w:noWrap w:val="0"/>
            <w:vAlign w:val="center"/>
          </w:tcPr>
          <w:p w14:paraId="0246D162">
            <w:pPr>
              <w:pStyle w:val="9"/>
              <w:shd w:val="clear" w:color="auto" w:fill="auto"/>
              <w:ind w:left="1080" w:leftChars="257" w:hanging="540"/>
              <w:jc w:val="center"/>
              <w:rPr>
                <w:rFonts w:hint="eastAsia" w:ascii="宋体" w:hAnsi="宋体" w:eastAsia="宋体" w:cs="宋体"/>
                <w:color w:val="auto"/>
                <w:sz w:val="24"/>
                <w:highlight w:val="none"/>
              </w:rPr>
            </w:pPr>
          </w:p>
        </w:tc>
        <w:tc>
          <w:tcPr>
            <w:tcW w:w="1628" w:type="dxa"/>
            <w:noWrap w:val="0"/>
            <w:vAlign w:val="center"/>
          </w:tcPr>
          <w:p w14:paraId="101AE89E">
            <w:pPr>
              <w:pStyle w:val="9"/>
              <w:shd w:val="clear" w:color="auto" w:fill="auto"/>
              <w:ind w:left="1080" w:leftChars="257" w:hanging="540"/>
              <w:jc w:val="center"/>
              <w:rPr>
                <w:rFonts w:hint="eastAsia" w:ascii="宋体" w:hAnsi="宋体" w:eastAsia="宋体" w:cs="宋体"/>
                <w:color w:val="auto"/>
                <w:sz w:val="24"/>
                <w:highlight w:val="none"/>
              </w:rPr>
            </w:pPr>
          </w:p>
        </w:tc>
      </w:tr>
    </w:tbl>
    <w:p w14:paraId="59152375">
      <w:pPr>
        <w:pStyle w:val="9"/>
        <w:shd w:val="clear" w:color="auto" w:fill="auto"/>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声明：除本商务偏离表中所列的偏离项目外，其他所有商务均完全响应“招标文件”中的要求</w:t>
      </w:r>
    </w:p>
    <w:p w14:paraId="624A20E0">
      <w:pPr>
        <w:pStyle w:val="9"/>
        <w:shd w:val="clear" w:color="auto" w:fill="auto"/>
        <w:spacing w:line="360" w:lineRule="auto"/>
        <w:rPr>
          <w:rFonts w:hint="eastAsia" w:ascii="宋体" w:hAnsi="宋体" w:eastAsia="宋体" w:cs="宋体"/>
          <w:color w:val="auto"/>
          <w:sz w:val="24"/>
          <w:highlight w:val="none"/>
        </w:rPr>
      </w:pPr>
    </w:p>
    <w:p w14:paraId="3B0B4987">
      <w:pPr>
        <w:shd w:val="clear" w:color="auto" w:fill="auto"/>
        <w:spacing w:line="360" w:lineRule="auto"/>
        <w:ind w:firstLine="1920" w:firstLineChars="800"/>
        <w:rPr>
          <w:rFonts w:hint="eastAsia" w:ascii="宋体" w:hAnsi="宋体" w:eastAsia="宋体" w:cs="宋体"/>
          <w:color w:val="auto"/>
          <w:sz w:val="24"/>
          <w:highlight w:val="none"/>
        </w:rPr>
      </w:pPr>
      <w:bookmarkStart w:id="382" w:name="_Toc21312"/>
      <w:bookmarkStart w:id="383" w:name="_Toc10725"/>
      <w:bookmarkStart w:id="384" w:name="_Toc515647823"/>
      <w:bookmarkStart w:id="385" w:name="_Toc532473511"/>
      <w:r>
        <w:rPr>
          <w:rFonts w:hint="eastAsia" w:ascii="宋体" w:hAnsi="宋体" w:eastAsia="宋体" w:cs="宋体"/>
          <w:color w:val="auto"/>
          <w:sz w:val="24"/>
          <w:highlight w:val="none"/>
        </w:rPr>
        <w:t>投标人（盖公章）：</w:t>
      </w:r>
      <w:r>
        <w:rPr>
          <w:rFonts w:hint="eastAsia" w:ascii="宋体" w:hAnsi="宋体" w:eastAsia="宋体" w:cs="宋体"/>
          <w:color w:val="auto"/>
          <w:sz w:val="24"/>
          <w:highlight w:val="none"/>
          <w:u w:val="single"/>
        </w:rPr>
        <w:t xml:space="preserve">                             </w:t>
      </w:r>
    </w:p>
    <w:p w14:paraId="5680326E">
      <w:pPr>
        <w:shd w:val="clear" w:color="auto" w:fill="auto"/>
        <w:spacing w:line="360" w:lineRule="auto"/>
        <w:ind w:firstLine="1920" w:firstLineChars="8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法定代表人或授权代表（签字或盖章）：</w:t>
      </w:r>
      <w:r>
        <w:rPr>
          <w:rFonts w:hint="eastAsia" w:ascii="宋体" w:hAnsi="宋体" w:eastAsia="宋体" w:cs="宋体"/>
          <w:color w:val="auto"/>
          <w:sz w:val="24"/>
          <w:highlight w:val="none"/>
          <w:u w:val="single"/>
        </w:rPr>
        <w:t xml:space="preserve">           </w:t>
      </w:r>
    </w:p>
    <w:p w14:paraId="536B8336">
      <w:pPr>
        <w:pStyle w:val="9"/>
        <w:shd w:val="clear" w:color="auto" w:fill="auto"/>
        <w:tabs>
          <w:tab w:val="left" w:pos="5580"/>
        </w:tabs>
        <w:spacing w:line="360" w:lineRule="auto"/>
        <w:ind w:firstLine="1920" w:firstLineChars="800"/>
        <w:rPr>
          <w:rFonts w:hint="eastAsia" w:ascii="宋体" w:hAnsi="宋体" w:eastAsia="宋体" w:cs="宋体"/>
          <w:color w:val="auto"/>
          <w:sz w:val="24"/>
          <w:highlight w:val="none"/>
        </w:rPr>
      </w:pPr>
      <w:r>
        <w:rPr>
          <w:rFonts w:hint="eastAsia" w:hAnsi="宋体" w:eastAsia="宋体" w:cs="宋体"/>
          <w:color w:val="auto"/>
          <w:sz w:val="24"/>
          <w:highlight w:val="none"/>
        </w:rPr>
        <w:t>日    期：</w:t>
      </w:r>
      <w:r>
        <w:rPr>
          <w:rFonts w:hint="eastAsia" w:hAnsi="宋体" w:eastAsia="宋体" w:cs="宋体"/>
          <w:color w:val="auto"/>
          <w:sz w:val="32"/>
          <w:highlight w:val="none"/>
          <w:u w:val="single"/>
        </w:rPr>
        <w:t xml:space="preserve">                            </w:t>
      </w:r>
    </w:p>
    <w:bookmarkEnd w:id="382"/>
    <w:bookmarkEnd w:id="383"/>
    <w:bookmarkEnd w:id="384"/>
    <w:bookmarkEnd w:id="385"/>
    <w:p w14:paraId="54FFF0C9">
      <w:pPr>
        <w:widowControl/>
        <w:shd w:val="clear" w:color="auto" w:fill="auto"/>
        <w:spacing w:before="100" w:beforeAutospacing="1" w:after="100" w:afterAutospacing="1" w:line="360" w:lineRule="auto"/>
        <w:rPr>
          <w:rFonts w:hint="eastAsia" w:ascii="宋体" w:hAnsi="宋体" w:eastAsia="宋体" w:cs="宋体"/>
          <w:color w:val="auto"/>
          <w:sz w:val="24"/>
          <w:highlight w:val="none"/>
        </w:rPr>
      </w:pPr>
    </w:p>
    <w:p w14:paraId="0205EF4B">
      <w:pPr>
        <w:widowControl/>
        <w:shd w:val="clear" w:color="auto" w:fill="auto"/>
        <w:spacing w:before="100" w:beforeAutospacing="1" w:after="100" w:afterAutospacing="1" w:line="360" w:lineRule="auto"/>
        <w:rPr>
          <w:rFonts w:hint="eastAsia" w:ascii="宋体" w:hAnsi="宋体" w:eastAsia="宋体" w:cs="宋体"/>
          <w:color w:val="auto"/>
          <w:sz w:val="24"/>
          <w:highlight w:val="none"/>
        </w:rPr>
      </w:pPr>
    </w:p>
    <w:p w14:paraId="42FF9A83">
      <w:pPr>
        <w:pStyle w:val="4"/>
        <w:shd w:val="clear" w:color="auto" w:fill="auto"/>
        <w:rPr>
          <w:rFonts w:hint="eastAsia" w:ascii="宋体" w:hAnsi="宋体" w:eastAsia="宋体" w:cs="宋体"/>
          <w:color w:val="auto"/>
          <w:sz w:val="32"/>
          <w:szCs w:val="32"/>
          <w:highlight w:val="none"/>
        </w:rPr>
      </w:pPr>
      <w:bookmarkStart w:id="386" w:name="_Toc60929148"/>
      <w:bookmarkStart w:id="387" w:name="_Toc60928916"/>
    </w:p>
    <w:p w14:paraId="670DBD0C">
      <w:pPr>
        <w:pStyle w:val="5"/>
        <w:shd w:val="clear" w:color="auto" w:fill="auto"/>
        <w:ind w:firstLine="0" w:firstLineChars="0"/>
        <w:jc w:val="center"/>
        <w:rPr>
          <w:rFonts w:hint="eastAsia" w:ascii="宋体" w:hAnsi="宋体" w:eastAsia="宋体" w:cs="宋体"/>
          <w:color w:val="auto"/>
          <w:sz w:val="32"/>
          <w:szCs w:val="32"/>
          <w:highlight w:val="none"/>
        </w:rPr>
      </w:pPr>
      <w:bookmarkStart w:id="388" w:name="_Toc3317"/>
      <w:bookmarkStart w:id="389" w:name="_Toc18687"/>
      <w:bookmarkStart w:id="390" w:name="_Toc62194360"/>
      <w:bookmarkStart w:id="391" w:name="_Toc13726"/>
      <w:r>
        <w:rPr>
          <w:rFonts w:hint="eastAsia" w:ascii="宋体" w:hAnsi="宋体" w:eastAsia="宋体" w:cs="宋体"/>
          <w:color w:val="auto"/>
          <w:sz w:val="32"/>
          <w:szCs w:val="32"/>
          <w:highlight w:val="none"/>
        </w:rPr>
        <w:t>投标方案或技术方案</w:t>
      </w:r>
      <w:bookmarkEnd w:id="386"/>
      <w:bookmarkEnd w:id="387"/>
      <w:bookmarkEnd w:id="388"/>
      <w:bookmarkEnd w:id="389"/>
      <w:bookmarkEnd w:id="390"/>
      <w:bookmarkEnd w:id="391"/>
      <w:bookmarkStart w:id="392" w:name="_Toc60928917"/>
      <w:bookmarkStart w:id="393" w:name="_Toc60929149"/>
    </w:p>
    <w:p w14:paraId="63C4BB16">
      <w:pPr>
        <w:pStyle w:val="8"/>
        <w:shd w:val="clear" w:color="auto" w:fill="auto"/>
        <w:jc w:val="center"/>
        <w:rPr>
          <w:rFonts w:hint="eastAsia" w:ascii="宋体" w:hAnsi="宋体" w:eastAsia="宋体" w:cs="宋体"/>
          <w:color w:val="auto"/>
          <w:highlight w:val="none"/>
        </w:rPr>
      </w:pPr>
      <w:r>
        <w:rPr>
          <w:rFonts w:hint="eastAsia" w:ascii="宋体" w:hAnsi="宋体" w:eastAsia="宋体" w:cs="宋体"/>
          <w:color w:val="auto"/>
          <w:highlight w:val="none"/>
        </w:rPr>
        <w:t>（格式自拟，内容应包含评标办法中要求的内容）</w:t>
      </w:r>
      <w:bookmarkEnd w:id="392"/>
      <w:bookmarkEnd w:id="393"/>
    </w:p>
    <w:p w14:paraId="7811CE2B">
      <w:pPr>
        <w:shd w:val="clear" w:color="auto" w:fill="auto"/>
        <w:rPr>
          <w:rFonts w:hint="eastAsia" w:ascii="宋体" w:hAnsi="宋体" w:eastAsia="宋体" w:cs="宋体"/>
          <w:color w:val="auto"/>
          <w:highlight w:val="none"/>
        </w:rPr>
      </w:pPr>
    </w:p>
    <w:p w14:paraId="0AA82AA5">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3C51B74E">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0C710060">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43EFA465">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6D215AF5">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37EE08B5">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7691C366">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19ADE6C1">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717BFEBB">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5EC70BF5">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4C0F416E">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17FFA02B">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70EABD30">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3ECBA498">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0EFF7B5B">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1FDBC077">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528A8820">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1B88AB7F">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7261B122">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16CF2192">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4463A504">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767DDC25">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66B1F696">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16B611DA">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2F8A24F2">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155560EE">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0270E46F">
      <w:pPr>
        <w:pStyle w:val="4"/>
        <w:shd w:val="clear" w:color="auto" w:fill="auto"/>
        <w:spacing w:line="360" w:lineRule="auto"/>
        <w:ind w:left="0" w:leftChars="0" w:firstLine="0" w:firstLineChars="0"/>
        <w:rPr>
          <w:rFonts w:hint="eastAsia" w:ascii="宋体" w:hAnsi="宋体" w:eastAsia="宋体" w:cs="宋体"/>
          <w:color w:val="auto"/>
          <w:highlight w:val="none"/>
        </w:rPr>
      </w:pPr>
    </w:p>
    <w:p w14:paraId="00ABE535">
      <w:pPr>
        <w:pStyle w:val="5"/>
        <w:shd w:val="clear" w:color="auto" w:fill="auto"/>
        <w:ind w:firstLine="0" w:firstLineChars="0"/>
        <w:jc w:val="center"/>
        <w:rPr>
          <w:rFonts w:hint="eastAsia" w:ascii="宋体" w:hAnsi="宋体" w:eastAsia="宋体" w:cs="宋体"/>
          <w:color w:val="auto"/>
          <w:sz w:val="32"/>
          <w:szCs w:val="32"/>
          <w:highlight w:val="none"/>
        </w:rPr>
      </w:pPr>
      <w:bookmarkStart w:id="394" w:name="_Toc32392"/>
      <w:bookmarkStart w:id="395" w:name="_Toc1223"/>
      <w:bookmarkStart w:id="396" w:name="_Toc60928918"/>
      <w:bookmarkStart w:id="397" w:name="_Toc60929150"/>
      <w:bookmarkStart w:id="398" w:name="_Toc62194361"/>
      <w:bookmarkStart w:id="399" w:name="_Toc9381"/>
      <w:r>
        <w:rPr>
          <w:rFonts w:hint="eastAsia" w:ascii="宋体" w:hAnsi="宋体" w:eastAsia="宋体" w:cs="宋体"/>
          <w:color w:val="auto"/>
          <w:sz w:val="32"/>
          <w:szCs w:val="32"/>
          <w:highlight w:val="none"/>
        </w:rPr>
        <w:t>业绩一览表</w:t>
      </w:r>
      <w:bookmarkEnd w:id="394"/>
      <w:bookmarkEnd w:id="395"/>
      <w:bookmarkEnd w:id="396"/>
      <w:bookmarkEnd w:id="397"/>
      <w:bookmarkEnd w:id="398"/>
      <w:bookmarkEnd w:id="399"/>
    </w:p>
    <w:p w14:paraId="60D92572">
      <w:pPr>
        <w:shd w:val="clear" w:color="auto" w:fill="auto"/>
        <w:rPr>
          <w:rFonts w:hint="eastAsia" w:ascii="宋体" w:hAnsi="宋体" w:eastAsia="宋体" w:cs="宋体"/>
          <w:color w:val="auto"/>
          <w:sz w:val="24"/>
          <w:highlight w:val="none"/>
          <w:u w:val="single"/>
        </w:rPr>
      </w:pPr>
    </w:p>
    <w:tbl>
      <w:tblPr>
        <w:tblStyle w:val="1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980"/>
        <w:gridCol w:w="1800"/>
        <w:gridCol w:w="1441"/>
        <w:gridCol w:w="2700"/>
      </w:tblGrid>
      <w:tr w14:paraId="521D24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24911124">
            <w:pPr>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980" w:type="dxa"/>
            <w:noWrap w:val="0"/>
            <w:vAlign w:val="center"/>
          </w:tcPr>
          <w:p w14:paraId="79C51C04">
            <w:pPr>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800" w:type="dxa"/>
            <w:tcBorders>
              <w:left w:val="single" w:color="auto" w:sz="4" w:space="0"/>
              <w:right w:val="single" w:color="auto" w:sz="4" w:space="0"/>
            </w:tcBorders>
            <w:noWrap w:val="0"/>
            <w:vAlign w:val="center"/>
          </w:tcPr>
          <w:p w14:paraId="17DB6F2A">
            <w:pPr>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合同金额（万元）</w:t>
            </w:r>
          </w:p>
        </w:tc>
        <w:tc>
          <w:tcPr>
            <w:tcW w:w="1441" w:type="dxa"/>
            <w:noWrap w:val="0"/>
            <w:vAlign w:val="center"/>
          </w:tcPr>
          <w:p w14:paraId="05AE7DE8">
            <w:pPr>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签订</w:t>
            </w:r>
            <w:r>
              <w:rPr>
                <w:rFonts w:hint="eastAsia" w:ascii="宋体" w:hAnsi="宋体" w:eastAsia="宋体" w:cs="宋体"/>
                <w:color w:val="auto"/>
                <w:sz w:val="24"/>
                <w:highlight w:val="none"/>
              </w:rPr>
              <w:t>日期</w:t>
            </w:r>
          </w:p>
        </w:tc>
        <w:tc>
          <w:tcPr>
            <w:tcW w:w="2700" w:type="dxa"/>
            <w:noWrap w:val="0"/>
            <w:vAlign w:val="center"/>
          </w:tcPr>
          <w:p w14:paraId="414529A0">
            <w:pPr>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业主名称、联系人及电话</w:t>
            </w:r>
          </w:p>
        </w:tc>
      </w:tr>
      <w:tr w14:paraId="51605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2DF99EF3">
            <w:pPr>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980" w:type="dxa"/>
            <w:noWrap w:val="0"/>
            <w:vAlign w:val="center"/>
          </w:tcPr>
          <w:p w14:paraId="76D98382">
            <w:pPr>
              <w:shd w:val="clear" w:color="auto" w:fill="auto"/>
              <w:jc w:val="center"/>
              <w:rPr>
                <w:rFonts w:hint="eastAsia" w:ascii="宋体" w:hAnsi="宋体" w:eastAsia="宋体" w:cs="宋体"/>
                <w:color w:val="auto"/>
                <w:sz w:val="24"/>
                <w:highlight w:val="none"/>
              </w:rPr>
            </w:pPr>
          </w:p>
        </w:tc>
        <w:tc>
          <w:tcPr>
            <w:tcW w:w="1800" w:type="dxa"/>
            <w:tcBorders>
              <w:left w:val="single" w:color="auto" w:sz="4" w:space="0"/>
              <w:right w:val="single" w:color="auto" w:sz="4" w:space="0"/>
            </w:tcBorders>
            <w:noWrap w:val="0"/>
            <w:vAlign w:val="center"/>
          </w:tcPr>
          <w:p w14:paraId="170FC3B5">
            <w:pPr>
              <w:shd w:val="clear" w:color="auto" w:fill="auto"/>
              <w:jc w:val="center"/>
              <w:rPr>
                <w:rFonts w:hint="eastAsia" w:ascii="宋体" w:hAnsi="宋体" w:eastAsia="宋体" w:cs="宋体"/>
                <w:color w:val="auto"/>
                <w:sz w:val="24"/>
                <w:highlight w:val="none"/>
              </w:rPr>
            </w:pPr>
          </w:p>
        </w:tc>
        <w:tc>
          <w:tcPr>
            <w:tcW w:w="1441" w:type="dxa"/>
            <w:noWrap w:val="0"/>
            <w:vAlign w:val="center"/>
          </w:tcPr>
          <w:p w14:paraId="5CCC3DB5">
            <w:pPr>
              <w:shd w:val="clear" w:color="auto" w:fill="auto"/>
              <w:jc w:val="center"/>
              <w:rPr>
                <w:rFonts w:hint="eastAsia" w:ascii="宋体" w:hAnsi="宋体" w:eastAsia="宋体" w:cs="宋体"/>
                <w:color w:val="auto"/>
                <w:sz w:val="24"/>
                <w:highlight w:val="none"/>
              </w:rPr>
            </w:pPr>
          </w:p>
        </w:tc>
        <w:tc>
          <w:tcPr>
            <w:tcW w:w="2700" w:type="dxa"/>
            <w:noWrap w:val="0"/>
            <w:vAlign w:val="top"/>
          </w:tcPr>
          <w:p w14:paraId="051B550F">
            <w:pPr>
              <w:shd w:val="clear" w:color="auto" w:fill="auto"/>
              <w:jc w:val="center"/>
              <w:rPr>
                <w:rFonts w:hint="eastAsia" w:ascii="宋体" w:hAnsi="宋体" w:eastAsia="宋体" w:cs="宋体"/>
                <w:color w:val="auto"/>
                <w:sz w:val="24"/>
                <w:highlight w:val="none"/>
              </w:rPr>
            </w:pPr>
          </w:p>
        </w:tc>
      </w:tr>
      <w:tr w14:paraId="5C81F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5A2278C9">
            <w:pPr>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980" w:type="dxa"/>
            <w:noWrap w:val="0"/>
            <w:vAlign w:val="center"/>
          </w:tcPr>
          <w:p w14:paraId="13D89274">
            <w:pPr>
              <w:shd w:val="clear" w:color="auto" w:fill="auto"/>
              <w:jc w:val="center"/>
              <w:rPr>
                <w:rFonts w:hint="eastAsia" w:ascii="宋体" w:hAnsi="宋体" w:eastAsia="宋体" w:cs="宋体"/>
                <w:color w:val="auto"/>
                <w:sz w:val="24"/>
                <w:highlight w:val="none"/>
              </w:rPr>
            </w:pPr>
          </w:p>
        </w:tc>
        <w:tc>
          <w:tcPr>
            <w:tcW w:w="1800" w:type="dxa"/>
            <w:tcBorders>
              <w:left w:val="single" w:color="auto" w:sz="4" w:space="0"/>
              <w:right w:val="single" w:color="auto" w:sz="4" w:space="0"/>
            </w:tcBorders>
            <w:noWrap w:val="0"/>
            <w:vAlign w:val="center"/>
          </w:tcPr>
          <w:p w14:paraId="37DCFAD4">
            <w:pPr>
              <w:shd w:val="clear" w:color="auto" w:fill="auto"/>
              <w:jc w:val="center"/>
              <w:rPr>
                <w:rFonts w:hint="eastAsia" w:ascii="宋体" w:hAnsi="宋体" w:eastAsia="宋体" w:cs="宋体"/>
                <w:color w:val="auto"/>
                <w:sz w:val="24"/>
                <w:highlight w:val="none"/>
              </w:rPr>
            </w:pPr>
          </w:p>
        </w:tc>
        <w:tc>
          <w:tcPr>
            <w:tcW w:w="1441" w:type="dxa"/>
            <w:noWrap w:val="0"/>
            <w:vAlign w:val="center"/>
          </w:tcPr>
          <w:p w14:paraId="5F6D1DBF">
            <w:pPr>
              <w:shd w:val="clear" w:color="auto" w:fill="auto"/>
              <w:jc w:val="center"/>
              <w:rPr>
                <w:rFonts w:hint="eastAsia" w:ascii="宋体" w:hAnsi="宋体" w:eastAsia="宋体" w:cs="宋体"/>
                <w:color w:val="auto"/>
                <w:sz w:val="24"/>
                <w:highlight w:val="none"/>
              </w:rPr>
            </w:pPr>
          </w:p>
        </w:tc>
        <w:tc>
          <w:tcPr>
            <w:tcW w:w="2700" w:type="dxa"/>
            <w:noWrap w:val="0"/>
            <w:vAlign w:val="top"/>
          </w:tcPr>
          <w:p w14:paraId="64FF627F">
            <w:pPr>
              <w:shd w:val="clear" w:color="auto" w:fill="auto"/>
              <w:jc w:val="center"/>
              <w:rPr>
                <w:rFonts w:hint="eastAsia" w:ascii="宋体" w:hAnsi="宋体" w:eastAsia="宋体" w:cs="宋体"/>
                <w:color w:val="auto"/>
                <w:sz w:val="24"/>
                <w:highlight w:val="none"/>
              </w:rPr>
            </w:pPr>
          </w:p>
        </w:tc>
      </w:tr>
      <w:tr w14:paraId="318991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2CB92C34">
            <w:pPr>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980" w:type="dxa"/>
            <w:noWrap w:val="0"/>
            <w:vAlign w:val="center"/>
          </w:tcPr>
          <w:p w14:paraId="3B0C9319">
            <w:pPr>
              <w:shd w:val="clear" w:color="auto" w:fill="auto"/>
              <w:jc w:val="center"/>
              <w:rPr>
                <w:rFonts w:hint="eastAsia" w:ascii="宋体" w:hAnsi="宋体" w:eastAsia="宋体" w:cs="宋体"/>
                <w:color w:val="auto"/>
                <w:sz w:val="24"/>
                <w:highlight w:val="none"/>
              </w:rPr>
            </w:pPr>
          </w:p>
        </w:tc>
        <w:tc>
          <w:tcPr>
            <w:tcW w:w="1800" w:type="dxa"/>
            <w:tcBorders>
              <w:left w:val="single" w:color="auto" w:sz="4" w:space="0"/>
              <w:right w:val="single" w:color="auto" w:sz="4" w:space="0"/>
            </w:tcBorders>
            <w:noWrap w:val="0"/>
            <w:vAlign w:val="center"/>
          </w:tcPr>
          <w:p w14:paraId="7CC06B12">
            <w:pPr>
              <w:shd w:val="clear" w:color="auto" w:fill="auto"/>
              <w:jc w:val="center"/>
              <w:rPr>
                <w:rFonts w:hint="eastAsia" w:ascii="宋体" w:hAnsi="宋体" w:eastAsia="宋体" w:cs="宋体"/>
                <w:color w:val="auto"/>
                <w:sz w:val="24"/>
                <w:highlight w:val="none"/>
              </w:rPr>
            </w:pPr>
          </w:p>
        </w:tc>
        <w:tc>
          <w:tcPr>
            <w:tcW w:w="1441" w:type="dxa"/>
            <w:noWrap w:val="0"/>
            <w:vAlign w:val="center"/>
          </w:tcPr>
          <w:p w14:paraId="566A1343">
            <w:pPr>
              <w:shd w:val="clear" w:color="auto" w:fill="auto"/>
              <w:jc w:val="center"/>
              <w:rPr>
                <w:rFonts w:hint="eastAsia" w:ascii="宋体" w:hAnsi="宋体" w:eastAsia="宋体" w:cs="宋体"/>
                <w:color w:val="auto"/>
                <w:sz w:val="24"/>
                <w:highlight w:val="none"/>
              </w:rPr>
            </w:pPr>
          </w:p>
        </w:tc>
        <w:tc>
          <w:tcPr>
            <w:tcW w:w="2700" w:type="dxa"/>
            <w:noWrap w:val="0"/>
            <w:vAlign w:val="top"/>
          </w:tcPr>
          <w:p w14:paraId="3C2F9E1C">
            <w:pPr>
              <w:shd w:val="clear" w:color="auto" w:fill="auto"/>
              <w:jc w:val="center"/>
              <w:rPr>
                <w:rFonts w:hint="eastAsia" w:ascii="宋体" w:hAnsi="宋体" w:eastAsia="宋体" w:cs="宋体"/>
                <w:color w:val="auto"/>
                <w:sz w:val="24"/>
                <w:highlight w:val="none"/>
              </w:rPr>
            </w:pPr>
          </w:p>
        </w:tc>
      </w:tr>
      <w:tr w14:paraId="4944F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008F6277">
            <w:pPr>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980" w:type="dxa"/>
            <w:noWrap w:val="0"/>
            <w:vAlign w:val="center"/>
          </w:tcPr>
          <w:p w14:paraId="28A8CB1D">
            <w:pPr>
              <w:shd w:val="clear" w:color="auto" w:fill="auto"/>
              <w:jc w:val="center"/>
              <w:rPr>
                <w:rFonts w:hint="eastAsia" w:ascii="宋体" w:hAnsi="宋体" w:eastAsia="宋体" w:cs="宋体"/>
                <w:color w:val="auto"/>
                <w:sz w:val="24"/>
                <w:highlight w:val="none"/>
              </w:rPr>
            </w:pPr>
          </w:p>
        </w:tc>
        <w:tc>
          <w:tcPr>
            <w:tcW w:w="1800" w:type="dxa"/>
            <w:tcBorders>
              <w:left w:val="single" w:color="auto" w:sz="4" w:space="0"/>
              <w:right w:val="single" w:color="auto" w:sz="4" w:space="0"/>
            </w:tcBorders>
            <w:noWrap w:val="0"/>
            <w:vAlign w:val="center"/>
          </w:tcPr>
          <w:p w14:paraId="52F78E8B">
            <w:pPr>
              <w:shd w:val="clear" w:color="auto" w:fill="auto"/>
              <w:jc w:val="center"/>
              <w:rPr>
                <w:rFonts w:hint="eastAsia" w:ascii="宋体" w:hAnsi="宋体" w:eastAsia="宋体" w:cs="宋体"/>
                <w:color w:val="auto"/>
                <w:sz w:val="24"/>
                <w:highlight w:val="none"/>
              </w:rPr>
            </w:pPr>
          </w:p>
        </w:tc>
        <w:tc>
          <w:tcPr>
            <w:tcW w:w="1441" w:type="dxa"/>
            <w:noWrap w:val="0"/>
            <w:vAlign w:val="center"/>
          </w:tcPr>
          <w:p w14:paraId="3BCCDC39">
            <w:pPr>
              <w:shd w:val="clear" w:color="auto" w:fill="auto"/>
              <w:jc w:val="center"/>
              <w:rPr>
                <w:rFonts w:hint="eastAsia" w:ascii="宋体" w:hAnsi="宋体" w:eastAsia="宋体" w:cs="宋体"/>
                <w:color w:val="auto"/>
                <w:sz w:val="24"/>
                <w:highlight w:val="none"/>
              </w:rPr>
            </w:pPr>
          </w:p>
        </w:tc>
        <w:tc>
          <w:tcPr>
            <w:tcW w:w="2700" w:type="dxa"/>
            <w:noWrap w:val="0"/>
            <w:vAlign w:val="top"/>
          </w:tcPr>
          <w:p w14:paraId="31321D7F">
            <w:pPr>
              <w:shd w:val="clear" w:color="auto" w:fill="auto"/>
              <w:jc w:val="center"/>
              <w:rPr>
                <w:rFonts w:hint="eastAsia" w:ascii="宋体" w:hAnsi="宋体" w:eastAsia="宋体" w:cs="宋体"/>
                <w:color w:val="auto"/>
                <w:sz w:val="24"/>
                <w:highlight w:val="none"/>
              </w:rPr>
            </w:pPr>
          </w:p>
        </w:tc>
      </w:tr>
      <w:tr w14:paraId="61C36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71712DAF">
            <w:pPr>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980" w:type="dxa"/>
            <w:noWrap w:val="0"/>
            <w:vAlign w:val="center"/>
          </w:tcPr>
          <w:p w14:paraId="2A6CBE72">
            <w:pPr>
              <w:shd w:val="clear" w:color="auto" w:fill="auto"/>
              <w:jc w:val="center"/>
              <w:rPr>
                <w:rFonts w:hint="eastAsia" w:ascii="宋体" w:hAnsi="宋体" w:eastAsia="宋体" w:cs="宋体"/>
                <w:color w:val="auto"/>
                <w:sz w:val="24"/>
                <w:highlight w:val="none"/>
              </w:rPr>
            </w:pPr>
          </w:p>
        </w:tc>
        <w:tc>
          <w:tcPr>
            <w:tcW w:w="1800" w:type="dxa"/>
            <w:tcBorders>
              <w:left w:val="single" w:color="auto" w:sz="4" w:space="0"/>
              <w:right w:val="single" w:color="auto" w:sz="4" w:space="0"/>
            </w:tcBorders>
            <w:noWrap w:val="0"/>
            <w:vAlign w:val="center"/>
          </w:tcPr>
          <w:p w14:paraId="39D4667D">
            <w:pPr>
              <w:shd w:val="clear" w:color="auto" w:fill="auto"/>
              <w:jc w:val="center"/>
              <w:rPr>
                <w:rFonts w:hint="eastAsia" w:ascii="宋体" w:hAnsi="宋体" w:eastAsia="宋体" w:cs="宋体"/>
                <w:color w:val="auto"/>
                <w:sz w:val="24"/>
                <w:highlight w:val="none"/>
              </w:rPr>
            </w:pPr>
          </w:p>
        </w:tc>
        <w:tc>
          <w:tcPr>
            <w:tcW w:w="1441" w:type="dxa"/>
            <w:noWrap w:val="0"/>
            <w:vAlign w:val="center"/>
          </w:tcPr>
          <w:p w14:paraId="38F17E61">
            <w:pPr>
              <w:shd w:val="clear" w:color="auto" w:fill="auto"/>
              <w:jc w:val="center"/>
              <w:rPr>
                <w:rFonts w:hint="eastAsia" w:ascii="宋体" w:hAnsi="宋体" w:eastAsia="宋体" w:cs="宋体"/>
                <w:color w:val="auto"/>
                <w:sz w:val="24"/>
                <w:highlight w:val="none"/>
              </w:rPr>
            </w:pPr>
          </w:p>
        </w:tc>
        <w:tc>
          <w:tcPr>
            <w:tcW w:w="2700" w:type="dxa"/>
            <w:noWrap w:val="0"/>
            <w:vAlign w:val="top"/>
          </w:tcPr>
          <w:p w14:paraId="08FF9BD5">
            <w:pPr>
              <w:shd w:val="clear" w:color="auto" w:fill="auto"/>
              <w:jc w:val="center"/>
              <w:rPr>
                <w:rFonts w:hint="eastAsia" w:ascii="宋体" w:hAnsi="宋体" w:eastAsia="宋体" w:cs="宋体"/>
                <w:color w:val="auto"/>
                <w:sz w:val="24"/>
                <w:highlight w:val="none"/>
              </w:rPr>
            </w:pPr>
          </w:p>
        </w:tc>
      </w:tr>
      <w:tr w14:paraId="264FD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03685D47">
            <w:pPr>
              <w:shd w:val="clear" w:color="auto" w:fill="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1980" w:type="dxa"/>
            <w:noWrap w:val="0"/>
            <w:vAlign w:val="center"/>
          </w:tcPr>
          <w:p w14:paraId="73725895">
            <w:pPr>
              <w:shd w:val="clear" w:color="auto" w:fill="auto"/>
              <w:jc w:val="center"/>
              <w:rPr>
                <w:rFonts w:hint="eastAsia" w:ascii="宋体" w:hAnsi="宋体" w:eastAsia="宋体" w:cs="宋体"/>
                <w:color w:val="auto"/>
                <w:sz w:val="24"/>
                <w:highlight w:val="none"/>
              </w:rPr>
            </w:pPr>
          </w:p>
        </w:tc>
        <w:tc>
          <w:tcPr>
            <w:tcW w:w="1800" w:type="dxa"/>
            <w:tcBorders>
              <w:left w:val="single" w:color="auto" w:sz="4" w:space="0"/>
              <w:right w:val="single" w:color="auto" w:sz="4" w:space="0"/>
            </w:tcBorders>
            <w:noWrap w:val="0"/>
            <w:vAlign w:val="center"/>
          </w:tcPr>
          <w:p w14:paraId="4385122F">
            <w:pPr>
              <w:shd w:val="clear" w:color="auto" w:fill="auto"/>
              <w:jc w:val="center"/>
              <w:rPr>
                <w:rFonts w:hint="eastAsia" w:ascii="宋体" w:hAnsi="宋体" w:eastAsia="宋体" w:cs="宋体"/>
                <w:color w:val="auto"/>
                <w:sz w:val="24"/>
                <w:highlight w:val="none"/>
              </w:rPr>
            </w:pPr>
          </w:p>
        </w:tc>
        <w:tc>
          <w:tcPr>
            <w:tcW w:w="1441" w:type="dxa"/>
            <w:noWrap w:val="0"/>
            <w:vAlign w:val="center"/>
          </w:tcPr>
          <w:p w14:paraId="1A70DFB1">
            <w:pPr>
              <w:shd w:val="clear" w:color="auto" w:fill="auto"/>
              <w:jc w:val="center"/>
              <w:rPr>
                <w:rFonts w:hint="eastAsia" w:ascii="宋体" w:hAnsi="宋体" w:eastAsia="宋体" w:cs="宋体"/>
                <w:color w:val="auto"/>
                <w:sz w:val="24"/>
                <w:highlight w:val="none"/>
              </w:rPr>
            </w:pPr>
          </w:p>
        </w:tc>
        <w:tc>
          <w:tcPr>
            <w:tcW w:w="2700" w:type="dxa"/>
            <w:noWrap w:val="0"/>
            <w:vAlign w:val="top"/>
          </w:tcPr>
          <w:p w14:paraId="751AC616">
            <w:pPr>
              <w:shd w:val="clear" w:color="auto" w:fill="auto"/>
              <w:jc w:val="center"/>
              <w:rPr>
                <w:rFonts w:hint="eastAsia" w:ascii="宋体" w:hAnsi="宋体" w:eastAsia="宋体" w:cs="宋体"/>
                <w:color w:val="auto"/>
                <w:sz w:val="24"/>
                <w:highlight w:val="none"/>
              </w:rPr>
            </w:pPr>
          </w:p>
        </w:tc>
      </w:tr>
      <w:tr w14:paraId="5BE71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29C0AC0A">
            <w:pPr>
              <w:shd w:val="clear" w:color="auto" w:fill="auto"/>
              <w:jc w:val="center"/>
              <w:rPr>
                <w:rFonts w:hint="eastAsia" w:ascii="宋体" w:hAnsi="宋体" w:eastAsia="宋体" w:cs="宋体"/>
                <w:color w:val="auto"/>
                <w:sz w:val="24"/>
                <w:highlight w:val="none"/>
              </w:rPr>
            </w:pPr>
          </w:p>
        </w:tc>
        <w:tc>
          <w:tcPr>
            <w:tcW w:w="1980" w:type="dxa"/>
            <w:noWrap w:val="0"/>
            <w:vAlign w:val="center"/>
          </w:tcPr>
          <w:p w14:paraId="139A1B89">
            <w:pPr>
              <w:shd w:val="clear" w:color="auto" w:fill="auto"/>
              <w:jc w:val="center"/>
              <w:rPr>
                <w:rFonts w:hint="eastAsia" w:ascii="宋体" w:hAnsi="宋体" w:eastAsia="宋体" w:cs="宋体"/>
                <w:color w:val="auto"/>
                <w:sz w:val="24"/>
                <w:highlight w:val="none"/>
              </w:rPr>
            </w:pPr>
          </w:p>
        </w:tc>
        <w:tc>
          <w:tcPr>
            <w:tcW w:w="1800" w:type="dxa"/>
            <w:tcBorders>
              <w:left w:val="single" w:color="auto" w:sz="4" w:space="0"/>
              <w:right w:val="single" w:color="auto" w:sz="4" w:space="0"/>
            </w:tcBorders>
            <w:noWrap w:val="0"/>
            <w:vAlign w:val="center"/>
          </w:tcPr>
          <w:p w14:paraId="12CB07D8">
            <w:pPr>
              <w:shd w:val="clear" w:color="auto" w:fill="auto"/>
              <w:jc w:val="center"/>
              <w:rPr>
                <w:rFonts w:hint="eastAsia" w:ascii="宋体" w:hAnsi="宋体" w:eastAsia="宋体" w:cs="宋体"/>
                <w:color w:val="auto"/>
                <w:sz w:val="24"/>
                <w:highlight w:val="none"/>
              </w:rPr>
            </w:pPr>
          </w:p>
        </w:tc>
        <w:tc>
          <w:tcPr>
            <w:tcW w:w="1441" w:type="dxa"/>
            <w:noWrap w:val="0"/>
            <w:vAlign w:val="center"/>
          </w:tcPr>
          <w:p w14:paraId="211CAA46">
            <w:pPr>
              <w:shd w:val="clear" w:color="auto" w:fill="auto"/>
              <w:jc w:val="center"/>
              <w:rPr>
                <w:rFonts w:hint="eastAsia" w:ascii="宋体" w:hAnsi="宋体" w:eastAsia="宋体" w:cs="宋体"/>
                <w:color w:val="auto"/>
                <w:sz w:val="24"/>
                <w:highlight w:val="none"/>
              </w:rPr>
            </w:pPr>
          </w:p>
        </w:tc>
        <w:tc>
          <w:tcPr>
            <w:tcW w:w="2700" w:type="dxa"/>
            <w:noWrap w:val="0"/>
            <w:vAlign w:val="top"/>
          </w:tcPr>
          <w:p w14:paraId="46E748E6">
            <w:pPr>
              <w:shd w:val="clear" w:color="auto" w:fill="auto"/>
              <w:jc w:val="center"/>
              <w:rPr>
                <w:rFonts w:hint="eastAsia" w:ascii="宋体" w:hAnsi="宋体" w:eastAsia="宋体" w:cs="宋体"/>
                <w:color w:val="auto"/>
                <w:sz w:val="24"/>
                <w:highlight w:val="none"/>
              </w:rPr>
            </w:pPr>
          </w:p>
        </w:tc>
      </w:tr>
      <w:tr w14:paraId="360D51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4601EBD7">
            <w:pPr>
              <w:shd w:val="clear" w:color="auto" w:fill="auto"/>
              <w:jc w:val="center"/>
              <w:rPr>
                <w:rFonts w:hint="eastAsia" w:ascii="宋体" w:hAnsi="宋体" w:eastAsia="宋体" w:cs="宋体"/>
                <w:color w:val="auto"/>
                <w:sz w:val="24"/>
                <w:highlight w:val="none"/>
              </w:rPr>
            </w:pPr>
          </w:p>
        </w:tc>
        <w:tc>
          <w:tcPr>
            <w:tcW w:w="1980" w:type="dxa"/>
            <w:noWrap w:val="0"/>
            <w:vAlign w:val="center"/>
          </w:tcPr>
          <w:p w14:paraId="3E2A0522">
            <w:pPr>
              <w:shd w:val="clear" w:color="auto" w:fill="auto"/>
              <w:jc w:val="center"/>
              <w:rPr>
                <w:rFonts w:hint="eastAsia" w:ascii="宋体" w:hAnsi="宋体" w:eastAsia="宋体" w:cs="宋体"/>
                <w:color w:val="auto"/>
                <w:sz w:val="24"/>
                <w:highlight w:val="none"/>
              </w:rPr>
            </w:pPr>
          </w:p>
        </w:tc>
        <w:tc>
          <w:tcPr>
            <w:tcW w:w="1800" w:type="dxa"/>
            <w:tcBorders>
              <w:left w:val="single" w:color="auto" w:sz="4" w:space="0"/>
              <w:right w:val="single" w:color="auto" w:sz="4" w:space="0"/>
            </w:tcBorders>
            <w:noWrap w:val="0"/>
            <w:vAlign w:val="center"/>
          </w:tcPr>
          <w:p w14:paraId="3D8E4E95">
            <w:pPr>
              <w:shd w:val="clear" w:color="auto" w:fill="auto"/>
              <w:jc w:val="center"/>
              <w:rPr>
                <w:rFonts w:hint="eastAsia" w:ascii="宋体" w:hAnsi="宋体" w:eastAsia="宋体" w:cs="宋体"/>
                <w:color w:val="auto"/>
                <w:sz w:val="24"/>
                <w:highlight w:val="none"/>
              </w:rPr>
            </w:pPr>
          </w:p>
        </w:tc>
        <w:tc>
          <w:tcPr>
            <w:tcW w:w="1441" w:type="dxa"/>
            <w:noWrap w:val="0"/>
            <w:vAlign w:val="center"/>
          </w:tcPr>
          <w:p w14:paraId="229F1CDF">
            <w:pPr>
              <w:shd w:val="clear" w:color="auto" w:fill="auto"/>
              <w:jc w:val="center"/>
              <w:rPr>
                <w:rFonts w:hint="eastAsia" w:ascii="宋体" w:hAnsi="宋体" w:eastAsia="宋体" w:cs="宋体"/>
                <w:color w:val="auto"/>
                <w:sz w:val="24"/>
                <w:highlight w:val="none"/>
              </w:rPr>
            </w:pPr>
          </w:p>
        </w:tc>
        <w:tc>
          <w:tcPr>
            <w:tcW w:w="2700" w:type="dxa"/>
            <w:noWrap w:val="0"/>
            <w:vAlign w:val="top"/>
          </w:tcPr>
          <w:p w14:paraId="0B13A65A">
            <w:pPr>
              <w:shd w:val="clear" w:color="auto" w:fill="auto"/>
              <w:jc w:val="center"/>
              <w:rPr>
                <w:rFonts w:hint="eastAsia" w:ascii="宋体" w:hAnsi="宋体" w:eastAsia="宋体" w:cs="宋体"/>
                <w:color w:val="auto"/>
                <w:sz w:val="24"/>
                <w:highlight w:val="none"/>
              </w:rPr>
            </w:pPr>
          </w:p>
        </w:tc>
      </w:tr>
      <w:tr w14:paraId="1D77A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701BB4AE">
            <w:pPr>
              <w:shd w:val="clear" w:color="auto" w:fill="auto"/>
              <w:jc w:val="center"/>
              <w:rPr>
                <w:rFonts w:hint="eastAsia" w:ascii="宋体" w:hAnsi="宋体" w:eastAsia="宋体" w:cs="宋体"/>
                <w:color w:val="auto"/>
                <w:sz w:val="24"/>
                <w:highlight w:val="none"/>
              </w:rPr>
            </w:pPr>
          </w:p>
        </w:tc>
        <w:tc>
          <w:tcPr>
            <w:tcW w:w="1980" w:type="dxa"/>
            <w:noWrap w:val="0"/>
            <w:vAlign w:val="center"/>
          </w:tcPr>
          <w:p w14:paraId="4954B68F">
            <w:pPr>
              <w:shd w:val="clear" w:color="auto" w:fill="auto"/>
              <w:jc w:val="center"/>
              <w:rPr>
                <w:rFonts w:hint="eastAsia" w:ascii="宋体" w:hAnsi="宋体" w:eastAsia="宋体" w:cs="宋体"/>
                <w:color w:val="auto"/>
                <w:sz w:val="24"/>
                <w:highlight w:val="none"/>
              </w:rPr>
            </w:pPr>
          </w:p>
        </w:tc>
        <w:tc>
          <w:tcPr>
            <w:tcW w:w="1800" w:type="dxa"/>
            <w:tcBorders>
              <w:left w:val="single" w:color="auto" w:sz="4" w:space="0"/>
              <w:right w:val="single" w:color="auto" w:sz="4" w:space="0"/>
            </w:tcBorders>
            <w:noWrap w:val="0"/>
            <w:vAlign w:val="center"/>
          </w:tcPr>
          <w:p w14:paraId="4D3DDFF5">
            <w:pPr>
              <w:shd w:val="clear" w:color="auto" w:fill="auto"/>
              <w:jc w:val="center"/>
              <w:rPr>
                <w:rFonts w:hint="eastAsia" w:ascii="宋体" w:hAnsi="宋体" w:eastAsia="宋体" w:cs="宋体"/>
                <w:color w:val="auto"/>
                <w:sz w:val="24"/>
                <w:highlight w:val="none"/>
              </w:rPr>
            </w:pPr>
          </w:p>
        </w:tc>
        <w:tc>
          <w:tcPr>
            <w:tcW w:w="1441" w:type="dxa"/>
            <w:noWrap w:val="0"/>
            <w:vAlign w:val="center"/>
          </w:tcPr>
          <w:p w14:paraId="022F6D4E">
            <w:pPr>
              <w:shd w:val="clear" w:color="auto" w:fill="auto"/>
              <w:jc w:val="center"/>
              <w:rPr>
                <w:rFonts w:hint="eastAsia" w:ascii="宋体" w:hAnsi="宋体" w:eastAsia="宋体" w:cs="宋体"/>
                <w:color w:val="auto"/>
                <w:sz w:val="24"/>
                <w:highlight w:val="none"/>
              </w:rPr>
            </w:pPr>
          </w:p>
        </w:tc>
        <w:tc>
          <w:tcPr>
            <w:tcW w:w="2700" w:type="dxa"/>
            <w:noWrap w:val="0"/>
            <w:vAlign w:val="top"/>
          </w:tcPr>
          <w:p w14:paraId="14560614">
            <w:pPr>
              <w:shd w:val="clear" w:color="auto" w:fill="auto"/>
              <w:jc w:val="center"/>
              <w:rPr>
                <w:rFonts w:hint="eastAsia" w:ascii="宋体" w:hAnsi="宋体" w:eastAsia="宋体" w:cs="宋体"/>
                <w:color w:val="auto"/>
                <w:sz w:val="24"/>
                <w:highlight w:val="none"/>
              </w:rPr>
            </w:pPr>
          </w:p>
        </w:tc>
      </w:tr>
      <w:tr w14:paraId="5B1BF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0453679D">
            <w:pPr>
              <w:shd w:val="clear" w:color="auto" w:fill="auto"/>
              <w:jc w:val="center"/>
              <w:rPr>
                <w:rFonts w:hint="eastAsia" w:ascii="宋体" w:hAnsi="宋体" w:eastAsia="宋体" w:cs="宋体"/>
                <w:color w:val="auto"/>
                <w:sz w:val="24"/>
                <w:highlight w:val="none"/>
              </w:rPr>
            </w:pPr>
          </w:p>
        </w:tc>
        <w:tc>
          <w:tcPr>
            <w:tcW w:w="1980" w:type="dxa"/>
            <w:noWrap w:val="0"/>
            <w:vAlign w:val="center"/>
          </w:tcPr>
          <w:p w14:paraId="0C682411">
            <w:pPr>
              <w:shd w:val="clear" w:color="auto" w:fill="auto"/>
              <w:jc w:val="center"/>
              <w:rPr>
                <w:rFonts w:hint="eastAsia" w:ascii="宋体" w:hAnsi="宋体" w:eastAsia="宋体" w:cs="宋体"/>
                <w:color w:val="auto"/>
                <w:sz w:val="24"/>
                <w:highlight w:val="none"/>
              </w:rPr>
            </w:pPr>
          </w:p>
        </w:tc>
        <w:tc>
          <w:tcPr>
            <w:tcW w:w="1800" w:type="dxa"/>
            <w:tcBorders>
              <w:left w:val="single" w:color="auto" w:sz="4" w:space="0"/>
              <w:right w:val="single" w:color="auto" w:sz="4" w:space="0"/>
            </w:tcBorders>
            <w:noWrap w:val="0"/>
            <w:vAlign w:val="center"/>
          </w:tcPr>
          <w:p w14:paraId="242AABD2">
            <w:pPr>
              <w:shd w:val="clear" w:color="auto" w:fill="auto"/>
              <w:jc w:val="center"/>
              <w:rPr>
                <w:rFonts w:hint="eastAsia" w:ascii="宋体" w:hAnsi="宋体" w:eastAsia="宋体" w:cs="宋体"/>
                <w:color w:val="auto"/>
                <w:sz w:val="24"/>
                <w:highlight w:val="none"/>
              </w:rPr>
            </w:pPr>
          </w:p>
        </w:tc>
        <w:tc>
          <w:tcPr>
            <w:tcW w:w="1441" w:type="dxa"/>
            <w:noWrap w:val="0"/>
            <w:vAlign w:val="center"/>
          </w:tcPr>
          <w:p w14:paraId="740FB308">
            <w:pPr>
              <w:shd w:val="clear" w:color="auto" w:fill="auto"/>
              <w:jc w:val="center"/>
              <w:rPr>
                <w:rFonts w:hint="eastAsia" w:ascii="宋体" w:hAnsi="宋体" w:eastAsia="宋体" w:cs="宋体"/>
                <w:color w:val="auto"/>
                <w:sz w:val="24"/>
                <w:highlight w:val="none"/>
              </w:rPr>
            </w:pPr>
          </w:p>
        </w:tc>
        <w:tc>
          <w:tcPr>
            <w:tcW w:w="2700" w:type="dxa"/>
            <w:noWrap w:val="0"/>
            <w:vAlign w:val="top"/>
          </w:tcPr>
          <w:p w14:paraId="25CD05F0">
            <w:pPr>
              <w:shd w:val="clear" w:color="auto" w:fill="auto"/>
              <w:jc w:val="center"/>
              <w:rPr>
                <w:rFonts w:hint="eastAsia" w:ascii="宋体" w:hAnsi="宋体" w:eastAsia="宋体" w:cs="宋体"/>
                <w:color w:val="auto"/>
                <w:sz w:val="24"/>
                <w:highlight w:val="none"/>
              </w:rPr>
            </w:pPr>
          </w:p>
        </w:tc>
      </w:tr>
    </w:tbl>
    <w:p w14:paraId="40A90FCE">
      <w:pPr>
        <w:shd w:val="clear" w:color="auto" w:fill="auto"/>
        <w:snapToGrid w:val="0"/>
        <w:ind w:left="349" w:hanging="348" w:hangingChars="166"/>
        <w:rPr>
          <w:rFonts w:hint="eastAsia" w:ascii="宋体" w:hAnsi="宋体" w:eastAsia="宋体" w:cs="宋体"/>
          <w:color w:val="auto"/>
          <w:highlight w:val="none"/>
        </w:rPr>
      </w:pPr>
    </w:p>
    <w:p w14:paraId="2601C7C4">
      <w:pPr>
        <w:shd w:val="clear" w:color="auto" w:fill="auto"/>
        <w:snapToGrid w:val="0"/>
        <w:ind w:left="349" w:hanging="348" w:hangingChars="166"/>
        <w:rPr>
          <w:rFonts w:hint="eastAsia" w:ascii="宋体" w:hAnsi="宋体" w:eastAsia="宋体" w:cs="宋体"/>
          <w:color w:val="auto"/>
          <w:highlight w:val="none"/>
        </w:rPr>
      </w:pPr>
      <w:r>
        <w:rPr>
          <w:rFonts w:hint="eastAsia" w:ascii="宋体" w:hAnsi="宋体" w:eastAsia="宋体" w:cs="宋体"/>
          <w:color w:val="auto"/>
          <w:highlight w:val="none"/>
        </w:rPr>
        <w:t>注：1. 投标人应如实列出以上情况，如有隐瞒，一经查实将导致其投标申请被拒绝。</w:t>
      </w:r>
    </w:p>
    <w:p w14:paraId="086AF5A3">
      <w:pPr>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2、提供双方签订的合同复印件加盖公章，无相关证明的项目在评审时将不予确认。</w:t>
      </w:r>
    </w:p>
    <w:p w14:paraId="739D3E60">
      <w:pPr>
        <w:shd w:val="clear" w:color="auto" w:fill="auto"/>
        <w:rPr>
          <w:rFonts w:hint="eastAsia" w:ascii="宋体" w:hAnsi="宋体" w:eastAsia="宋体" w:cs="宋体"/>
          <w:color w:val="auto"/>
          <w:highlight w:val="none"/>
        </w:rPr>
      </w:pPr>
    </w:p>
    <w:p w14:paraId="761DBA5E">
      <w:pPr>
        <w:pStyle w:val="8"/>
        <w:shd w:val="clear" w:color="auto" w:fill="auto"/>
        <w:rPr>
          <w:rFonts w:hint="eastAsia" w:eastAsia="宋体" w:cs="宋体"/>
          <w:color w:val="auto"/>
          <w:highlight w:val="none"/>
        </w:rPr>
      </w:pPr>
    </w:p>
    <w:p w14:paraId="2C7BE1C4">
      <w:pPr>
        <w:shd w:val="clear" w:color="auto" w:fill="auto"/>
        <w:spacing w:line="360" w:lineRule="auto"/>
        <w:ind w:firstLine="1920" w:firstLineChars="8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投标人（盖公章）：</w:t>
      </w:r>
      <w:r>
        <w:rPr>
          <w:rFonts w:hint="eastAsia" w:ascii="宋体" w:hAnsi="宋体" w:eastAsia="宋体" w:cs="宋体"/>
          <w:color w:val="auto"/>
          <w:sz w:val="24"/>
          <w:highlight w:val="none"/>
          <w:u w:val="single"/>
        </w:rPr>
        <w:t xml:space="preserve">                             </w:t>
      </w:r>
    </w:p>
    <w:p w14:paraId="65EF306D">
      <w:pPr>
        <w:shd w:val="clear" w:color="auto" w:fill="auto"/>
        <w:spacing w:line="360" w:lineRule="auto"/>
        <w:ind w:firstLine="1920" w:firstLineChars="8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法定代表人或授权代表（签字或盖章）：</w:t>
      </w:r>
      <w:r>
        <w:rPr>
          <w:rFonts w:hint="eastAsia" w:ascii="宋体" w:hAnsi="宋体" w:eastAsia="宋体" w:cs="宋体"/>
          <w:color w:val="auto"/>
          <w:sz w:val="24"/>
          <w:highlight w:val="none"/>
          <w:u w:val="single"/>
        </w:rPr>
        <w:t xml:space="preserve">           </w:t>
      </w:r>
    </w:p>
    <w:p w14:paraId="2A52380B">
      <w:pPr>
        <w:pStyle w:val="9"/>
        <w:shd w:val="clear" w:color="auto" w:fill="auto"/>
        <w:tabs>
          <w:tab w:val="left" w:pos="5580"/>
        </w:tabs>
        <w:spacing w:line="360" w:lineRule="auto"/>
        <w:ind w:firstLine="1920" w:firstLineChars="800"/>
        <w:rPr>
          <w:rFonts w:hint="eastAsia" w:ascii="宋体" w:hAnsi="宋体" w:eastAsia="宋体" w:cs="宋体"/>
          <w:color w:val="auto"/>
          <w:sz w:val="24"/>
          <w:highlight w:val="none"/>
        </w:rPr>
      </w:pPr>
      <w:r>
        <w:rPr>
          <w:rFonts w:hint="eastAsia" w:hAnsi="宋体" w:eastAsia="宋体" w:cs="宋体"/>
          <w:color w:val="auto"/>
          <w:sz w:val="24"/>
          <w:highlight w:val="none"/>
        </w:rPr>
        <w:t>日    期：</w:t>
      </w:r>
      <w:r>
        <w:rPr>
          <w:rFonts w:hint="eastAsia" w:hAnsi="宋体" w:eastAsia="宋体" w:cs="宋体"/>
          <w:color w:val="auto"/>
          <w:sz w:val="32"/>
          <w:highlight w:val="none"/>
          <w:u w:val="single"/>
        </w:rPr>
        <w:t xml:space="preserve">                            </w:t>
      </w:r>
    </w:p>
    <w:p w14:paraId="55997CAB">
      <w:pPr>
        <w:shd w:val="clear" w:color="auto" w:fill="auto"/>
        <w:rPr>
          <w:rFonts w:hint="eastAsia" w:ascii="宋体" w:hAnsi="宋体" w:eastAsia="宋体" w:cs="宋体"/>
          <w:color w:val="auto"/>
          <w:highlight w:val="none"/>
        </w:rPr>
      </w:pPr>
    </w:p>
    <w:p w14:paraId="2BFAF4E2">
      <w:pPr>
        <w:pStyle w:val="4"/>
        <w:rPr>
          <w:rFonts w:hint="eastAsia" w:ascii="宋体" w:hAnsi="宋体" w:eastAsia="宋体" w:cs="宋体"/>
          <w:color w:val="auto"/>
          <w:sz w:val="32"/>
          <w:szCs w:val="32"/>
          <w:highlight w:val="none"/>
        </w:rPr>
      </w:pPr>
    </w:p>
    <w:p w14:paraId="47DE1BB4">
      <w:pPr>
        <w:pStyle w:val="5"/>
        <w:shd w:val="clear" w:color="auto" w:fill="auto"/>
        <w:ind w:firstLine="2249" w:firstLineChars="700"/>
        <w:jc w:val="both"/>
        <w:rPr>
          <w:rFonts w:hint="eastAsia" w:ascii="宋体" w:hAnsi="宋体" w:eastAsia="宋体" w:cs="宋体"/>
          <w:color w:val="auto"/>
          <w:sz w:val="32"/>
          <w:szCs w:val="32"/>
          <w:highlight w:val="none"/>
          <w:lang w:val="en-US" w:eastAsia="zh-CN"/>
        </w:rPr>
      </w:pPr>
    </w:p>
    <w:p w14:paraId="2C6C1075">
      <w:pPr>
        <w:pStyle w:val="5"/>
        <w:shd w:val="clear" w:color="auto" w:fill="auto"/>
        <w:ind w:firstLine="2249" w:firstLineChars="700"/>
        <w:jc w:val="both"/>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第七部分  其他证明</w:t>
      </w:r>
      <w:bookmarkStart w:id="400" w:name="_GoBack"/>
      <w:bookmarkEnd w:id="400"/>
      <w:r>
        <w:rPr>
          <w:rFonts w:hint="eastAsia" w:ascii="宋体" w:hAnsi="宋体" w:eastAsia="宋体" w:cs="宋体"/>
          <w:color w:val="auto"/>
          <w:sz w:val="32"/>
          <w:szCs w:val="32"/>
          <w:highlight w:val="none"/>
          <w:lang w:val="en-US" w:eastAsia="zh-CN"/>
        </w:rPr>
        <w:t>资料</w:t>
      </w:r>
    </w:p>
    <w:p w14:paraId="648213F6"/>
    <w:sectPr>
      <w:footerReference r:id="rId8" w:type="default"/>
      <w:pgSz w:w="11907" w:h="16840"/>
      <w:pgMar w:top="1474" w:right="1814" w:bottom="1474" w:left="1814" w:header="851" w:footer="851" w:gutter="0"/>
      <w:pgBorders>
        <w:top w:val="none" w:sz="0" w:space="0"/>
        <w:left w:val="none" w:sz="0" w:space="0"/>
        <w:bottom w:val="none" w:sz="0" w:space="0"/>
        <w:right w:val="none" w:sz="0" w:space="0"/>
      </w:pgBorders>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69532">
    <w:pPr>
      <w:pStyle w:val="10"/>
      <w:jc w:val="center"/>
    </w:pPr>
  </w:p>
  <w:p w14:paraId="1899C195">
    <w:pPr>
      <w:pStyle w:val="10"/>
      <w:ind w:right="360"/>
      <w:jc w:val="righ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9B464">
    <w:pPr>
      <w:pStyle w:val="10"/>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CEB5C">
    <w:pPr>
      <w:pStyle w:val="10"/>
      <w:jc w:val="center"/>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C98CE1">
                          <w:pPr>
                            <w:pStyle w:val="10"/>
                          </w:pPr>
                          <w:r>
                            <w:fldChar w:fldCharType="begin"/>
                          </w:r>
                          <w:r>
                            <w:instrText xml:space="preserve"> PAGE  \* MERGEFORMAT </w:instrText>
                          </w:r>
                          <w:r>
                            <w:fldChar w:fldCharType="separate"/>
                          </w:r>
                          <w:r>
                            <w:t>26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10C98CE1">
                    <w:pPr>
                      <w:pStyle w:val="10"/>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59F78">
    <w:pPr>
      <w:spacing w:before="63" w:line="224" w:lineRule="auto"/>
      <w:ind w:left="4410" w:right="65" w:hanging="4371"/>
      <w:rPr>
        <w:rFonts w:ascii="宋体" w:hAnsi="宋体" w:eastAsia="宋体" w:cs="宋体"/>
        <w:sz w:val="18"/>
        <w:szCs w:val="18"/>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C41331">
                          <w:pPr>
                            <w:pStyle w:val="10"/>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14:paraId="13C41331">
                    <w:pPr>
                      <w:pStyle w:val="10"/>
                    </w:pPr>
                    <w:r>
                      <w:fldChar w:fldCharType="begin"/>
                    </w:r>
                    <w:r>
                      <w:instrText xml:space="preserve"> PAGE  \* MERGEFORMAT </w:instrText>
                    </w:r>
                    <w:r>
                      <w:fldChar w:fldCharType="separate"/>
                    </w:r>
                    <w:r>
                      <w:t>29</w:t>
                    </w:r>
                    <w:r>
                      <w:fldChar w:fldCharType="end"/>
                    </w:r>
                  </w:p>
                </w:txbxContent>
              </v:textbox>
            </v:shape>
          </w:pict>
        </mc:Fallback>
      </mc:AlternateContent>
    </w:r>
    <w:r>
      <mc:AlternateContent>
        <mc:Choice Requires="wps">
          <w:drawing>
            <wp:anchor distT="0" distB="0" distL="114300" distR="114300" simplePos="0" relativeHeight="251662336" behindDoc="0" locked="0" layoutInCell="0" allowOverlap="1">
              <wp:simplePos x="0" y="0"/>
              <wp:positionH relativeFrom="page">
                <wp:posOffset>675005</wp:posOffset>
              </wp:positionH>
              <wp:positionV relativeFrom="page">
                <wp:posOffset>9668510</wp:posOffset>
              </wp:positionV>
              <wp:extent cx="6230620" cy="5080"/>
              <wp:effectExtent l="0" t="0" r="0" b="0"/>
              <wp:wrapNone/>
              <wp:docPr id="8" name="任意多边形 8"/>
              <wp:cNvGraphicFramePr/>
              <a:graphic xmlns:a="http://schemas.openxmlformats.org/drawingml/2006/main">
                <a:graphicData uri="http://schemas.microsoft.com/office/word/2010/wordprocessingShape">
                  <wps:wsp>
                    <wps:cNvSpPr/>
                    <wps:spPr>
                      <a:xfrm>
                        <a:off x="0" y="0"/>
                        <a:ext cx="6230620" cy="5080"/>
                      </a:xfrm>
                      <a:custGeom>
                        <a:avLst/>
                        <a:gdLst/>
                        <a:ahLst/>
                        <a:cxnLst/>
                        <a:pathLst>
                          <a:path w="9812" h="8">
                            <a:moveTo>
                              <a:pt x="0" y="3"/>
                            </a:moveTo>
                            <a:lnTo>
                              <a:pt x="9811" y="3"/>
                            </a:lnTo>
                          </a:path>
                        </a:pathLst>
                      </a:custGeom>
                      <a:noFill/>
                      <a:ln w="4572"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53.15pt;margin-top:761.3pt;height:0.4pt;width:490.6pt;mso-position-horizontal-relative:page;mso-position-vertical-relative:page;z-index:251662336;mso-width-relative:page;mso-height-relative:page;" filled="f" stroked="t" coordsize="9812,8" o:allowincell="f" o:gfxdata="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3wTuM9oAAAAOAQAADwAAAAAAAAABACAAAAAiAAAAZHJz&#10;L2Rvd25yZXYueG1sUEsBAhQAFAAAAAgAh07iQCHdyiM7AgAAlQQAAA4AAAAAAAAAAQAgAAAAKQEA&#10;AGRycy9lMm9Eb2MueG1sUEsFBgAAAAAGAAYAWQEAANYFAAAAAA==&#10;" path="m0,3l9811,3e">
              <v:fill on="f" focussize="0,0"/>
              <v:stroke weight="0.36pt" color="#000000" joinstyle="bevel"/>
              <v:imagedata o:title=""/>
              <o:lock v:ext="edit" aspectratio="f"/>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F1FFE">
    <w:pPr>
      <w:pStyle w:val="10"/>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D4610C">
                          <w:pPr>
                            <w:pStyle w:val="10"/>
                          </w:pPr>
                          <w:r>
                            <w:fldChar w:fldCharType="begin"/>
                          </w:r>
                          <w:r>
                            <w:instrText xml:space="preserve"> PAGE  \* MERGEFORMAT </w:instrText>
                          </w:r>
                          <w:r>
                            <w:fldChar w:fldCharType="separate"/>
                          </w:r>
                          <w:r>
                            <w:t>28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xjdksg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VhS4rjFiV9+/rj8+nP5/Z2g&#10;DwXqA9SYdx8wMw3v/IDJsx/QmXkPKtr8RUYE4yjv+SqvHBIR+dF6tV5XGBIYmy+Izx6ehwjpvfSW&#10;ZKOhEedXZOWnj5DG1DklV3P+ThtTZmjcPw7EzB6Wex97zFYa9sNEaO/bM/LpcfQNdbjplJgPDpXN&#10;WzIbcTb2s3EMUR+6ska5HoTbY8ImSm+5wgg7FcaZFXbTfuWleHwvWQ//1P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cY3ZLIAQAAmwMAAA4AAAAAAAAAAQAgAAAAHgEAAGRycy9lMm9Eb2Mu&#10;eG1sUEsFBgAAAAAGAAYAWQEAAFgFAAAAAA==&#10;">
              <v:fill on="f" focussize="0,0"/>
              <v:stroke on="f"/>
              <v:imagedata o:title=""/>
              <o:lock v:ext="edit" aspectratio="f"/>
              <v:textbox inset="0mm,0mm,0mm,0mm" style="mso-fit-shape-to-text:t;">
                <w:txbxContent>
                  <w:p w14:paraId="52D4610C">
                    <w:pPr>
                      <w:pStyle w:val="10"/>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5BEA9">
    <w:pPr>
      <w:pStyle w:val="1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8BF9FD">
                          <w:pPr>
                            <w:pStyle w:val="10"/>
                          </w:pPr>
                          <w:r>
                            <w:fldChar w:fldCharType="begin"/>
                          </w:r>
                          <w:r>
                            <w:instrText xml:space="preserve"> PAGE  \* MERGEFORMAT </w:instrText>
                          </w:r>
                          <w:r>
                            <w:fldChar w:fldCharType="separate"/>
                          </w:r>
                          <w:r>
                            <w:t>67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rrjO8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lLShy3OPHzj+/nn7/Pv74R&#10;9KFAfYAa8x4DZqbhxg+YPPsBnZn3oKLNX2REMI7yni7yyiERkR+tlqtVhSGBsfmC+OzpeYiQ7qS3&#10;JBsNjTi/Iis/3kMaU+eUXM35W21MmaFxfzkQM3tY7n3sMVtp2A0ToZ1vT8inx9E31OGmU2I+OlQ2&#10;b8lsxNnYzcYhRL3vyhrlehA+HBI2UXrLFUbYqTDOrLCb9isvxfN7yXr6pzZ/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uuuM7yQEAAJsDAAAOAAAAAAAAAAEAIAAAAB4BAABkcnMvZTJvRG9j&#10;LnhtbFBLBQYAAAAABgAGAFkBAABZBQAAAAA=&#10;">
              <v:fill on="f" focussize="0,0"/>
              <v:stroke on="f"/>
              <v:imagedata o:title=""/>
              <o:lock v:ext="edit" aspectratio="f"/>
              <v:textbox inset="0mm,0mm,0mm,0mm" style="mso-fit-shape-to-text:t;">
                <w:txbxContent>
                  <w:p w14:paraId="258BF9FD">
                    <w:pPr>
                      <w:pStyle w:val="10"/>
                    </w:pPr>
                    <w:r>
                      <w:fldChar w:fldCharType="begin"/>
                    </w:r>
                    <w:r>
                      <w:instrText xml:space="preserve"> PAGE  \* MERGEFORMAT </w:instrText>
                    </w:r>
                    <w:r>
                      <w:fldChar w:fldCharType="separate"/>
                    </w:r>
                    <w:r>
                      <w:t>67</w:t>
                    </w:r>
                    <w:r>
                      <w:fldChar w:fldCharType="end"/>
                    </w:r>
                  </w:p>
                </w:txbxContent>
              </v:textbox>
            </v:shape>
          </w:pict>
        </mc:Fallback>
      </mc:AlternateContent>
    </w:r>
  </w:p>
  <w:p w14:paraId="0A789ABF">
    <w:pPr>
      <w:pStyle w:val="10"/>
      <w:ind w:right="360"/>
      <w:jc w:val="right"/>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28B5C5"/>
    <w:multiLevelType w:val="singleLevel"/>
    <w:tmpl w:val="6C28B5C5"/>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1E4834"/>
    <w:rsid w:val="07C05BA3"/>
    <w:rsid w:val="0CA065CC"/>
    <w:rsid w:val="11AE2F10"/>
    <w:rsid w:val="121B1FCB"/>
    <w:rsid w:val="14AE20AD"/>
    <w:rsid w:val="17B2302E"/>
    <w:rsid w:val="19A64294"/>
    <w:rsid w:val="1A6A7BF0"/>
    <w:rsid w:val="1A89451A"/>
    <w:rsid w:val="1ECE699F"/>
    <w:rsid w:val="23256DAA"/>
    <w:rsid w:val="289D011F"/>
    <w:rsid w:val="31F75DB5"/>
    <w:rsid w:val="3A8F302F"/>
    <w:rsid w:val="3C942B7F"/>
    <w:rsid w:val="3E2E2B5F"/>
    <w:rsid w:val="438F1CCE"/>
    <w:rsid w:val="4FBF7ABB"/>
    <w:rsid w:val="52862B12"/>
    <w:rsid w:val="52B129B7"/>
    <w:rsid w:val="535B5D4C"/>
    <w:rsid w:val="5B914A01"/>
    <w:rsid w:val="5FE44556"/>
    <w:rsid w:val="63CF67CD"/>
    <w:rsid w:val="650F4BE9"/>
    <w:rsid w:val="6D616204"/>
    <w:rsid w:val="6EA463A2"/>
    <w:rsid w:val="735859AD"/>
    <w:rsid w:val="769F1FAA"/>
    <w:rsid w:val="76DC767E"/>
    <w:rsid w:val="776B3F01"/>
    <w:rsid w:val="78EE6B97"/>
    <w:rsid w:val="7EB873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qFormat/>
    <w:uiPriority w:val="0"/>
    <w:pPr>
      <w:keepNext/>
      <w:keepLines/>
      <w:autoSpaceDE w:val="0"/>
      <w:autoSpaceDN w:val="0"/>
      <w:adjustRightInd w:val="0"/>
      <w:spacing w:line="360" w:lineRule="auto"/>
      <w:ind w:firstLine="3453" w:firstLineChars="1150"/>
      <w:jc w:val="left"/>
      <w:outlineLvl w:val="2"/>
    </w:pPr>
    <w:rPr>
      <w:rFonts w:ascii="宋体" w:hAnsi="宋体"/>
      <w:b/>
      <w:kern w:val="0"/>
      <w:sz w:val="30"/>
      <w:szCs w:val="30"/>
      <w:shd w:val="clear" w:color="auto" w:fill="FFFFFF"/>
    </w:rPr>
  </w:style>
  <w:style w:type="paragraph" w:styleId="6">
    <w:name w:val="heading 4"/>
    <w:basedOn w:val="1"/>
    <w:next w:val="1"/>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8">
    <w:name w:val="Body Text"/>
    <w:basedOn w:val="1"/>
    <w:next w:val="1"/>
    <w:qFormat/>
    <w:uiPriority w:val="0"/>
    <w:pPr>
      <w:tabs>
        <w:tab w:val="left" w:pos="567"/>
      </w:tabs>
      <w:spacing w:before="120" w:line="22" w:lineRule="atLeast"/>
    </w:pPr>
    <w:rPr>
      <w:rFonts w:ascii="宋体" w:hAnsi="宋体"/>
      <w:sz w:val="24"/>
    </w:rPr>
  </w:style>
  <w:style w:type="paragraph" w:styleId="9">
    <w:name w:val="Plain Text"/>
    <w:basedOn w:val="1"/>
    <w:qFormat/>
    <w:uiPriority w:val="0"/>
    <w:rPr>
      <w:rFonts w:ascii="宋体" w:hAnsi="Courier New"/>
      <w:szCs w:val="20"/>
    </w:rPr>
  </w:style>
  <w:style w:type="paragraph" w:styleId="10">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1">
    <w:name w:val="toc 1"/>
    <w:basedOn w:val="1"/>
    <w:next w:val="1"/>
    <w:qFormat/>
    <w:uiPriority w:val="39"/>
  </w:style>
  <w:style w:type="paragraph" w:styleId="12">
    <w:name w:val="toc 2"/>
    <w:basedOn w:val="1"/>
    <w:next w:val="1"/>
    <w:qFormat/>
    <w:uiPriority w:val="39"/>
    <w:pPr>
      <w:ind w:left="420" w:leftChars="200"/>
    </w:pPr>
  </w:style>
  <w:style w:type="paragraph" w:styleId="13">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4">
    <w:name w:val="Title"/>
    <w:basedOn w:val="1"/>
    <w:next w:val="1"/>
    <w:qFormat/>
    <w:uiPriority w:val="0"/>
    <w:pPr>
      <w:spacing w:before="240" w:after="60"/>
      <w:jc w:val="center"/>
      <w:outlineLvl w:val="0"/>
    </w:pPr>
    <w:rPr>
      <w:rFonts w:ascii="Cambria" w:hAnsi="Cambria"/>
      <w:b/>
      <w:bCs/>
      <w:sz w:val="32"/>
      <w:szCs w:val="32"/>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rPr>
      <w:b/>
      <w:bCs/>
    </w:rPr>
  </w:style>
  <w:style w:type="character" w:styleId="19">
    <w:name w:val="Hyperlink"/>
    <w:qFormat/>
    <w:uiPriority w:val="99"/>
    <w:rPr>
      <w:color w:val="000000"/>
      <w:u w:val="none"/>
    </w:rPr>
  </w:style>
  <w:style w:type="paragraph" w:customStyle="1" w:styleId="20">
    <w:name w:val="Table Text"/>
    <w:basedOn w:val="1"/>
    <w:semiHidden/>
    <w:qFormat/>
    <w:uiPriority w:val="0"/>
    <w:rPr>
      <w:rFonts w:ascii="宋体" w:hAnsi="宋体" w:eastAsia="宋体" w:cs="宋体"/>
      <w:sz w:val="24"/>
      <w:szCs w:val="24"/>
      <w:lang w:val="en-US" w:eastAsia="en-US" w:bidi="ar-SA"/>
    </w:rPr>
  </w:style>
  <w:style w:type="table" w:customStyle="1" w:styleId="21">
    <w:name w:val="Table Normal"/>
    <w:unhideWhenUsed/>
    <w:qFormat/>
    <w:uiPriority w:val="0"/>
    <w:tblPr>
      <w:tblCellMar>
        <w:top w:w="0" w:type="dxa"/>
        <w:left w:w="0" w:type="dxa"/>
        <w:bottom w:w="0" w:type="dxa"/>
        <w:right w:w="0" w:type="dxa"/>
      </w:tblCellMar>
    </w:tblPr>
  </w:style>
  <w:style w:type="character" w:customStyle="1" w:styleId="22">
    <w:name w:val="标题 1 字符"/>
    <w:link w:val="2"/>
    <w:qFormat/>
    <w:uiPriority w:val="0"/>
    <w:rPr>
      <w:rFonts w:ascii="宋体"/>
      <w:b/>
      <w:kern w:val="44"/>
      <w:sz w:val="32"/>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27397</Words>
  <Characters>31478</Characters>
  <Lines>0</Lines>
  <Paragraphs>0</Paragraphs>
  <TotalTime>8</TotalTime>
  <ScaleCrop>false</ScaleCrop>
  <LinksUpToDate>false</LinksUpToDate>
  <CharactersWithSpaces>33684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2026-07-14T07:00:00Z</dcterms:created>
  <dc:creator>lenovo</dc:creator>
  <cp:lastModifiedBy>小刘学生</cp:lastModifiedBy>
  <cp:lastPrinted>2026-07-14T08:05:00Z</cp:lastPrinted>
  <dcterms:modified xsi:type="dcterms:W3CDTF">2026-07-15T02:09:12Z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eyJoZGlkIjoiYWE1NWFlNmYwOTRhYTAwZjMwY2YzYTRiMGVmYTBkOGUiLCJ1c2VySWQiOiIxNDU3MjExNTgifQ==</vt:lpwstr>
  </property>
  <property fmtid="{D5CDD505-2E9C-101B-9397-08002B2CF9AE}" pid="4" name="ICV">
    <vt:lpwstr>A036F4730DF14FED90461DAC7B82B296_12</vt:lpwstr>
  </property>
</Properties>
</file>