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53305">
      <w:pPr>
        <w:spacing w:line="500" w:lineRule="exact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商务及合同主要条款</w:t>
      </w:r>
    </w:p>
    <w:p w14:paraId="28CAC0FB">
      <w:pPr>
        <w:pStyle w:val="2"/>
        <w:numPr>
          <w:numId w:val="0"/>
        </w:numPr>
        <w:ind w:leftChars="0"/>
        <w:jc w:val="center"/>
      </w:pPr>
      <w:bookmarkStart w:id="0" w:name="_GoBack"/>
      <w:r>
        <w:rPr>
          <w:rFonts w:hint="eastAsia" w:ascii="宋体" w:hAnsi="宋体" w:eastAsia="仿宋_GB2312" w:cs="Times New Roman"/>
          <w:b/>
          <w:bCs/>
          <w:kern w:val="0"/>
          <w:sz w:val="24"/>
          <w:szCs w:val="24"/>
          <w:lang w:val="en-US" w:eastAsia="en-US" w:bidi="en-US"/>
        </w:rPr>
        <w:t>（参考，最终以双方签订的正式合同为准）</w:t>
      </w:r>
      <w:bookmarkEnd w:id="0"/>
    </w:p>
    <w:p w14:paraId="29AE349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一、合同内容及金额：即中标人的投标内容及其中标总金额，合同总价一次包死，不受市场价变化的影响。</w:t>
      </w:r>
    </w:p>
    <w:p w14:paraId="4AE3E02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二、产品技术规格、数量：即交付的产品技术规格、型号、数量与投标文件所指明的，或者与本合同所指明的产品技术规格及型号相一致。</w:t>
      </w:r>
    </w:p>
    <w:p w14:paraId="16B0E1E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三、知识产权：即中标人应保证采购人在使用中标货物时，不承担任何涉及知识产权法律诉讼的责任。</w:t>
      </w:r>
    </w:p>
    <w:p w14:paraId="28FBF0D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四、交货期：文件规定时间                                 </w:t>
      </w:r>
    </w:p>
    <w:p w14:paraId="7A172C2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中标人未征得采购人同意和谅解而单方面延迟交货，将按违约终止合同。</w:t>
      </w:r>
    </w:p>
    <w:p w14:paraId="271C17C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标人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4B882C6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五、交货地点：采购人指定地点。</w:t>
      </w:r>
    </w:p>
    <w:p w14:paraId="475C7361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lightGray"/>
        </w:rPr>
      </w:pPr>
      <w:r>
        <w:rPr>
          <w:rFonts w:hint="eastAsia" w:ascii="宋体" w:hAnsi="宋体" w:cs="宋体"/>
          <w:sz w:val="24"/>
        </w:rPr>
        <w:t>六、</w:t>
      </w:r>
      <w:r>
        <w:rPr>
          <w:rFonts w:hint="eastAsia" w:ascii="宋体" w:hAnsi="宋体" w:cs="宋体"/>
          <w:color w:val="auto"/>
          <w:sz w:val="24"/>
        </w:rPr>
        <w:t>结算方式：乙方完成全部货物的供货、安装、调试、试运行合格后告知甲方，甲方在15天内组织验收，验收合格后乙方向甲方开具全额完税销售发票；甲方在收到发票后，达到付款条件起 15 个工作日内，支付合同总金额的 100.00%。</w:t>
      </w:r>
    </w:p>
    <w:p w14:paraId="4C2D9C2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七、包装：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 w14:paraId="4EA125B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八、运输：中标人可根据交货期、运输条件自行选择运输方式（另有规定的除外），承担一切运输费用。</w:t>
      </w:r>
    </w:p>
    <w:p w14:paraId="75DD773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九、技术保障：中标人应随同货物提供相应的中文技术文件（包括产品合格证、装箱清单、检测报告等资料）。</w:t>
      </w:r>
    </w:p>
    <w:p w14:paraId="1AEB4529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十、质量保证</w:t>
      </w:r>
    </w:p>
    <w:p w14:paraId="14F143C9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供方提供的产品及材料必须保证质量可靠，进货渠道正常，配置合理齐全，应全面满足需方的要求，磋商文件未明确要求的内容，供方须按招标产品标准配置或以需方的补充要求为准。所供产品工艺质量应严格按国家最新发布的规范标准执行，如发生质量问题由供方承担全部责任。</w:t>
      </w:r>
    </w:p>
    <w:p w14:paraId="7ADDFFB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2、供方应保证所有产品的完好无损包括配套包装，如有缺漏、损坏，由供方负责调换、补齐或赔偿。</w:t>
      </w:r>
    </w:p>
    <w:p w14:paraId="13C904A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3、产品使用过程中因产品质量、产品缺陷等造成人身伤亡、财产损失的，由供方负责解决并承担全部责任。</w:t>
      </w:r>
    </w:p>
    <w:p w14:paraId="33C83D5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十一、采购项目执行内容需要调整时，经采购人同意后，可以对相应的原材料进行调整，并协商确定价格差额计算方法和负担办法。</w:t>
      </w:r>
    </w:p>
    <w:p w14:paraId="05A2AF8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十二、产品设计变更</w:t>
      </w:r>
    </w:p>
    <w:p w14:paraId="3E015E8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179DFF7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十三、检验：在交货前，制造商应当对产品的质量、规格、型号、数量等进行准确而全面的检验，出具合格证并封装；货物送达指定地点后，中标人、采购人须在约定的时间和地点共同开箱检验。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55C8C0A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四、验收：通过检验的货物方可交货，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27C8CCA7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十五、合同争议的解决：合同执行中发生争议的，当事人双方应协商解决，协商达不成一致时，可向人民法院提请诉讼。</w:t>
      </w:r>
    </w:p>
    <w:p w14:paraId="075D03C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十六、在发生不可抗力情况下的应对措施和解决办法。</w:t>
      </w:r>
    </w:p>
    <w:p w14:paraId="1963F72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十七、合同一经签订，不得擅自变更、中止或者终止合同。对确需变更、调整或者中止、终止合同的，应按规定履行相应的手续。</w:t>
      </w:r>
    </w:p>
    <w:p w14:paraId="5C7F7E65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八、违约责任：依据《中华人民共和国民法典》、《中华人民共和国政府采购法》的相关条款和本合同约定执行。未按合同要求提供货物、服务或货物、服务质量不能满足合同要求，采购人有权依据《中华人民共和国民法典》有关条款及合同约定终止合同，并要求投标人承担违约责任。中标人未按合同约定的交货日期交货的，每逾期一日，向采购人支付逾期交付货物价款的0.5%的违约金，但不超过合同总金额的10%。中标人支付逾期交货违约金并不免除其交货的责任。如中标人在政府采购合同规定的交货日期后10天内仍未能交货，则视为中标人不能交货，采购人有权解除政府采购合同，中标人除退还已收取的货款外，还应向采购人偿付政府采购合同总金额10%的违约金。如因该产品本身的质量原因而在使用过程中造成的任何事故纠纷，由中标人全额负责赔偿。</w:t>
      </w:r>
    </w:p>
    <w:p w14:paraId="1AEA0451">
      <w:pPr>
        <w:spacing w:line="360" w:lineRule="auto"/>
        <w:ind w:firstLine="480" w:firstLineChars="200"/>
        <w:rPr>
          <w:rFonts w:hint="eastAsia" w:ascii="宋体" w:hAnsi="宋体" w:cs="宋体" w:eastAsiaTheme="minorEastAsia"/>
          <w:sz w:val="24"/>
          <w:lang w:eastAsia="zh-CN"/>
        </w:rPr>
      </w:pPr>
      <w:r>
        <w:rPr>
          <w:rFonts w:hint="eastAsia" w:ascii="宋体" w:hAnsi="宋体" w:cs="宋体"/>
          <w:sz w:val="24"/>
        </w:rPr>
        <w:t>十九、乙方不得进行债权转移</w:t>
      </w:r>
      <w:r>
        <w:rPr>
          <w:rFonts w:hint="eastAsia" w:ascii="宋体" w:hAnsi="宋体" w:cs="宋体"/>
          <w:sz w:val="24"/>
          <w:lang w:eastAsia="zh-CN"/>
        </w:rPr>
        <w:t>。</w:t>
      </w:r>
    </w:p>
    <w:p w14:paraId="0B7546AC">
      <w:pPr>
        <w:tabs>
          <w:tab w:val="left" w:pos="980"/>
          <w:tab w:val="clear" w:pos="480"/>
        </w:tabs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二十</w:t>
      </w:r>
      <w:r>
        <w:rPr>
          <w:rFonts w:hint="eastAsia" w:ascii="宋体" w:hAnsi="宋体" w:cs="宋体"/>
          <w:sz w:val="24"/>
        </w:rPr>
        <w:t>、本合同一式拾份，甲方执陆份，乙方、采购代理机构各执贰份。签字盖章后生效，合同执行完毕自动失效。（合同的服务承诺则长期有效）。</w:t>
      </w:r>
    </w:p>
    <w:p w14:paraId="6B57458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二十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>、其它（在合同中具体明确）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68B45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BE22A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9129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乙  方</w:t>
            </w:r>
          </w:p>
        </w:tc>
      </w:tr>
      <w:tr w14:paraId="48CFA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AE2CC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397D4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成交供应商全称</w:t>
            </w:r>
          </w:p>
          <w:p w14:paraId="5C223536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（盖章）</w:t>
            </w:r>
          </w:p>
        </w:tc>
      </w:tr>
      <w:tr w14:paraId="3B5B3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966D1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EFDAE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地址：</w:t>
            </w:r>
          </w:p>
        </w:tc>
      </w:tr>
      <w:tr w14:paraId="7294C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50777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404B7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邮编：</w:t>
            </w:r>
          </w:p>
        </w:tc>
      </w:tr>
      <w:tr w14:paraId="01DC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B83C08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997FF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法定代表人：</w:t>
            </w:r>
          </w:p>
        </w:tc>
      </w:tr>
      <w:tr w14:paraId="5B4A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5E3D4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BE3E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被授权代表：（签字）</w:t>
            </w:r>
          </w:p>
        </w:tc>
      </w:tr>
      <w:tr w14:paraId="107B2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8F1EE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C6134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电话：</w:t>
            </w:r>
          </w:p>
        </w:tc>
      </w:tr>
      <w:tr w14:paraId="475E5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5BDA5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9981A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传真：</w:t>
            </w:r>
          </w:p>
        </w:tc>
      </w:tr>
      <w:tr w14:paraId="22997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F32F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B8DE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开户银行：</w:t>
            </w:r>
          </w:p>
        </w:tc>
      </w:tr>
      <w:tr w14:paraId="48E1D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0094B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63736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账号:</w:t>
            </w:r>
          </w:p>
        </w:tc>
      </w:tr>
      <w:tr w14:paraId="331F4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F4585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D887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  年   月   日</w:t>
            </w:r>
          </w:p>
        </w:tc>
      </w:tr>
    </w:tbl>
    <w:p w14:paraId="27C3260A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5FC33">
    <w:pPr>
      <w:pStyle w:val="10"/>
      <w:pBdr>
        <w:bottom w:val="single" w:color="auto" w:sz="6" w:space="2"/>
      </w:pBdr>
      <w:jc w:val="left"/>
      <w:rPr>
        <w:rFonts w:hint="eastAsia"/>
        <w:color w:val="FF0000"/>
      </w:rPr>
    </w:pPr>
    <w:r>
      <w:rPr>
        <w:rFonts w:hint="eastAsia"/>
      </w:rPr>
      <w:t xml:space="preserve">  </w:t>
    </w:r>
    <w:r>
      <w:rPr>
        <w:rFonts w:hint="eastAsia"/>
        <w:lang w:val="en-US" w:eastAsia="zh-CN"/>
      </w:rP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2A9F2F"/>
    <w:multiLevelType w:val="multilevel"/>
    <w:tmpl w:val="A22A9F2F"/>
    <w:lvl w:ilvl="0" w:tentative="0">
      <w:start w:val="1"/>
      <w:numFmt w:val="chineseCounting"/>
      <w:pStyle w:val="2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043546EB"/>
    <w:rsid w:val="0780761F"/>
    <w:rsid w:val="0C833AFC"/>
    <w:rsid w:val="0D644DF8"/>
    <w:rsid w:val="108C1CB0"/>
    <w:rsid w:val="22102DD2"/>
    <w:rsid w:val="22E8305F"/>
    <w:rsid w:val="24FB07BE"/>
    <w:rsid w:val="31AF5794"/>
    <w:rsid w:val="35883D35"/>
    <w:rsid w:val="3626024B"/>
    <w:rsid w:val="3D510A70"/>
    <w:rsid w:val="48B84D92"/>
    <w:rsid w:val="53F20D8F"/>
    <w:rsid w:val="55B160F8"/>
    <w:rsid w:val="5BA32664"/>
    <w:rsid w:val="64C41181"/>
    <w:rsid w:val="68A55E8B"/>
    <w:rsid w:val="767B20DE"/>
    <w:rsid w:val="7CDB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480"/>
      </w:tabs>
      <w:spacing w:line="360" w:lineRule="auto"/>
    </w:pPr>
    <w:rPr>
      <w:rFonts w:ascii="Calibri" w:hAnsi="Calibri" w:eastAsia="仿宋_GB2312" w:cs="Times New Roman"/>
      <w:sz w:val="28"/>
      <w:szCs w:val="24"/>
      <w:lang w:val="en-US" w:eastAsia="en-US" w:bidi="en-US"/>
    </w:rPr>
  </w:style>
  <w:style w:type="paragraph" w:styleId="2">
    <w:name w:val="heading 1"/>
    <w:basedOn w:val="1"/>
    <w:next w:val="1"/>
    <w:link w:val="19"/>
    <w:qFormat/>
    <w:uiPriority w:val="9"/>
    <w:pPr>
      <w:keepNext/>
      <w:numPr>
        <w:ilvl w:val="0"/>
        <w:numId w:val="1"/>
      </w:numPr>
      <w:spacing w:before="240" w:after="60"/>
      <w:ind w:left="432" w:hanging="432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6">
    <w:name w:val="Block Text"/>
    <w:basedOn w:val="1"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  <w:tab w:val="clear" w:pos="480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  <w:tab w:val="clear" w:pos="480"/>
      </w:tabs>
      <w:snapToGrid w:val="0"/>
      <w:spacing w:line="240" w:lineRule="auto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next w:val="1"/>
    <w:qFormat/>
    <w:uiPriority w:val="10"/>
    <w:pPr>
      <w:spacing w:before="400" w:after="200" w:line="360" w:lineRule="auto"/>
      <w:ind w:firstLine="200" w:firstLineChars="200"/>
      <w:jc w:val="center"/>
      <w:outlineLvl w:val="0"/>
    </w:pPr>
    <w:rPr>
      <w:rFonts w:ascii="Arial" w:hAnsi="Arial" w:eastAsia="宋体" w:cs="Times New Roman"/>
      <w:b/>
      <w:bCs/>
      <w:sz w:val="36"/>
      <w:szCs w:val="32"/>
    </w:rPr>
  </w:style>
  <w:style w:type="paragraph" w:styleId="13">
    <w:name w:val="Body Text First Indent"/>
    <w:basedOn w:val="4"/>
    <w:qFormat/>
    <w:uiPriority w:val="0"/>
    <w:pPr>
      <w:spacing w:beforeLines="50" w:afterLines="50" w:line="360" w:lineRule="auto"/>
      <w:ind w:firstLine="200" w:firstLineChars="200"/>
    </w:pPr>
    <w:rPr>
      <w:rFonts w:asciiTheme="minorHAnsi" w:hAnsiTheme="minorHAnsi" w:eastAsiaTheme="minorEastAsia" w:cstheme="minorBidi"/>
      <w:kern w:val="0"/>
      <w:sz w:val="30"/>
      <w:szCs w:val="20"/>
    </w:rPr>
  </w:style>
  <w:style w:type="paragraph" w:styleId="14">
    <w:name w:val="Body Text First Indent 2"/>
    <w:basedOn w:val="5"/>
    <w:unhideWhenUsed/>
    <w:qFormat/>
    <w:uiPriority w:val="99"/>
    <w:pPr>
      <w:spacing w:after="0" w:line="640" w:lineRule="exact"/>
      <w:ind w:left="0" w:leftChars="0"/>
    </w:pPr>
    <w:rPr>
      <w:rFonts w:ascii="楷体_GB2312" w:eastAsia="楷体_GB2312" w:cs="Times New Roman" w:hAnsiTheme="minorHAnsi"/>
      <w:sz w:val="32"/>
      <w:szCs w:val="24"/>
    </w:rPr>
  </w:style>
  <w:style w:type="table" w:styleId="16">
    <w:name w:val="Table Grid"/>
    <w:basedOn w:val="15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kern w:val="0"/>
      <w:sz w:val="24"/>
      <w:szCs w:val="20"/>
      <w:lang w:val="en-US" w:eastAsia="zh-CN" w:bidi="ar-SA"/>
    </w:rPr>
  </w:style>
  <w:style w:type="character" w:customStyle="1" w:styleId="19">
    <w:name w:val="标题 1 Char"/>
    <w:link w:val="2"/>
    <w:qFormat/>
    <w:uiPriority w:val="0"/>
    <w:rPr>
      <w:rFonts w:ascii="Cambria" w:hAnsi="Cambria" w:eastAsia="宋体"/>
      <w:b/>
      <w:bCs/>
      <w:kern w:val="32"/>
      <w:sz w:val="32"/>
      <w:szCs w:val="32"/>
    </w:rPr>
  </w:style>
  <w:style w:type="paragraph" w:customStyle="1" w:styleId="2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1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22">
    <w:name w:val="列出段落2"/>
    <w:basedOn w:val="1"/>
    <w:qFormat/>
    <w:uiPriority w:val="0"/>
    <w:pPr>
      <w:spacing w:line="240" w:lineRule="auto"/>
      <w:ind w:firstLine="420" w:firstLineChars="200"/>
    </w:pPr>
  </w:style>
  <w:style w:type="paragraph" w:styleId="23">
    <w:name w:val="List Paragraph"/>
    <w:basedOn w:val="1"/>
    <w:next w:val="1"/>
    <w:qFormat/>
    <w:uiPriority w:val="34"/>
    <w:pPr>
      <w:ind w:firstLine="420" w:firstLineChars="200"/>
    </w:pPr>
  </w:style>
  <w:style w:type="paragraph" w:customStyle="1" w:styleId="24">
    <w:name w:val="Heading #2|1"/>
    <w:basedOn w:val="1"/>
    <w:qFormat/>
    <w:uiPriority w:val="0"/>
    <w:pPr>
      <w:widowControl w:val="0"/>
      <w:shd w:val="clear" w:color="auto" w:fill="auto"/>
      <w:spacing w:after="520" w:line="557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25">
    <w:name w:val="Body text|1"/>
    <w:basedOn w:val="1"/>
    <w:qFormat/>
    <w:uiPriority w:val="0"/>
    <w:pPr>
      <w:widowControl w:val="0"/>
      <w:shd w:val="clear" w:color="auto" w:fill="auto"/>
      <w:spacing w:line="394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26">
    <w:name w:val="Body text|5"/>
    <w:basedOn w:val="1"/>
    <w:qFormat/>
    <w:uiPriority w:val="0"/>
    <w:pPr>
      <w:widowControl w:val="0"/>
      <w:shd w:val="clear" w:color="auto" w:fill="auto"/>
      <w:spacing w:line="391" w:lineRule="auto"/>
    </w:pPr>
    <w:rPr>
      <w:sz w:val="30"/>
      <w:szCs w:val="3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1656</Words>
  <Characters>1664</Characters>
  <Lines>0</Lines>
  <Paragraphs>0</Paragraphs>
  <TotalTime>0</TotalTime>
  <ScaleCrop>false</ScaleCrop>
  <LinksUpToDate>false</LinksUpToDate>
  <CharactersWithSpaces>1668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2024-07-16T04:49:00Z</dcterms:created>
  <dc:creator>Administrator</dc:creator>
  <cp:lastModifiedBy>国创招标</cp:lastModifiedBy>
  <dcterms:modified xsi:type="dcterms:W3CDTF">2026-06-16T03:22:59Z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896E69AB191347A886DF4B267DDD3376_12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