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版本号：HYTF-20260705920260814001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航天基地环卫设施维护项目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HYTF-202607059</w:t>
      </w:r>
      <w:r>
        <w:br/>
      </w:r>
      <w:r>
        <w:br/>
      </w:r>
      <w:r>
        <w:br/>
      </w:r>
    </w:p>
    <w:p>
      <w:pPr>
        <w:pStyle w:val="null3"/>
        <w:jc w:val="center"/>
        <w:outlineLvl w:val="2"/>
      </w:pPr>
      <w:r>
        <w:rPr>
          <w:rFonts w:ascii="仿宋_GB2312" w:hAnsi="仿宋_GB2312" w:cs="仿宋_GB2312" w:eastAsia="仿宋_GB2312"/>
          <w:sz w:val="28"/>
          <w:b/>
        </w:rPr>
        <w:t>西安国家民用航天产业基地城市管理服务中心</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西安国家民用航天产业基地城市管理服务中心</w:t>
      </w:r>
      <w:r>
        <w:rPr>
          <w:rFonts w:ascii="仿宋_GB2312" w:hAnsi="仿宋_GB2312" w:cs="仿宋_GB2312" w:eastAsia="仿宋_GB2312"/>
        </w:rPr>
        <w:t>委托，拟对</w:t>
      </w:r>
      <w:r>
        <w:rPr>
          <w:rFonts w:ascii="仿宋_GB2312" w:hAnsi="仿宋_GB2312" w:cs="仿宋_GB2312" w:eastAsia="仿宋_GB2312"/>
        </w:rPr>
        <w:t>航天基地环卫设施维护项目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HYTF-202607059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航天基地环卫设施维护项目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航天基地环卫设施维护项目，为保障辖区环卫设施正常运行，对公厕、果皮箱、工具箱等开展故障维修、配件更换、应急抢修服务，保障市容环境卫生设施完好、功能正常。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采购包1（航天基地环卫设施维护项目）：属于专门面向中小企业采购。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授权代表在本单位的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西安国家民用航天产业基地城市管理服务中心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西安市长安区航腾路600号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029-84193902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文件和（发改办价格[2011]534号）文件规定的标准收取，以采购预算价为基数计算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西安国家民用航天产业基地城市管理服务中心</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西安国家民用航天产业基地城市管理服务中心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西安国家民用航天产业基地城市管理服务中心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以双方约定为准，具体详见服务合同。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1、各项设施维修后功能恢复正常，无漏水漏电，设备运行平稳，外观修复到位，安全隐患消除；验收单作为付款凭证之一。 2、验收不合格，供应商须无偿返工直至合格；造成损失由供应商承担。 3、国家有强制标准的，按国家强制标准执行。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航天基地环卫设施维护项目，为保障辖区环卫设施正常运行，对公厕、果皮箱、工具箱等开展故障维修、配件更换、应急抢修服务，保障市容环境卫生设施完好、功能正常。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420,800.00</w:t>
      </w:r>
    </w:p>
    <w:p>
      <w:pPr>
        <w:pStyle w:val="null3"/>
      </w:pPr>
      <w:r>
        <w:rPr>
          <w:rFonts w:ascii="仿宋_GB2312" w:hAnsi="仿宋_GB2312" w:cs="仿宋_GB2312" w:eastAsia="仿宋_GB2312"/>
        </w:rPr>
        <w:t>采购包最高限价（元）: 420,800.00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航天基地环卫设施维护项目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标的名称：航天基地环卫设施维护项目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98"/>
              <w:jc w:val="left"/>
            </w:pPr>
            <w:r>
              <w:rPr>
                <w:rFonts w:ascii="仿宋_GB2312" w:hAnsi="仿宋_GB2312" w:cs="仿宋_GB2312" w:eastAsia="仿宋_GB2312"/>
                <w:sz w:val="20"/>
                <w:b/>
              </w:rPr>
              <w:t>一、项目概况</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航天基地环卫设施维护项目，</w:t>
            </w:r>
            <w:r>
              <w:rPr>
                <w:rFonts w:ascii="仿宋_GB2312" w:hAnsi="仿宋_GB2312" w:cs="仿宋_GB2312" w:eastAsia="仿宋_GB2312"/>
                <w:sz w:val="20"/>
              </w:rPr>
              <w:t>为保障辖区环卫设施正常运行，</w:t>
            </w:r>
            <w:r>
              <w:rPr>
                <w:rFonts w:ascii="仿宋_GB2312" w:hAnsi="仿宋_GB2312" w:cs="仿宋_GB2312" w:eastAsia="仿宋_GB2312"/>
                <w:sz w:val="21"/>
              </w:rPr>
              <w:t>对公厕、果皮箱、工具箱等开展故障维修、配件更换、应急抢修服务，保障市容环境卫生设施完好、功能正常</w:t>
            </w:r>
            <w:r>
              <w:rPr>
                <w:rFonts w:ascii="仿宋_GB2312" w:hAnsi="仿宋_GB2312" w:cs="仿宋_GB2312" w:eastAsia="仿宋_GB2312"/>
                <w:sz w:val="21"/>
              </w:rPr>
              <w:t>。</w:t>
            </w:r>
          </w:p>
          <w:p>
            <w:pPr>
              <w:pStyle w:val="null3"/>
              <w:ind w:firstLine="396"/>
              <w:jc w:val="left"/>
            </w:pPr>
            <w:r>
              <w:rPr>
                <w:rFonts w:ascii="仿宋_GB2312" w:hAnsi="仿宋_GB2312" w:cs="仿宋_GB2312" w:eastAsia="仿宋_GB2312"/>
                <w:sz w:val="20"/>
              </w:rPr>
              <w:t>2、</w:t>
            </w:r>
            <w:r>
              <w:rPr>
                <w:rFonts w:ascii="仿宋_GB2312" w:hAnsi="仿宋_GB2312" w:cs="仿宋_GB2312" w:eastAsia="仿宋_GB2312"/>
                <w:sz w:val="20"/>
              </w:rPr>
              <w:t>服务期：</w:t>
            </w:r>
            <w:r>
              <w:rPr>
                <w:rFonts w:ascii="仿宋_GB2312" w:hAnsi="仿宋_GB2312" w:cs="仿宋_GB2312" w:eastAsia="仿宋_GB2312"/>
                <w:sz w:val="20"/>
              </w:rPr>
              <w:t>一年（</w:t>
            </w:r>
            <w:r>
              <w:rPr>
                <w:rFonts w:ascii="仿宋_GB2312" w:hAnsi="仿宋_GB2312" w:cs="仿宋_GB2312" w:eastAsia="仿宋_GB2312"/>
                <w:sz w:val="20"/>
              </w:rPr>
              <w:t>一</w:t>
            </w:r>
            <w:r>
              <w:rPr>
                <w:rFonts w:ascii="仿宋_GB2312" w:hAnsi="仿宋_GB2312" w:cs="仿宋_GB2312" w:eastAsia="仿宋_GB2312"/>
                <w:sz w:val="20"/>
              </w:rPr>
              <w:t>年内如采购预算用完，本项目服务结束）。</w:t>
            </w:r>
          </w:p>
          <w:p>
            <w:pPr>
              <w:pStyle w:val="null3"/>
              <w:ind w:firstLine="396"/>
              <w:jc w:val="left"/>
            </w:pPr>
            <w:r>
              <w:rPr>
                <w:rFonts w:ascii="仿宋_GB2312" w:hAnsi="仿宋_GB2312" w:cs="仿宋_GB2312" w:eastAsia="仿宋_GB2312"/>
                <w:sz w:val="20"/>
              </w:rPr>
              <w:t>3、服务地点：航天基地范围内。</w:t>
            </w:r>
          </w:p>
          <w:p>
            <w:pPr>
              <w:pStyle w:val="null3"/>
              <w:ind w:firstLine="398"/>
              <w:jc w:val="left"/>
            </w:pPr>
            <w:r>
              <w:rPr>
                <w:rFonts w:ascii="仿宋_GB2312" w:hAnsi="仿宋_GB2312" w:cs="仿宋_GB2312" w:eastAsia="仿宋_GB2312"/>
                <w:sz w:val="20"/>
                <w:b/>
              </w:rPr>
              <w:t>二、维修服务范围</w:t>
            </w:r>
          </w:p>
          <w:p>
            <w:pPr>
              <w:pStyle w:val="null3"/>
              <w:ind w:firstLine="416"/>
              <w:jc w:val="left"/>
            </w:pPr>
            <w:r>
              <w:rPr>
                <w:rFonts w:ascii="仿宋_GB2312" w:hAnsi="仿宋_GB2312" w:cs="仿宋_GB2312" w:eastAsia="仿宋_GB2312"/>
                <w:sz w:val="21"/>
              </w:rPr>
              <w:t>（一）公共厕所</w:t>
            </w:r>
          </w:p>
          <w:p>
            <w:pPr>
              <w:pStyle w:val="null3"/>
              <w:ind w:firstLine="416"/>
              <w:jc w:val="left"/>
            </w:pPr>
            <w:r>
              <w:rPr>
                <w:rFonts w:ascii="仿宋_GB2312" w:hAnsi="仿宋_GB2312" w:cs="仿宋_GB2312" w:eastAsia="仿宋_GB2312"/>
                <w:sz w:val="21"/>
              </w:rPr>
              <w:t>包含增压泵及压力罐维修更换、防水及漏水处理维修、吊顶维修、内墙维修、地面处理、管道维修、玻璃更换、防窥单透膜张贴更换、成品化粪池维修更换等维修。</w:t>
            </w:r>
          </w:p>
          <w:p>
            <w:pPr>
              <w:pStyle w:val="null3"/>
              <w:ind w:firstLine="416"/>
              <w:jc w:val="left"/>
            </w:pPr>
            <w:r>
              <w:rPr>
                <w:rFonts w:ascii="仿宋_GB2312" w:hAnsi="仿宋_GB2312" w:cs="仿宋_GB2312" w:eastAsia="仿宋_GB2312"/>
                <w:sz w:val="21"/>
              </w:rPr>
              <w:t>（二）其他环卫设施</w:t>
            </w:r>
          </w:p>
          <w:p>
            <w:pPr>
              <w:pStyle w:val="null3"/>
              <w:ind w:firstLine="416"/>
              <w:jc w:val="left"/>
            </w:pPr>
            <w:r>
              <w:rPr>
                <w:rFonts w:ascii="仿宋_GB2312" w:hAnsi="仿宋_GB2312" w:cs="仿宋_GB2312" w:eastAsia="仿宋_GB2312"/>
                <w:sz w:val="21"/>
              </w:rPr>
              <w:t>1.果皮箱：包含内胆、分类标识、锁具、弹簧、合页、果皮箱门、烤漆、太阳能板等设施、设备的维修或更换。</w:t>
            </w:r>
          </w:p>
          <w:p>
            <w:pPr>
              <w:pStyle w:val="null3"/>
              <w:ind w:firstLine="416"/>
              <w:jc w:val="left"/>
            </w:pPr>
            <w:r>
              <w:rPr>
                <w:rFonts w:ascii="仿宋_GB2312" w:hAnsi="仿宋_GB2312" w:cs="仿宋_GB2312" w:eastAsia="仿宋_GB2312"/>
                <w:sz w:val="21"/>
              </w:rPr>
              <w:t>2.老旧座椅及工具箱：包含烤漆、喷漆、锁具、合页等设施、设备的维修或更换。</w:t>
            </w:r>
          </w:p>
          <w:p>
            <w:pPr>
              <w:pStyle w:val="null3"/>
              <w:ind w:firstLine="398"/>
              <w:jc w:val="left"/>
            </w:pPr>
            <w:r>
              <w:rPr>
                <w:rFonts w:ascii="仿宋_GB2312" w:hAnsi="仿宋_GB2312" w:cs="仿宋_GB2312" w:eastAsia="仿宋_GB2312"/>
                <w:sz w:val="20"/>
                <w:b/>
              </w:rPr>
              <w:t>三、技术与服务要求</w:t>
            </w:r>
          </w:p>
          <w:p>
            <w:pPr>
              <w:pStyle w:val="null3"/>
              <w:ind w:firstLine="396"/>
              <w:jc w:val="left"/>
            </w:pPr>
            <w:r>
              <w:rPr>
                <w:rFonts w:ascii="仿宋_GB2312" w:hAnsi="仿宋_GB2312" w:cs="仿宋_GB2312" w:eastAsia="仿宋_GB2312"/>
                <w:sz w:val="20"/>
              </w:rPr>
              <w:t>1.配件质量：维修更换配件必须符合国家行业标准，规格匹配；关键设备优先原厂合格配件，严禁使用翻新件，配件提供质量质保（质保期自验收之日起计算，配件质保不少于6个月）。</w:t>
            </w:r>
          </w:p>
          <w:p>
            <w:pPr>
              <w:pStyle w:val="null3"/>
              <w:ind w:firstLine="396"/>
              <w:jc w:val="left"/>
            </w:pPr>
            <w:r>
              <w:rPr>
                <w:rFonts w:ascii="仿宋_GB2312" w:hAnsi="仿宋_GB2312" w:cs="仿宋_GB2312" w:eastAsia="仿宋_GB2312"/>
                <w:sz w:val="20"/>
              </w:rPr>
              <w:t>2.响应时效：24小时报修电话值守，接收微信/电话报修工单；一般故障：接到报修1小时内到达现场，2小时内处置完成；重大故障（漏水、漏电等）：30分钟内到场，立即开展抢修，如无法当场修复，须落实临时应急措施，确保安全，并向采购人提供处置方案。</w:t>
            </w:r>
          </w:p>
          <w:p>
            <w:pPr>
              <w:pStyle w:val="null3"/>
              <w:ind w:firstLine="396"/>
              <w:jc w:val="left"/>
            </w:pPr>
            <w:r>
              <w:rPr>
                <w:rFonts w:ascii="仿宋_GB2312" w:hAnsi="仿宋_GB2312" w:cs="仿宋_GB2312" w:eastAsia="仿宋_GB2312"/>
                <w:sz w:val="20"/>
              </w:rPr>
              <w:t>3.人员设备：服务单位须配置专职维修班组，电工、焊工等特种作业人员应依法取得合法有效的相应资格证书后方可上岗，其他维修人员应具备与岗位相适应的从业能力；自备维修工具、抢修车辆、常用易损配件储备，具备专人驻守服务能力。采购人有权核验相关人员资格证明，服务单位不得安排无证人员从事依法应持证作业。</w:t>
            </w:r>
          </w:p>
          <w:p>
            <w:pPr>
              <w:pStyle w:val="null3"/>
              <w:ind w:firstLine="396"/>
              <w:jc w:val="left"/>
            </w:pPr>
            <w:r>
              <w:rPr>
                <w:rFonts w:ascii="仿宋_GB2312" w:hAnsi="仿宋_GB2312" w:cs="仿宋_GB2312" w:eastAsia="仿宋_GB2312"/>
                <w:sz w:val="20"/>
              </w:rPr>
              <w:t>4.作业规范：维修现场做好围挡、警示，减少对周边环境、群众通行影响；施工垃圾工完场清；落实安全生产主体责任，严格遵守现场作业安全规范、有限空间作业安全规范等安全生产规定及要求，发生安全事故全部由服务单位承担责任。</w:t>
            </w:r>
          </w:p>
          <w:p>
            <w:pPr>
              <w:pStyle w:val="null3"/>
              <w:ind w:firstLine="396"/>
              <w:jc w:val="left"/>
            </w:pPr>
            <w:r>
              <w:rPr>
                <w:rFonts w:ascii="仿宋_GB2312" w:hAnsi="仿宋_GB2312" w:cs="仿宋_GB2312" w:eastAsia="仿宋_GB2312"/>
                <w:sz w:val="20"/>
              </w:rPr>
              <w:t>5.台账管理：建立完整维修台账，记录派工单报修时间、点位、故障现象、维修内容、更换配件、完工时间、现场照片、质保期限；加强台账自查管理，严禁出现质保期内重复维修计费情况，并按季度向采购人报送维修汇总报表，采购人可随时查阅台账资料。</w:t>
            </w:r>
          </w:p>
          <w:p>
            <w:pPr>
              <w:pStyle w:val="null3"/>
              <w:ind w:firstLine="396"/>
              <w:jc w:val="left"/>
            </w:pPr>
            <w:r>
              <w:rPr>
                <w:rFonts w:ascii="仿宋_GB2312" w:hAnsi="仿宋_GB2312" w:cs="仿宋_GB2312" w:eastAsia="仿宋_GB2312"/>
                <w:sz w:val="20"/>
              </w:rPr>
              <w:t>6.重大保障：迎检、节假日、突发事件优先保障，服从采购人调度。</w:t>
            </w:r>
          </w:p>
          <w:p>
            <w:pPr>
              <w:pStyle w:val="null3"/>
              <w:ind w:firstLine="398"/>
              <w:jc w:val="left"/>
            </w:pPr>
            <w:r>
              <w:rPr>
                <w:rFonts w:ascii="仿宋_GB2312" w:hAnsi="仿宋_GB2312" w:cs="仿宋_GB2312" w:eastAsia="仿宋_GB2312"/>
                <w:sz w:val="20"/>
                <w:b/>
              </w:rPr>
              <w:t>四、报价与结算要求</w:t>
            </w:r>
          </w:p>
          <w:p>
            <w:pPr>
              <w:pStyle w:val="null3"/>
              <w:ind w:firstLine="396"/>
              <w:jc w:val="left"/>
            </w:pPr>
            <w:r>
              <w:rPr>
                <w:rFonts w:ascii="仿宋_GB2312" w:hAnsi="仿宋_GB2312" w:cs="仿宋_GB2312" w:eastAsia="仿宋_GB2312"/>
                <w:sz w:val="20"/>
              </w:rPr>
              <w:t>1.本项目</w:t>
            </w:r>
            <w:r>
              <w:rPr>
                <w:rFonts w:ascii="仿宋_GB2312" w:hAnsi="仿宋_GB2312" w:cs="仿宋_GB2312" w:eastAsia="仿宋_GB2312"/>
                <w:sz w:val="20"/>
              </w:rPr>
              <w:t>报价方式：</w:t>
            </w:r>
            <w:r>
              <w:rPr>
                <w:rFonts w:ascii="仿宋_GB2312" w:hAnsi="仿宋_GB2312" w:cs="仿宋_GB2312" w:eastAsia="仿宋_GB2312"/>
                <w:sz w:val="20"/>
              </w:rPr>
              <w:t>采用下浮比例报价。本项目维护单价明细表中的单价为全费用综合单价，全费用综合单价中包含完成本项所有工作内容并包括人工费、材料费、机械费、加工费、制作费及现场安装费、企业的管理费用、利润、风险、措施费及税金等全部费用。</w:t>
            </w:r>
            <w:r>
              <w:rPr>
                <w:rFonts w:ascii="仿宋_GB2312" w:hAnsi="仿宋_GB2312" w:cs="仿宋_GB2312" w:eastAsia="仿宋_GB2312"/>
                <w:sz w:val="20"/>
              </w:rPr>
              <w:t>以采购人提供的维修项目价目表为基准，供应商报整体</w:t>
            </w:r>
            <w:r>
              <w:rPr>
                <w:rFonts w:ascii="仿宋_GB2312" w:hAnsi="仿宋_GB2312" w:cs="仿宋_GB2312" w:eastAsia="仿宋_GB2312"/>
                <w:sz w:val="20"/>
              </w:rPr>
              <w:t>下浮比例</w:t>
            </w:r>
            <w:r>
              <w:rPr>
                <w:rFonts w:ascii="仿宋_GB2312" w:hAnsi="仿宋_GB2312" w:cs="仿宋_GB2312" w:eastAsia="仿宋_GB2312"/>
                <w:sz w:val="20"/>
              </w:rPr>
              <w:t>；结算金额</w:t>
            </w:r>
            <w:r>
              <w:rPr>
                <w:rFonts w:ascii="仿宋_GB2312" w:hAnsi="仿宋_GB2312" w:cs="仿宋_GB2312" w:eastAsia="仿宋_GB2312"/>
                <w:sz w:val="20"/>
              </w:rPr>
              <w:t>=实际发生工程量×</w:t>
            </w:r>
            <w:r>
              <w:rPr>
                <w:rFonts w:ascii="仿宋_GB2312" w:hAnsi="仿宋_GB2312" w:cs="仿宋_GB2312" w:eastAsia="仿宋_GB2312"/>
                <w:sz w:val="20"/>
                <w:color w:val="000000"/>
              </w:rPr>
              <w:t>全费用综合单价限价</w:t>
            </w: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1-下浮%</w:t>
            </w:r>
            <w:r>
              <w:rPr>
                <w:rFonts w:ascii="仿宋_GB2312" w:hAnsi="仿宋_GB2312" w:cs="仿宋_GB2312" w:eastAsia="仿宋_GB2312"/>
                <w:sz w:val="21"/>
              </w:rPr>
              <w:t>）</w:t>
            </w:r>
            <w:r>
              <w:rPr>
                <w:rFonts w:ascii="仿宋_GB2312" w:hAnsi="仿宋_GB2312" w:cs="仿宋_GB2312" w:eastAsia="仿宋_GB2312"/>
                <w:sz w:val="20"/>
              </w:rPr>
              <w:t>。</w:t>
            </w:r>
          </w:p>
          <w:p>
            <w:pPr>
              <w:pStyle w:val="null3"/>
              <w:ind w:firstLine="396"/>
              <w:jc w:val="left"/>
            </w:pPr>
            <w:r>
              <w:rPr>
                <w:rFonts w:ascii="仿宋_GB2312" w:hAnsi="仿宋_GB2312" w:cs="仿宋_GB2312" w:eastAsia="仿宋_GB2312"/>
                <w:sz w:val="20"/>
              </w:rPr>
              <w:t>2. 结算依据：维修台账、完工前后照片、验收单；按季度据实结算，不超年度预算上限。</w:t>
            </w:r>
          </w:p>
          <w:p>
            <w:pPr>
              <w:pStyle w:val="null3"/>
              <w:ind w:firstLine="396"/>
              <w:jc w:val="left"/>
            </w:pPr>
            <w:r>
              <w:rPr>
                <w:rFonts w:ascii="仿宋_GB2312" w:hAnsi="仿宋_GB2312" w:cs="仿宋_GB2312" w:eastAsia="仿宋_GB2312"/>
                <w:sz w:val="20"/>
              </w:rPr>
              <w:t>3.</w:t>
            </w:r>
            <w:r>
              <w:rPr>
                <w:rFonts w:ascii="仿宋_GB2312" w:hAnsi="仿宋_GB2312" w:cs="仿宋_GB2312" w:eastAsia="仿宋_GB2312"/>
                <w:sz w:val="21"/>
              </w:rPr>
              <w:t>所有报价均为全费用综合单价，包含但不限于配件、运输、垃圾清运、安全、税费等因该项目而产生的全部费用，采购人不再额外支付其他费用。</w:t>
            </w:r>
          </w:p>
          <w:p>
            <w:pPr>
              <w:pStyle w:val="null3"/>
              <w:ind w:firstLine="396"/>
              <w:jc w:val="left"/>
            </w:pPr>
            <w:r>
              <w:rPr>
                <w:rFonts w:ascii="仿宋_GB2312" w:hAnsi="仿宋_GB2312" w:cs="仿宋_GB2312" w:eastAsia="仿宋_GB2312"/>
                <w:sz w:val="20"/>
              </w:rPr>
              <w:t>采购人按季度据实结算。服务单位应于每季度结算前提交维修台账、完工前后照片、验收单及合法有效的增值税发票等完整结算资料；采购人仅在对应维修项目验收合格、结算资料齐全且收到合规发票后办理付款。因服务单位未及时提交或提交的发票、资料不合规导致延迟付款的，采购人不承担逾期付款责任。</w:t>
            </w:r>
          </w:p>
          <w:p>
            <w:pPr>
              <w:pStyle w:val="null3"/>
              <w:ind w:firstLine="396"/>
              <w:jc w:val="both"/>
            </w:pPr>
            <w:r>
              <w:rPr>
                <w:rFonts w:ascii="仿宋_GB2312" w:hAnsi="仿宋_GB2312" w:cs="仿宋_GB2312" w:eastAsia="仿宋_GB2312"/>
                <w:sz w:val="20"/>
              </w:rPr>
              <w:t>4.本项目质保期自验收之日起计算。质保期内（不少于6个月），凡属于供应商维修质量缺陷导致的原维修项目故障，供应商须提供免费返修服务，不得就同一故障重复维修、重复计费，全部工时、材料等相关费用由供应商自行承担。因采购人人为使用不当、外力损坏、新发生损伤、自然老化及不可抗力造成的损坏，不属于质保责任，维修费用由采购人承担。若经两次维修仍不能正常使用，采购人有权按合同约定追究供应商违约责任。</w:t>
            </w:r>
          </w:p>
          <w:p>
            <w:pPr>
              <w:pStyle w:val="null3"/>
              <w:ind w:firstLine="402"/>
              <w:jc w:val="both"/>
            </w:pPr>
            <w:r>
              <w:rPr>
                <w:rFonts w:ascii="仿宋_GB2312" w:hAnsi="仿宋_GB2312" w:cs="仿宋_GB2312" w:eastAsia="仿宋_GB2312"/>
                <w:sz w:val="20"/>
                <w:b/>
                <w:color w:val="000000"/>
              </w:rPr>
              <w:t>五、航天基地环卫设施维护单价明细表</w:t>
            </w:r>
          </w:p>
          <w:tbl>
            <w:tblPr>
              <w:tblBorders>
                <w:top w:val="none" w:color="000000" w:sz="4"/>
                <w:left w:val="none" w:color="000000" w:sz="4"/>
                <w:bottom w:val="none" w:color="000000" w:sz="4"/>
                <w:right w:val="none" w:color="000000" w:sz="4"/>
                <w:insideH w:val="none"/>
                <w:insideV w:val="none"/>
              </w:tblBorders>
            </w:tblPr>
            <w:tblGrid>
              <w:gridCol w:w="154"/>
              <w:gridCol w:w="237"/>
              <w:gridCol w:w="262"/>
              <w:gridCol w:w="547"/>
              <w:gridCol w:w="531"/>
              <w:gridCol w:w="266"/>
              <w:gridCol w:w="227"/>
              <w:gridCol w:w="329"/>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维护项目</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维护名称</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材质、配置</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维护类型</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全费用综合单价限价（元）</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维修老旧座椅及工具箱</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烤漆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现场测量</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不锈钢烤漆</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现场测量</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不锈钢喷漆</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锁</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三角锁</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合页</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叶厚</w:t>
                  </w:r>
                  <w:r>
                    <w:rPr>
                      <w:rFonts w:ascii="仿宋_GB2312" w:hAnsi="仿宋_GB2312" w:cs="仿宋_GB2312" w:eastAsia="仿宋_GB2312"/>
                      <w:sz w:val="20"/>
                      <w:color w:val="000000"/>
                    </w:rPr>
                    <w:t>3mm，叶面长75mm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果皮箱维</w:t>
                  </w:r>
                  <w:r>
                    <w:rPr>
                      <w:rFonts w:ascii="仿宋_GB2312" w:hAnsi="仿宋_GB2312" w:cs="仿宋_GB2312" w:eastAsia="仿宋_GB2312"/>
                      <w:sz w:val="20"/>
                      <w:color w:val="000000"/>
                    </w:rPr>
                    <w:t>护</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280*280*380mm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镀锌铁皮</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28.75</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分类标识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三分类</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汽车贴，单套</w:t>
                  </w:r>
                  <w:r>
                    <w:rPr>
                      <w:rFonts w:ascii="仿宋_GB2312" w:hAnsi="仿宋_GB2312" w:cs="仿宋_GB2312" w:eastAsia="仿宋_GB2312"/>
                      <w:sz w:val="20"/>
                      <w:color w:val="000000"/>
                    </w:rPr>
                    <w:t>1.64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锁</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三角锁</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弹簧</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线径</w:t>
                  </w:r>
                  <w:r>
                    <w:rPr>
                      <w:rFonts w:ascii="仿宋_GB2312" w:hAnsi="仿宋_GB2312" w:cs="仿宋_GB2312" w:eastAsia="仿宋_GB2312"/>
                      <w:sz w:val="20"/>
                      <w:color w:val="000000"/>
                    </w:rPr>
                    <w:t>0.9mm，外径8mm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合页</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叶厚</w:t>
                  </w:r>
                  <w:r>
                    <w:rPr>
                      <w:rFonts w:ascii="仿宋_GB2312" w:hAnsi="仿宋_GB2312" w:cs="仿宋_GB2312" w:eastAsia="仿宋_GB2312"/>
                      <w:sz w:val="20"/>
                      <w:color w:val="000000"/>
                    </w:rPr>
                    <w:t>2mm，叶面长50mm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果皮箱门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410*380mm*0.3</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镀锌铁皮</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扇</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烤漆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1000*400*850mm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1.5mm厚304不锈 </w:t>
                  </w:r>
                  <w:r>
                    <w:br/>
                  </w:r>
                  <w:r>
                    <w:rPr>
                      <w:rFonts w:ascii="仿宋_GB2312" w:hAnsi="仿宋_GB2312" w:cs="仿宋_GB2312" w:eastAsia="仿宋_GB2312"/>
                      <w:sz w:val="20"/>
                      <w:color w:val="000000"/>
                    </w:rPr>
                    <w:t>钢烤漆丝网印</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太阳能板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18cm*27cm   10W-12V</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单晶</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公厕维护</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增压泵</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150W250L,直径500mm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全自动自来水管道</w:t>
                  </w:r>
                  <w:r>
                    <w:rPr>
                      <w:rFonts w:ascii="仿宋_GB2312" w:hAnsi="仿宋_GB2312" w:cs="仿宋_GB2312" w:eastAsia="仿宋_GB2312"/>
                      <w:sz w:val="20"/>
                      <w:color w:val="000000"/>
                    </w:rPr>
                    <w:t>水泵自动增压泵</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压力罐</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室外水管三通</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DN160mm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防窥单透膜</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宽度</w:t>
                  </w:r>
                  <w:r>
                    <w:rPr>
                      <w:rFonts w:ascii="仿宋_GB2312" w:hAnsi="仿宋_GB2312" w:cs="仿宋_GB2312" w:eastAsia="仿宋_GB2312"/>
                      <w:sz w:val="20"/>
                      <w:color w:val="000000"/>
                    </w:rPr>
                    <w:t>1.2米</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太阳膜</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500*500*3mm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透明白玻</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增压泵</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300W</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铸铁</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顶部漏水处理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3300*6250mm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原防水层拆除；基</w:t>
                  </w:r>
                  <w:r>
                    <w:rPr>
                      <w:rFonts w:ascii="仿宋_GB2312" w:hAnsi="仿宋_GB2312" w:cs="仿宋_GB2312" w:eastAsia="仿宋_GB2312"/>
                      <w:sz w:val="20"/>
                      <w:color w:val="000000"/>
                    </w:rPr>
                    <w:t>层清理、修补</w:t>
                  </w:r>
                  <w:r>
                    <w:rPr>
                      <w:rFonts w:ascii="仿宋_GB2312" w:hAnsi="仿宋_GB2312" w:cs="仿宋_GB2312" w:eastAsia="仿宋_GB2312"/>
                      <w:sz w:val="20"/>
                      <w:color w:val="000000"/>
                    </w:rPr>
                    <w:t>1.5mm厚聚酯胎SBS 防水卷材；50mm厚地面水泥砂浆保护层</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2800*5750mm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1.2mm厚铝扣板吊顶</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内墙</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2400*12300mm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墙面原壁纸及基层石膏板拆除，</w:t>
                  </w:r>
                  <w:r>
                    <w:rPr>
                      <w:rFonts w:ascii="仿宋_GB2312" w:hAnsi="仿宋_GB2312" w:cs="仿宋_GB2312" w:eastAsia="仿宋_GB2312"/>
                      <w:sz w:val="20"/>
                      <w:color w:val="000000"/>
                    </w:rPr>
                    <w:t>18mm细木工板打底，成品木塑装饰墙板，850高6mm厚高分子纳米护墙板装饰面板墙裙</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地面处理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2800*5750mm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原地面木地板及地砖拆除，地面</w:t>
                  </w:r>
                  <w:r>
                    <w:rPr>
                      <w:rFonts w:ascii="仿宋_GB2312" w:hAnsi="仿宋_GB2312" w:cs="仿宋_GB2312" w:eastAsia="仿宋_GB2312"/>
                      <w:sz w:val="20"/>
                      <w:color w:val="000000"/>
                    </w:rPr>
                    <w:t>300*300防滑耐磨地砖；1.5mm厚聚氨酯涂膜防水层，墙面上翻500mm高；20mm厚地面水泥砂浆找平层；地面基层清理、修补</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262</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管道顶进</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DN200mm</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地下顶管工程</w:t>
                  </w:r>
                  <w:r>
                    <w:rPr>
                      <w:rFonts w:ascii="仿宋_GB2312" w:hAnsi="仿宋_GB2312" w:cs="仿宋_GB2312" w:eastAsia="仿宋_GB2312"/>
                      <w:sz w:val="20"/>
                      <w:color w:val="000000"/>
                    </w:rPr>
                    <w:t>(PE)</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w:t>
                  </w:r>
                </w:p>
              </w:tc>
            </w:tr>
            <w:tr>
              <w:tc>
                <w:tcPr>
                  <w:tcW w:type="dxa" w:w="154"/>
                  <w:vMerge/>
                  <w:tcBorders>
                    <w:top w:val="none" w:color="000000" w:sz="4"/>
                    <w:left w:val="single" w:color="000000" w:sz="4"/>
                    <w:bottom w:val="single" w:color="000000" w:sz="4"/>
                    <w:right w:val="single" w:color="000000" w:sz="4"/>
                  </w:tcBorders>
                </w:tcPr>
                <w:p/>
              </w:tc>
              <w:tc>
                <w:tcPr>
                  <w:tcW w:type="dxa" w:w="237"/>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成品化粪池</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6m</w:t>
                  </w:r>
                  <w:r>
                    <w:rPr>
                      <w:rFonts w:ascii="仿宋_GB2312" w:hAnsi="仿宋_GB2312" w:cs="仿宋_GB2312" w:eastAsia="仿宋_GB2312"/>
                      <w:sz w:val="20"/>
                      <w:color w:val="000000"/>
                    </w:rPr>
                    <w:t>³</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玻璃钢</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3588</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市容</w:t>
                  </w:r>
                  <w:r>
                    <w:rPr>
                      <w:rFonts w:ascii="仿宋_GB2312" w:hAnsi="仿宋_GB2312" w:cs="仿宋_GB2312" w:eastAsia="仿宋_GB2312"/>
                      <w:sz w:val="20"/>
                      <w:color w:val="000000"/>
                    </w:rPr>
                    <w:t>市政物资吊装</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台班</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施工零工</w:t>
                  </w:r>
                  <w:r>
                    <w:rPr>
                      <w:rFonts w:ascii="仿宋_GB2312" w:hAnsi="仿宋_GB2312" w:cs="仿宋_GB2312" w:eastAsia="仿宋_GB2312"/>
                      <w:sz w:val="20"/>
                      <w:color w:val="000000"/>
                    </w:rPr>
                    <w:t>工费</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工日</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焊接施工工费</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工日</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bl>
          <w:p>
            <w:pPr>
              <w:pStyle w:val="null3"/>
              <w:jc w:val="both"/>
            </w:pPr>
            <w:r>
              <w:rPr>
                <w:rFonts w:ascii="仿宋_GB2312" w:hAnsi="仿宋_GB2312" w:cs="仿宋_GB2312" w:eastAsia="仿宋_GB2312"/>
                <w:sz w:val="20"/>
              </w:rPr>
              <w:t>备注</w:t>
            </w:r>
            <w:r>
              <w:rPr>
                <w:rFonts w:ascii="仿宋_GB2312" w:hAnsi="仿宋_GB2312" w:cs="仿宋_GB2312" w:eastAsia="仿宋_GB2312"/>
                <w:sz w:val="20"/>
              </w:rPr>
              <w:t>:本清单第4-6项为独立单列子目，严禁与第1-3项重复计费，只允许单独时发生时计费。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供应商按项目服务要求及特性，自行组织实施与管理，建立以负责人为核心的履行合同所必需人员团队，相关人员经过严格培训，有相关工作经验，能够胜任本项目工作，保证项目顺利实施。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供应商根据采购项目特性及要求，自行配置投入履行合同所必需的各类设施设备及场所，保证项目顺利实施。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满足磋商文件服务要求及合同条款。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服务期：一年（一年内如采购预算用完，本项目服务结束）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服务地点：航天基地范围内。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1、各项设施维修后功能恢复正常，无漏水漏电，设备运行平稳，外观修复到位，安全隐患消除；验收单作为付款凭证之一。 2、验收不合格，供应商须无偿返工直至合格；造成损失由供应商承担。 3、国家有强制标准的，按国家强制标准执行。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无预付款。乙方先行提供服务，上一季度结束后，次月对上一季度维修费用进行验收结算，验收结算完成后由甲方委托第三方审计公司进行审计，审计完成后由乙方向甲方提出付款申请并开具等额发票，甲方履行完财务手续后向乙方支付该笔费用。（此项“支付约定”中的“支付合同总金额”是指已产生的上季度维修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1、因维修质量问题造成人身、财产损失，全部由服务单位赔偿。 2、接到派工拒不执行维修任务：单次扣罚500元。 3、使用假冒伪劣配件，除无偿返工外，单次扣罚500元。 4、造成负面不良影响、被上级部门约谈：单次扣罚2000元。 5、接到派工响应不及时：单次扣罚200元。 6、出现以下情形的，采购人有权对对应项目不予结算；情节严重或经采购人要求限期整改后仍未改正的，采购人有权解除或终止合同，并有权要求服务单位赔偿因此造成的损失：使用劣质配件；台账弄虚作假；质保期内重复维修计费；拒不执行维修任务；因维修质量问题造成安全事故、财产损失或重大负面影响。合同解除或终止后，已验收合格部分按合同约定结算，未验收合格、未完成或存在质量问题部分，采购人有权不予结算。 具体详见服务合同。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授权代表在本单位的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分项报价表.docx 项目业绩一览表.docx 残疾人福利性单位声明函 标的清单 资格证明材料.docx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分项报价表.docx 项目业绩一览表.docx 残疾人福利性单位声明函 标的清单 资格证明材料.docx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分项报价表.docx 项目业绩一览表.docx 残疾人福利性单位声明函 标的清单 资格证明材料.docx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本项目环卫设施维修管理要求，以及维护设施使用年限等实际情况，提供项目实施方案，内容包括：①维修维护方案；②作业方式方法；③作业程序；④作业时间及频次；⑤维修时效保障措施。 二、评审标准：方案内容完整、全面，切合本项目实际情况及实施要求，内容与要点相符、每个要点均有展开详细的阐述且能够适用于本项目的计15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本表评分标准下述所有对于“缺陷”内容的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定期检查及质量保障措施</w:t>
            </w:r>
          </w:p>
        </w:tc>
        <w:tc>
          <w:tcPr>
            <w:tcW w:type="dxa" w:w="2492"/>
          </w:tcPr>
          <w:p>
            <w:pPr>
              <w:pStyle w:val="null3"/>
            </w:pPr>
            <w:r>
              <w:rPr>
                <w:rFonts w:ascii="仿宋_GB2312" w:hAnsi="仿宋_GB2312" w:cs="仿宋_GB2312" w:eastAsia="仿宋_GB2312"/>
              </w:rPr>
              <w:t>一、评审内容：提供针对本项目的定期检查及质量保障措施，包括①定期检查具体实施内容及范围；②质量保证措施；③服务质量自检措施及整改保障措施；④确保安全、文明施工的技术组织措施。 二、评审标准：方案内容完整、全面，切合本项目实际情况及实施要求，内容与要点相符、每个要点均有展开详细的阐述且能够适用于本项目的计10分；评审内容每缺一项扣2.5分，扣完为止；评审内容有缺陷的每任意一项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维修时效的技术保障措施</w:t>
            </w:r>
          </w:p>
        </w:tc>
        <w:tc>
          <w:tcPr>
            <w:tcW w:type="dxa" w:w="2492"/>
          </w:tcPr>
          <w:p>
            <w:pPr>
              <w:pStyle w:val="null3"/>
            </w:pPr>
            <w:r>
              <w:rPr>
                <w:rFonts w:ascii="仿宋_GB2312" w:hAnsi="仿宋_GB2312" w:cs="仿宋_GB2312" w:eastAsia="仿宋_GB2312"/>
              </w:rPr>
              <w:t>一、评审内容：提供确保维修时效的技术保障措施，包括①进度安排计划；②时效保障措施。 二、评审标准：方案内容完整、全面，切合本项目实际情况及实施要求，内容与要点相符、每个要点均有展开详细的阐述且能够适用于本项目的计4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维修材料质量保障方案</w:t>
            </w:r>
          </w:p>
        </w:tc>
        <w:tc>
          <w:tcPr>
            <w:tcW w:type="dxa" w:w="2492"/>
          </w:tcPr>
          <w:p>
            <w:pPr>
              <w:pStyle w:val="null3"/>
            </w:pPr>
            <w:r>
              <w:rPr>
                <w:rFonts w:ascii="仿宋_GB2312" w:hAnsi="仿宋_GB2312" w:cs="仿宋_GB2312" w:eastAsia="仿宋_GB2312"/>
              </w:rPr>
              <w:t>一、评审内容：针对本项目提供维修材料质量保障方案，包括①维修材料清单（维修维护中可能涉及的材料）；②维修材料质量保障措施。 二、评审标准：配备方案合理、投入材料充足，满足本项目采购需求计5分；评审内容每缺一项扣2.5分，扣完为止；配备材料不合理、与项目特点不匹配，存在缺陷的每任意一项缺陷扣0.5分，扣完为止。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突发事件管理方案</w:t>
            </w:r>
          </w:p>
        </w:tc>
        <w:tc>
          <w:tcPr>
            <w:tcW w:type="dxa" w:w="2492"/>
          </w:tcPr>
          <w:p>
            <w:pPr>
              <w:pStyle w:val="null3"/>
            </w:pPr>
            <w:r>
              <w:rPr>
                <w:rFonts w:ascii="仿宋_GB2312" w:hAnsi="仿宋_GB2312" w:cs="仿宋_GB2312" w:eastAsia="仿宋_GB2312"/>
              </w:rPr>
              <w:t>一、评审内容：针对本项目提供突发事件管理方案，包括①项目关键技术点、服务实施难点分析及对应的解决方案；②各类不可预期风险以及各类临时性、紧急性应急保障任务的理解评估以及所采取的应对措施；③风险控制方法及应对措施；④特殊时段（重大活动、迎检等）及其他特殊情况的应急保障方案。 二、评审标准：方案内容完整、全面，切合本项目实际情况及实施要求，内容与要点相符、每个要点均有展开详细的阐述且能够适用于本项目的计6分；评审内容每缺一项扣1.5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根据供应商提供的人员配备进行评审打分 1、项目负责人1人（5分，管理岗）： （1）具有工程类相关专业本科及以上学历得3分，专科学历得1分，其他不得分；（须提供学历证明予以计分） （2）具有类似项目管理经验，提供履历表或项目任命书得2分。 2、项目组成员配备：配备人员至少5人，须提供人员配置清单，内容包含：具体人员姓名、年龄、从业时间、岗位职责及分工、类似项目工作经验）每提供一人完整资料得2分，满分10分。不提供或内容缺项不得分。 备注：以上拟投入人员须提供在本单位的社保缴纳证明，未提供的不得分。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拟投入的设备工具</w:t>
            </w:r>
          </w:p>
        </w:tc>
        <w:tc>
          <w:tcPr>
            <w:tcW w:type="dxa" w:w="2492"/>
          </w:tcPr>
          <w:p>
            <w:pPr>
              <w:pStyle w:val="null3"/>
            </w:pPr>
            <w:r>
              <w:rPr>
                <w:rFonts w:ascii="仿宋_GB2312" w:hAnsi="仿宋_GB2312" w:cs="仿宋_GB2312" w:eastAsia="仿宋_GB2312"/>
              </w:rPr>
              <w:t>供应商针对本项目拟投入设备工具合理、完善，满足本项目实际情况及实施要求，提供维修设备及工具的配备清单，包括维修设备及工具名称、型号、使用年限等，并提供相关证明材料得4分。（注：证明材料包括但不限于自有设备购买发票或租赁合同，未提供证明材料或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维修材料、配件供货渠道</w:t>
            </w:r>
          </w:p>
        </w:tc>
        <w:tc>
          <w:tcPr>
            <w:tcW w:type="dxa" w:w="2492"/>
          </w:tcPr>
          <w:p>
            <w:pPr>
              <w:pStyle w:val="null3"/>
            </w:pPr>
            <w:r>
              <w:rPr>
                <w:rFonts w:ascii="仿宋_GB2312" w:hAnsi="仿宋_GB2312" w:cs="仿宋_GB2312" w:eastAsia="仿宋_GB2312"/>
              </w:rPr>
              <w:t>维修材料、配件供货渠道正规，有质量保证。 供应商提供维修材料、配件供货协议（协议有效期不得短于本项目服务期），每提供1家供货商的供货协议，得2分，最高得6分。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①承诺接受采购人对本项目服务的考核、监督及管理，定期调研采购人对服务质量的满意度并加以改进，确保服务工作的优质高效的得2分，无承诺不得分。 ②承诺对采购人在监督巡查过程中发现的问题，积极响应并能及时给出专业反馈的得2分，无承诺不得分。 ③承诺维修项目中如涉及到在节能环境标志产品清单内产品（例如水龙头、灯、洁具、大小便池、水阀等）时，承诺采用强制节能产品清单中商品的得1分；承诺采用环境标志产品清单中商品的得1分，最高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为了更好的保障本项目的服务质量及项目的顺利实施，供应商根据项目实际情况提供合理化建议或增值服务。内容详细，见解独到，具有较强针对性，有利于本项目实施的，每提供一项得1分，满分4分。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供应商提供自2023年1月1日起至今（以合同签订时间为准）类似项目业绩，响应文件中附有其业绩证明材料，业绩以合同为依据，每提供一份计2分，满分10分。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满足磋商文件要求且最后报价最低的供应商的报价为磋商基准价，其价格分为满分。其他供应商的价格分统一按照下列公式计算： 磋商基准价=1-最高下浮比例 磋商报价得分=[磋商基准价/(1-最后下浮比例）]×价格权值×100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