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版本号：华采FW【2026】04号20260603001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108国道洋县湑水桥改造工程实施轻量化监测及智慧管养服务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华采FW【2026】04号</w:t>
      </w:r>
      <w:r>
        <w:br/>
      </w:r>
      <w:r>
        <w:br/>
      </w:r>
      <w:r>
        <w:br/>
      </w:r>
    </w:p>
    <w:p>
      <w:pPr>
        <w:pStyle w:val="null3"/>
        <w:jc w:val="center"/>
        <w:outlineLvl w:val="2"/>
      </w:pPr>
      <w:r>
        <w:rPr>
          <w:rFonts w:ascii="仿宋_GB2312" w:hAnsi="仿宋_GB2312" w:cs="仿宋_GB2312" w:eastAsia="仿宋_GB2312"/>
          <w:sz w:val="28"/>
          <w:b/>
        </w:rPr>
        <w:t>汉中市公路局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汉中市公路局</w:t>
      </w:r>
      <w:r>
        <w:rPr>
          <w:rFonts w:ascii="仿宋_GB2312" w:hAnsi="仿宋_GB2312" w:cs="仿宋_GB2312" w:eastAsia="仿宋_GB2312"/>
        </w:rPr>
        <w:t>委托，拟对</w:t>
      </w:r>
      <w:r>
        <w:rPr>
          <w:rFonts w:ascii="仿宋_GB2312" w:hAnsi="仿宋_GB2312" w:cs="仿宋_GB2312" w:eastAsia="仿宋_GB2312"/>
        </w:rPr>
        <w:t>108国道洋县湑水桥改造工程实施轻量化监测及智慧管养服务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华采FW【2026】04号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108国道洋县湑水桥改造工程实施轻量化监测及智慧管养服务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湑水桥（桥梁代码G108610723L0180）位于108国道洋县境内K1643+510处，上部结构为28×16.8米钢筋混凝土预制T梁+1×8.75米现浇钢筋混凝土板，下部结构为双柱式墩、钻孔灌注桩基础（直径1米、桩长11.29米）。目前该桥被评定为 4 类危桥，已在限定荷载下进行了交通管控；批复方案为原址拆除新建。新建方案为上部结构采用4×（4×30）米预应力砼（后张）小箱梁+（1×8）米现浇实心板；下部结构采用柱式墩，墩台采用桩基础。改造后桥面宽度维持原桥宽14m；设计荷载等级采用公路－Ⅰ级，并对桥梁两侧引线部分相应进行顺接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 《汉中市政府采购供应商资格承诺函》</w:t>
      </w:r>
    </w:p>
    <w:p>
      <w:pPr>
        <w:pStyle w:val="null3"/>
      </w:pPr>
      <w:r>
        <w:rPr>
          <w:rFonts w:ascii="仿宋_GB2312" w:hAnsi="仿宋_GB2312" w:cs="仿宋_GB2312" w:eastAsia="仿宋_GB2312"/>
        </w:rPr>
        <w:t>3、法定代表人授权委托书：投标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15891621289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汉中市汉台区荔枝路智诚雅居二楼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曾世刚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开户名称：华睿诚项目管理有限公司汉中分公司</w:t>
            </w:r>
          </w:p>
          <w:p>
            <w:pPr>
              <w:pStyle w:val="null3"/>
            </w:pPr>
            <w:r>
              <w:rPr>
                <w:rFonts w:ascii="仿宋_GB2312" w:hAnsi="仿宋_GB2312" w:cs="仿宋_GB2312" w:eastAsia="仿宋_GB2312"/>
              </w:rPr>
              <w:t>开户银行：长安银行汉中兴元路支行</w:t>
            </w:r>
          </w:p>
          <w:p>
            <w:pPr>
              <w:pStyle w:val="null3"/>
            </w:pPr>
            <w:r>
              <w:rPr>
                <w:rFonts w:ascii="仿宋_GB2312" w:hAnsi="仿宋_GB2312" w:cs="仿宋_GB2312" w:eastAsia="仿宋_GB2312"/>
              </w:rPr>
              <w:t>银行账号：8060 6060 1421 002 099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代理服务费收费标准：参照《招标代理服务收费管理暂行办法》所规定的收费标准计取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汉中市公路局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满足采购文件中的服务要求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联系人：曾世刚</w:t>
      </w:r>
    </w:p>
    <w:p>
      <w:pPr>
        <w:pStyle w:val="null3"/>
      </w:pPr>
      <w:r>
        <w:rPr>
          <w:rFonts w:ascii="仿宋_GB2312" w:hAnsi="仿宋_GB2312" w:cs="仿宋_GB2312" w:eastAsia="仿宋_GB2312"/>
        </w:rPr>
        <w:t>联系电话：0916-2533877</w:t>
      </w:r>
    </w:p>
    <w:p>
      <w:pPr>
        <w:pStyle w:val="null3"/>
      </w:pPr>
      <w:r>
        <w:rPr>
          <w:rFonts w:ascii="仿宋_GB2312" w:hAnsi="仿宋_GB2312" w:cs="仿宋_GB2312" w:eastAsia="仿宋_GB2312"/>
        </w:rPr>
        <w:t>地址：汉中市汉台区荔枝路智诚雅居二楼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湑水桥（桥梁代码G108610723L0180）位于108国道洋县境内K1643+510处，上部结构为28×16.8米钢筋混凝土预制T梁+1×8.75米现浇钢筋混凝土板，下部结构为双柱式墩、钻孔灌注桩基础（直径1米、桩长11.29米）。目前该桥被评定为 4 类危桥，已在限定荷载下进行了交通管控；批复方案为原址拆除新建。新建方案为上部结构采用4×（4×30）米预应力砼（后张）小箱梁+（1×8）米现浇实心板；下部结构采用柱式墩，墩台采用桩基础。改造后桥面宽度维持原桥宽14m；设计荷载等级采用公路－Ⅰ级，并对桥梁两侧引线部分相应进行顺接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108国道洋县湑水桥改造工程实施轻量化监测及智慧管养服务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标的名称：108国道洋县湑水桥改造工程实施轻量化监测及智慧管养服务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根据桥梁的变形特征，基于监测预警设备，实现监测数据的自动采集，提升传统数据采集方式。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依托</w:t>
            </w:r>
            <w:r>
              <w:rPr>
                <w:rFonts w:ascii="仿宋_GB2312" w:hAnsi="仿宋_GB2312" w:cs="仿宋_GB2312" w:eastAsia="仿宋_GB2312"/>
                <w:sz w:val="21"/>
              </w:rPr>
              <w:t>5G</w:t>
            </w:r>
            <w:r>
              <w:rPr>
                <w:rFonts w:ascii="仿宋_GB2312" w:hAnsi="仿宋_GB2312" w:cs="仿宋_GB2312" w:eastAsia="仿宋_GB2312"/>
                <w:sz w:val="21"/>
              </w:rPr>
              <w:t>等通信技术实现监测数据的自动传输，提升监测数据传输的时效性、实时性。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依托云计算、大数据和人工智能等新技术，构建灾害智能化监测预警模型，建立桥梁智能化监测预警信息系统，实现监测数据的智能分析，提升监测数据的分析能力。</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构建统一数据库，基于云储存方式实现智能化监测预警各类数据的存储、管理、应用。通过对监测数据的分析，实现对桥梁灾害体的稳定性评价及趋势预测，为桥梁养护工作决策提供技术支持。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车辆荷载监测</w:t>
            </w:r>
          </w:p>
          <w:p>
            <w:pPr>
              <w:pStyle w:val="null3"/>
            </w:pPr>
            <w:r>
              <w:rPr>
                <w:rFonts w:ascii="仿宋_GB2312" w:hAnsi="仿宋_GB2312" w:cs="仿宋_GB2312" w:eastAsia="仿宋_GB2312"/>
                <w:sz w:val="21"/>
              </w:rPr>
              <w:t>桥面上通行的重型车辆是公路桥梁重要的外部荷载风险源。通过对车辆荷载的监测，获取车道车辆空间分布等指标，以此作为评估桥梁运营环境的重要参数。系统通过高清摄像机记录车辆通行情况，记录并辅助运营管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主梁位移</w:t>
            </w:r>
            <w:r>
              <w:rPr>
                <w:rFonts w:ascii="仿宋_GB2312" w:hAnsi="仿宋_GB2312" w:cs="仿宋_GB2312" w:eastAsia="仿宋_GB2312"/>
              </w:rPr>
              <w:t>监测</w:t>
            </w:r>
          </w:p>
          <w:p>
            <w:pPr>
              <w:pStyle w:val="null3"/>
            </w:pPr>
            <w:r>
              <w:rPr>
                <w:rFonts w:ascii="仿宋_GB2312" w:hAnsi="仿宋_GB2312" w:cs="仿宋_GB2312" w:eastAsia="仿宋_GB2312"/>
              </w:rPr>
              <w:t>温度效应、活载超限、汽车制动力、火灾、地震等偶然荷载、结构自身性能退化等因素可能使主梁发生较大位移。</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桥墩倾斜</w:t>
            </w:r>
            <w:r>
              <w:rPr>
                <w:rFonts w:ascii="仿宋_GB2312" w:hAnsi="仿宋_GB2312" w:cs="仿宋_GB2312" w:eastAsia="仿宋_GB2312"/>
              </w:rPr>
              <w:t>监测</w:t>
            </w:r>
          </w:p>
          <w:p>
            <w:pPr>
              <w:pStyle w:val="null3"/>
            </w:pPr>
            <w:r>
              <w:rPr>
                <w:rFonts w:ascii="仿宋_GB2312" w:hAnsi="仿宋_GB2312" w:cs="仿宋_GB2312" w:eastAsia="仿宋_GB2312"/>
              </w:rPr>
              <w:t>下部结构桥墩桩基础淘蚀、冲刷，引起桥墩倾斜、结构变形等，可能引起桥墩倾斜，严重影响桥梁结构安全。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预应力损失监测</w:t>
            </w:r>
          </w:p>
          <w:p>
            <w:pPr>
              <w:pStyle w:val="null3"/>
            </w:pPr>
            <w:r>
              <w:rPr>
                <w:rFonts w:ascii="仿宋_GB2312" w:hAnsi="仿宋_GB2312" w:cs="仿宋_GB2312" w:eastAsia="仿宋_GB2312"/>
              </w:rPr>
              <w:t>预应力筋作为预应力混凝土结构中的主要承载单元，应力状态直接关系到预应力混凝土结构的承载安全和耐久性能。监测钢绞线应力可及时掌握钢绞线受力状态，提前发现应力损失或应力不均匀等问题，从而避免预应力混凝土结构出现过大变形、开裂或失稳等安全隐患；同时，钢绞线应力监测有助于研究预应力混凝土结构的力学性能和行为，为预应力混凝土结构设计和改进提供参考依据，预应力混凝土结构中钢绞线应力实时监测对保证预应力混凝土结构安全、可靠具有十分重要的意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水位</w:t>
            </w:r>
            <w:r>
              <w:rPr>
                <w:rFonts w:ascii="仿宋_GB2312" w:hAnsi="仿宋_GB2312" w:cs="仿宋_GB2312" w:eastAsia="仿宋_GB2312"/>
              </w:rPr>
              <w:t>监测</w:t>
            </w:r>
          </w:p>
          <w:p>
            <w:pPr>
              <w:pStyle w:val="null3"/>
            </w:pPr>
            <w:r>
              <w:rPr>
                <w:rFonts w:ascii="仿宋_GB2312" w:hAnsi="仿宋_GB2312" w:cs="仿宋_GB2312" w:eastAsia="仿宋_GB2312"/>
                <w:sz w:val="21"/>
              </w:rPr>
              <w:t>湑水桥所在河段，暴雨集中，强度大。在施工阶段，钢栈桥及钢板桩围堰设计标准相对较低，</w:t>
            </w:r>
            <w:r>
              <w:rPr>
                <w:rFonts w:ascii="仿宋_GB2312" w:hAnsi="仿宋_GB2312" w:cs="仿宋_GB2312" w:eastAsia="仿宋_GB2312"/>
                <w:sz w:val="21"/>
              </w:rPr>
              <w:t>钢栈桥的设计标高按照近</w:t>
            </w:r>
            <w:r>
              <w:rPr>
                <w:rFonts w:ascii="仿宋_GB2312" w:hAnsi="仿宋_GB2312" w:cs="仿宋_GB2312" w:eastAsia="仿宋_GB2312"/>
                <w:sz w:val="21"/>
              </w:rPr>
              <w:t>5</w:t>
            </w:r>
            <w:r>
              <w:rPr>
                <w:rFonts w:ascii="仿宋_GB2312" w:hAnsi="仿宋_GB2312" w:cs="仿宋_GB2312" w:eastAsia="仿宋_GB2312"/>
                <w:sz w:val="21"/>
              </w:rPr>
              <w:t>年最高水位加</w:t>
            </w:r>
            <w:r>
              <w:rPr>
                <w:rFonts w:ascii="仿宋_GB2312" w:hAnsi="仿宋_GB2312" w:cs="仿宋_GB2312" w:eastAsia="仿宋_GB2312"/>
                <w:sz w:val="21"/>
              </w:rPr>
              <w:t>3.5</w:t>
            </w:r>
            <w:r>
              <w:rPr>
                <w:rFonts w:ascii="仿宋_GB2312" w:hAnsi="仿宋_GB2312" w:cs="仿宋_GB2312" w:eastAsia="仿宋_GB2312"/>
                <w:sz w:val="21"/>
              </w:rPr>
              <w:t>米，有必要对水位进行监测，为安</w:t>
            </w:r>
            <w:r>
              <w:rPr>
                <w:rFonts w:ascii="仿宋_GB2312" w:hAnsi="仿宋_GB2312" w:cs="仿宋_GB2312" w:eastAsia="仿宋_GB2312"/>
                <w:sz w:val="21"/>
              </w:rPr>
              <w:t>全预警提供参考。运营阶段，实时掌握桥梁下方水域的水位变化情况，及时发现安全隐患，为桥梁安全管理提供科学依据。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见采购文件响应方案要求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满足采购文件中的 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资格证明材料内容及格式.docx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 《汉中市政府采购供应商资格承诺函》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资格证明材料内容及格式.docx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依据磋商响应文件所提供的磋商响应服务整体方案的响应程度，按差别赋分：完全满足磋商文件技术参数与性能指标要求，计20分；技术要求一项不满足，扣2分。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详细评审-1、技术参数与性能指标应答表.docx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供应商针对本项目提供项目整体方案，内容包括：①项目概要；②对本项目的理解与分析；③技术方案；④工作流程。 2、评审标准 ①完整性：方案必须全面，对评审内容中的各项要求有详细描述；②可实施性：切合本项目实际情况，提出步骤清晰、合理的方案；③针对性：方案能够紧扣项目实际情况，内容科学合理。 3、赋分标准 ①项目概要：每满足一个评审标准得2分，满分6分；②对本项目的理解与分析：每满足一个评审标准得2分，满分6分；③技术方案：每满足一个评审标准得4分，满分12分；④工作流程：每满足一个评审标准的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详细评审-2、整体服务方案.docx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1、评审内容：供应商对本项目提出合理化建议，内容包括：①本项目工作重难点分析；②对本项目工作重难点提供拟采用的解决方案。 2、评审标准 ①完整性：方案必须全面，对评审内容中的各项要求有详细描述；②可实施性：切合本项目实际情况，提出步骤清晰、合理的方案；③针对性：方案能够紧扣项目实际情况，内容科学合理。 3、赋分标准 ①本项目工作重难点分析：每满足一个评审标准得2.5分，满分5分；②对本项目工作重难点提供拟采用的解决方案：每满足一个评审标准得2分，满分6分。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详细评审-3、合理化建议.docx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1、评审内容：供应商针对本项目组建项目团队。 2、评审标准：依据团队人员专业能力及经验量化评分。 3、赋分标准： ①项目负责人具备高级及以上专业技术职称且1年以上以上科研项目经验（提供职称证书和项目合同（或其它）证明材料），满足正高级专业技术职称得2分，高级专业技术职称得1分；满足1年以及以上科研项目经验得2分，满分4分； ②团队成员（除项目负责人）中具备中级及以上职称或相关专业资质，每提供1名得1分，满分5分； ③团队成员参与过科研项目的（提供合同或其它证明材料），每提供1个证明材料得2分，满分6分。 注：项目负责人及团队人员专业认定标准以职称证书上的专业为准；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详细评审-4、项目团队.docx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1、评审内容：供应商对本项目进行服务承诺。承诺内容包括：①组建不低于5人的专业服务团队；②免费提供不低于一年的专家咨询服务；③提供项目全周期服务保障。 2、评审标准：依据服务承诺书内容进行评分。 3、赋分标准 ①承诺组建5人及以上的专业服务团队，得3分；②承诺免费提供1年及以上的专家咨询服务，得3分；③承诺提供项目全周期服务保障，得3分。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详细评审-5、服务承诺.docx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依据响应文件提供的供应商自2023年1月1日以来相关监测项目证明材料（以合同复印件为准），每提供一份有效业绩得2.5分，本项最高得5分。提供相关证明文件复印件加盖公章。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详细评审-6、类似业绩.docx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评标基准价：满足招标文件要求且投标价格最低的投标报价为评标基准价，其价格分为10分。 其他投标人的价格分统一按照下列公式计算（小数点后保留两位）： 投标报价得分=(评标基准价／投标报价)×10 备注： 1、评分计算保留2位小数，第3位小数四舍五入。 2、评标委员会对满足招标文件实质性要求的投标文件，按照本章规定的评分标准进行打分，并按得分由高到低顺序推荐中标候选人，或根据招标人授权直接确定中标人，但投标报价低于其成本的除外。综合评分相等时，以投标报价低的优先；投标报价也相等的，按技术指标优劣排序。评审得分且最后报价且技术指标得分均相同的，成交候选供应商并列。3、投标报价不完整的，不进入评标基准价的计算，本项得0分。 4、报价超过采购预算或最高限价的，按无效响应处理。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详见附件：资格证明材料内容及格式.docx</w:t>
      </w:r>
    </w:p>
    <w:p>
      <w:pPr>
        <w:pStyle w:val="null3"/>
        <w:ind w:firstLine="960"/>
      </w:pPr>
      <w:r>
        <w:rPr>
          <w:rFonts w:ascii="仿宋_GB2312" w:hAnsi="仿宋_GB2312" w:cs="仿宋_GB2312" w:eastAsia="仿宋_GB2312"/>
        </w:rPr>
        <w:t>详见附件：详细评审-1、技术参数与性能指标应答表.docx</w:t>
      </w:r>
    </w:p>
    <w:p>
      <w:pPr>
        <w:pStyle w:val="null3"/>
        <w:ind w:firstLine="960"/>
      </w:pPr>
      <w:r>
        <w:rPr>
          <w:rFonts w:ascii="仿宋_GB2312" w:hAnsi="仿宋_GB2312" w:cs="仿宋_GB2312" w:eastAsia="仿宋_GB2312"/>
        </w:rPr>
        <w:t>详见附件：详细评审-2、整体服务方案.docx</w:t>
      </w:r>
    </w:p>
    <w:p>
      <w:pPr>
        <w:pStyle w:val="null3"/>
        <w:ind w:firstLine="960"/>
      </w:pPr>
      <w:r>
        <w:rPr>
          <w:rFonts w:ascii="仿宋_GB2312" w:hAnsi="仿宋_GB2312" w:cs="仿宋_GB2312" w:eastAsia="仿宋_GB2312"/>
        </w:rPr>
        <w:t>详见附件：详细评审-3、合理化建议.docx</w:t>
      </w:r>
    </w:p>
    <w:p>
      <w:pPr>
        <w:pStyle w:val="null3"/>
        <w:ind w:firstLine="960"/>
      </w:pPr>
      <w:r>
        <w:rPr>
          <w:rFonts w:ascii="仿宋_GB2312" w:hAnsi="仿宋_GB2312" w:cs="仿宋_GB2312" w:eastAsia="仿宋_GB2312"/>
        </w:rPr>
        <w:t>详见附件：详细评审-4、项目团队.docx</w:t>
      </w:r>
    </w:p>
    <w:p>
      <w:pPr>
        <w:pStyle w:val="null3"/>
        <w:ind w:firstLine="960"/>
      </w:pPr>
      <w:r>
        <w:rPr>
          <w:rFonts w:ascii="仿宋_GB2312" w:hAnsi="仿宋_GB2312" w:cs="仿宋_GB2312" w:eastAsia="仿宋_GB2312"/>
        </w:rPr>
        <w:t>详见附件：详细评审-5、服务承诺.docx</w:t>
      </w:r>
    </w:p>
    <w:p>
      <w:pPr>
        <w:pStyle w:val="null3"/>
        <w:ind w:firstLine="960"/>
      </w:pPr>
      <w:r>
        <w:rPr>
          <w:rFonts w:ascii="仿宋_GB2312" w:hAnsi="仿宋_GB2312" w:cs="仿宋_GB2312" w:eastAsia="仿宋_GB2312"/>
        </w:rPr>
        <w:t>详见附件：详细评审-6、类似业绩.docx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