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版本号：SXZY2026-ZC006-GK20260526002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泾渭工业园市政道路工程代建服务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SXZY2026-ZC006-GK</w:t>
      </w:r>
      <w:r>
        <w:br/>
      </w:r>
      <w:r>
        <w:br/>
      </w:r>
      <w:r>
        <w:br/>
      </w:r>
    </w:p>
    <w:p>
      <w:pPr>
        <w:pStyle w:val="null3"/>
        <w:jc w:val="center"/>
        <w:outlineLvl w:val="2"/>
      </w:pPr>
      <w:r>
        <w:rPr>
          <w:rFonts w:ascii="仿宋_GB2312" w:hAnsi="仿宋_GB2312" w:cs="仿宋_GB2312" w:eastAsia="仿宋_GB2312"/>
          <w:sz w:val="28"/>
          <w:b/>
        </w:rPr>
        <w:t>西安经济技术开发区泾渭新城发展建设管理中心</w:t>
      </w:r>
    </w:p>
    <w:p>
      <w:pPr>
        <w:pStyle w:val="null3"/>
        <w:jc w:val="center"/>
        <w:outlineLvl w:val="2"/>
      </w:pPr>
      <w:r>
        <w:rPr>
          <w:rFonts w:ascii="仿宋_GB2312" w:hAnsi="仿宋_GB2312" w:cs="仿宋_GB2312" w:eastAsia="仿宋_GB2312"/>
          <w:sz w:val="28"/>
          <w:b/>
        </w:rPr>
        <w:t>陕西中易项目管理有限公司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陕西中易项目管理有限公司</w:t>
      </w:r>
      <w:r>
        <w:rPr>
          <w:rFonts w:ascii="仿宋_GB2312" w:hAnsi="仿宋_GB2312" w:cs="仿宋_GB2312" w:eastAsia="仿宋_GB2312"/>
        </w:rPr>
        <w:t>（以下简称“代理机构”）受</w:t>
      </w:r>
      <w:r>
        <w:rPr>
          <w:rFonts w:ascii="仿宋_GB2312" w:hAnsi="仿宋_GB2312" w:cs="仿宋_GB2312" w:eastAsia="仿宋_GB2312"/>
        </w:rPr>
        <w:t>西安经济技术开发区泾渭新城发展建设管理中心</w:t>
      </w:r>
      <w:r>
        <w:rPr>
          <w:rFonts w:ascii="仿宋_GB2312" w:hAnsi="仿宋_GB2312" w:cs="仿宋_GB2312" w:eastAsia="仿宋_GB2312"/>
        </w:rPr>
        <w:t>委托，拟对</w:t>
      </w:r>
      <w:r>
        <w:rPr>
          <w:rFonts w:ascii="仿宋_GB2312" w:hAnsi="仿宋_GB2312" w:cs="仿宋_GB2312" w:eastAsia="仿宋_GB2312"/>
        </w:rPr>
        <w:t>泾渭工业园市政道路工程代建服务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SXZY2026-ZC006-GK</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泾渭工业园市政道路工程代建服务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泾渭工业园市政道路工程代建服务 包含龙跃宫西侧规划路道路工程、龙跃宫南侧规划路道路工程、高刘路(泾渭路-高刘变)市政工程、高刘安置区西侧规划路市政工程4个项目的代建服务工作。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1、授权委托书：法定代表人授权书（附法定代表人身份证复印件及被授权人身份证复印件），（法定代表人直接参加投标，须提供法定代表人身份证明复印件），非法人单位参照执行。</w:t>
      </w:r>
    </w:p>
    <w:p>
      <w:pPr>
        <w:pStyle w:val="null3"/>
      </w:pPr>
      <w:r>
        <w:rPr>
          <w:rFonts w:ascii="仿宋_GB2312" w:hAnsi="仿宋_GB2312" w:cs="仿宋_GB2312" w:eastAsia="仿宋_GB2312"/>
        </w:rPr>
        <w:t>2、信用截图：供应商未被“信用中国”网站（www.creditchina.gov.cn）列入失信被执行人和重大税收违法失信主体，未被中国政府采购网（www.ccgp.gov.cn）列入政府采购严重违法失信行为记录名单；（响应文件解密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西安经济技术开发区泾渭新城发展建设管理中心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西安市高陵区泾渭新城西金路29号泾渭国际中心8楼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029-86061255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陕西中易项目管理有限公司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陕西省西安经济技术开发区尚稷路碧桂园文景府1号楼201室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029-89291292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西安经济技术开发区财政金融局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金老师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029-86538460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采购包1：1,535,000.00元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文件中服务类收费标准计取。 账户名称：陕西中易项目管理有限公司 开户银行：中国建设银行股份有限公司西安经济技术开发区支行 银行账户：61050193004100002355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西安经济技术开发区泾渭新城发展建设管理中心</w:t>
      </w:r>
      <w:r>
        <w:rPr>
          <w:rFonts w:ascii="仿宋_GB2312" w:hAnsi="仿宋_GB2312" w:cs="仿宋_GB2312" w:eastAsia="仿宋_GB2312"/>
        </w:rPr>
        <w:t>和</w:t>
      </w:r>
      <w:r>
        <w:rPr>
          <w:rFonts w:ascii="仿宋_GB2312" w:hAnsi="仿宋_GB2312" w:cs="仿宋_GB2312" w:eastAsia="仿宋_GB2312"/>
        </w:rPr>
        <w:t>陕西中易项目管理有限公司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西安经济技术开发区泾渭新城发展建设管理中心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陕西中易项目管理有限公司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西安经济技术开发区泾渭新城发展建设管理中心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陕西中易项目管理有限公司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按时按质按量安标准完成。</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陕西中易项目管理有限公司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陕西中易项目管理有限公司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陕西中易项目管理有限公司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联系人：吴工</w:t>
      </w:r>
    </w:p>
    <w:p>
      <w:pPr>
        <w:pStyle w:val="null3"/>
      </w:pPr>
      <w:r>
        <w:rPr>
          <w:rFonts w:ascii="仿宋_GB2312" w:hAnsi="仿宋_GB2312" w:cs="仿宋_GB2312" w:eastAsia="仿宋_GB2312"/>
        </w:rPr>
        <w:t>联系电话：029-89291292</w:t>
      </w:r>
    </w:p>
    <w:p>
      <w:pPr>
        <w:pStyle w:val="null3"/>
      </w:pPr>
      <w:r>
        <w:rPr>
          <w:rFonts w:ascii="仿宋_GB2312" w:hAnsi="仿宋_GB2312" w:cs="仿宋_GB2312" w:eastAsia="仿宋_GB2312"/>
        </w:rPr>
        <w:t>地址： 陕西省西安经济技术开发区尚稷路碧桂园文景府1号楼201室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泾渭工业园市政道路工程代建服务 包含龙跃宫西侧规划路道路工程、龙跃宫南侧规划路道路工程、高刘路(泾渭路-高刘变)市政工程、高刘安置区西侧规划路市政工程4个项目的代建服务工作。 （一）高刘路（泾渭路-高刘变）市政工程道路长约685m，宽30m，主要建设内容包括道路、市政管线，交通、照明和绿化以及土方回填工程。总投资约3700万元（以实际审核为准）。根据资源规划局提供的道路红线图，高刘路与泾渭路十字西南角有长约126m的道路范围与南侧西部超导公司现状用地存在重叠。本着尊重历史，实事求是的原则，该道路工程计划按照现状用地界线实施。 （二）高刘安置区西侧规划路市政工程 该道路长约590m，宽20m，主要建设内容包括道路、市政管线，交通、照明和绿化以及土方回填工程。总投资约2000万元（以实际审核为准） （三）龙跃宫西侧规划路道路工程 该段道路长约470m，宽20m，主要建设内容包括道路、雨水、污水、给水、交通、照明、电力排管、绿化工程等。总投资约2086.42万元（以实际审核为准）。 （四）龙跃宫南侧规划路道路工程 该道路长约243m，宽15m，主要建设内容包括道路、雨水、污水、给水、交通、照明、电力排管工程等。总投资约1114.39万元（以实际审核为准）。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1,535,000.00</w:t>
      </w:r>
    </w:p>
    <w:p>
      <w:pPr>
        <w:pStyle w:val="null3"/>
      </w:pPr>
      <w:r>
        <w:rPr>
          <w:rFonts w:ascii="仿宋_GB2312" w:hAnsi="仿宋_GB2312" w:cs="仿宋_GB2312" w:eastAsia="仿宋_GB2312"/>
        </w:rPr>
        <w:t>采购包最高限价（元）: 1,535,000.00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工程代建服务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1,535,000.00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标的名称：工程代建服务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一、基本情况</w:t>
            </w:r>
          </w:p>
          <w:p>
            <w:pPr>
              <w:pStyle w:val="null3"/>
            </w:pPr>
            <w:r>
              <w:rPr>
                <w:rFonts w:ascii="仿宋_GB2312" w:hAnsi="仿宋_GB2312" w:cs="仿宋_GB2312" w:eastAsia="仿宋_GB2312"/>
              </w:rPr>
              <w:t>泾渭工业园市政道路工程代建服务</w:t>
            </w:r>
            <w:r>
              <w:br/>
            </w:r>
            <w:r>
              <w:rPr>
                <w:rFonts w:ascii="仿宋_GB2312" w:hAnsi="仿宋_GB2312" w:cs="仿宋_GB2312" w:eastAsia="仿宋_GB2312"/>
              </w:rPr>
              <w:t xml:space="preserve">  包含龙跃宫西侧规划路道路工程、龙跃宫南侧规划路道路工程、高刘路(泾渭路-高刘变)市政工程、高刘安置区西侧规划路市政工程4个项目的代建服务工作。</w:t>
            </w:r>
            <w:r>
              <w:br/>
            </w:r>
            <w:r>
              <w:rPr>
                <w:rFonts w:ascii="仿宋_GB2312" w:hAnsi="仿宋_GB2312" w:cs="仿宋_GB2312" w:eastAsia="仿宋_GB2312"/>
              </w:rPr>
              <w:t xml:space="preserve">  1、高刘路（泾渭路-高刘变）市政工程道路长约685m，宽30m，主要建设内容包括道路、市政管线，交通、照明和绿化以及土方回填工程。总投资约3700万元（以实际审核为准）。根据资源规划局提供的道路红线图，高刘路与泾渭路十字西南角有长约126m的道路范围与南侧西部超导公司现状用地存在重叠。本着尊重历史，实事求是的原则，该道路工程计划按照现状用地界线实施。</w:t>
            </w:r>
            <w:r>
              <w:br/>
            </w:r>
            <w:r>
              <w:rPr>
                <w:rFonts w:ascii="仿宋_GB2312" w:hAnsi="仿宋_GB2312" w:cs="仿宋_GB2312" w:eastAsia="仿宋_GB2312"/>
              </w:rPr>
              <w:t xml:space="preserve">  2、高刘安置区西侧规划路市政工程</w:t>
            </w:r>
            <w:r>
              <w:br/>
            </w:r>
            <w:r>
              <w:rPr>
                <w:rFonts w:ascii="仿宋_GB2312" w:hAnsi="仿宋_GB2312" w:cs="仿宋_GB2312" w:eastAsia="仿宋_GB2312"/>
              </w:rPr>
              <w:t xml:space="preserve">   该道路长约590m，宽20m，主要建设内容包括道路、市政管线，交通、照明和绿化以及土方回填工程。总投资约2000万元（以实际审核为准）</w:t>
            </w:r>
            <w:r>
              <w:br/>
            </w:r>
            <w:r>
              <w:rPr>
                <w:rFonts w:ascii="仿宋_GB2312" w:hAnsi="仿宋_GB2312" w:cs="仿宋_GB2312" w:eastAsia="仿宋_GB2312"/>
              </w:rPr>
              <w:t xml:space="preserve">  3、龙跃宫西侧规划路道路工程</w:t>
            </w:r>
            <w:r>
              <w:br/>
            </w:r>
            <w:r>
              <w:rPr>
                <w:rFonts w:ascii="仿宋_GB2312" w:hAnsi="仿宋_GB2312" w:cs="仿宋_GB2312" w:eastAsia="仿宋_GB2312"/>
              </w:rPr>
              <w:t xml:space="preserve">   该段道路长约470m，宽20m，主要建设内容包括道路、雨水、污水、给水、交通、照明、电力排管、绿化工程等。总投资约2086.42万元（以实际审核为准）。</w:t>
            </w:r>
            <w:r>
              <w:br/>
            </w:r>
            <w:r>
              <w:rPr>
                <w:rFonts w:ascii="仿宋_GB2312" w:hAnsi="仿宋_GB2312" w:cs="仿宋_GB2312" w:eastAsia="仿宋_GB2312"/>
              </w:rPr>
              <w:t xml:space="preserve">  4、龙跃宫南侧规划路道路工程</w:t>
            </w:r>
            <w:r>
              <w:br/>
            </w:r>
            <w:r>
              <w:rPr>
                <w:rFonts w:ascii="仿宋_GB2312" w:hAnsi="仿宋_GB2312" w:cs="仿宋_GB2312" w:eastAsia="仿宋_GB2312"/>
              </w:rPr>
              <w:t xml:space="preserve">   该道路长约243m，宽15m，主要建设内容包括道路、雨水、污水、给水、交通、照明、电力排管工程等。总投资约1114.39万元（以实际审核为准）。</w:t>
            </w:r>
          </w:p>
          <w:p>
            <w:pPr>
              <w:pStyle w:val="null3"/>
            </w:pPr>
            <w:r>
              <w:rPr>
                <w:rFonts w:ascii="仿宋_GB2312" w:hAnsi="仿宋_GB2312" w:cs="仿宋_GB2312" w:eastAsia="仿宋_GB2312"/>
              </w:rPr>
              <w:t>二、采购内容</w:t>
            </w:r>
          </w:p>
          <w:p>
            <w:pPr>
              <w:pStyle w:val="null3"/>
            </w:pPr>
            <w:r>
              <w:rPr>
                <w:rFonts w:ascii="仿宋_GB2312" w:hAnsi="仿宋_GB2312" w:cs="仿宋_GB2312" w:eastAsia="仿宋_GB2312"/>
              </w:rPr>
              <w:t>1、采购一家代建单位，负责全过程工程项目管理，包括但不限于：以委托人名义按规定办理项目土地、规划、建设等审批手续。</w:t>
            </w:r>
          </w:p>
          <w:p>
            <w:pPr>
              <w:pStyle w:val="null3"/>
            </w:pPr>
            <w:r>
              <w:rPr>
                <w:rFonts w:ascii="仿宋_GB2312" w:hAnsi="仿宋_GB2312" w:cs="仿宋_GB2312" w:eastAsia="仿宋_GB2312"/>
              </w:rPr>
              <w:t>2、代建管理期：自本合同签订之日起，至全部建设项目竣工验收合格、结算完毕、工程建设各种费用付清之日结束。</w:t>
            </w:r>
          </w:p>
          <w:p>
            <w:pPr>
              <w:pStyle w:val="null3"/>
            </w:pPr>
            <w:r>
              <w:rPr>
                <w:rFonts w:ascii="仿宋_GB2312" w:hAnsi="仿宋_GB2312" w:cs="仿宋_GB2312" w:eastAsia="仿宋_GB2312"/>
              </w:rPr>
              <w:t>三、职责要求</w:t>
            </w:r>
          </w:p>
          <w:p>
            <w:pPr>
              <w:pStyle w:val="null3"/>
            </w:pPr>
            <w:r>
              <w:rPr>
                <w:rFonts w:ascii="仿宋_GB2312" w:hAnsi="仿宋_GB2312" w:cs="仿宋_GB2312" w:eastAsia="仿宋_GB2312"/>
              </w:rPr>
              <w:t>1、以项目单位名义办理代建期所需的各项审批和前期手续；</w:t>
            </w:r>
          </w:p>
          <w:p>
            <w:pPr>
              <w:pStyle w:val="null3"/>
            </w:pPr>
            <w:r>
              <w:rPr>
                <w:rFonts w:ascii="仿宋_GB2312" w:hAnsi="仿宋_GB2312" w:cs="仿宋_GB2312" w:eastAsia="仿宋_GB2312"/>
              </w:rPr>
              <w:t>2、按照成交合同约定承担项目全过程管理服务；并依法组织设计、管勘、监理、施工、设备材料供应的招标，负责相关合同的洽谈与签订；</w:t>
            </w:r>
          </w:p>
          <w:p>
            <w:pPr>
              <w:pStyle w:val="null3"/>
            </w:pPr>
            <w:r>
              <w:rPr>
                <w:rFonts w:ascii="仿宋_GB2312" w:hAnsi="仿宋_GB2312" w:cs="仿宋_GB2312" w:eastAsia="仿宋_GB2312"/>
              </w:rPr>
              <w:t>3、对项目投资、质量、建设进度、安全、环保等进行全过程管理并承担责任；</w:t>
            </w:r>
          </w:p>
          <w:p>
            <w:pPr>
              <w:pStyle w:val="null3"/>
            </w:pPr>
            <w:r>
              <w:rPr>
                <w:rFonts w:ascii="仿宋_GB2312" w:hAnsi="仿宋_GB2312" w:cs="仿宋_GB2312" w:eastAsia="仿宋_GB2312"/>
              </w:rPr>
              <w:t>4、组织编制项目设计方案及概算，经委托人审定后分别作为项目投资控制的最高限价及施工图设计依据；招标前组织编制项目其他费用（设计、管勘、监理、勘察、检测等）的上限控制价报委托人备案。</w:t>
            </w:r>
          </w:p>
          <w:p>
            <w:pPr>
              <w:pStyle w:val="null3"/>
            </w:pPr>
            <w:r>
              <w:rPr>
                <w:rFonts w:ascii="仿宋_GB2312" w:hAnsi="仿宋_GB2312" w:cs="仿宋_GB2312" w:eastAsia="仿宋_GB2312"/>
              </w:rPr>
              <w:t>5、负责按批准的设计方案确定的建设规模、内容、标准组织实施项目建设，经主管部门审核通过的设计图纸以及工程量清单在施工和结算过程中不允许变更和签证。</w:t>
            </w:r>
          </w:p>
          <w:p>
            <w:pPr>
              <w:pStyle w:val="null3"/>
            </w:pPr>
            <w:r>
              <w:rPr>
                <w:rFonts w:ascii="仿宋_GB2312" w:hAnsi="仿宋_GB2312" w:cs="仿宋_GB2312" w:eastAsia="仿宋_GB2312"/>
              </w:rPr>
              <w:t>6、协助项目单位按项目进度提出年度投资计划和年度支出预算，按季度向项目单位报告工程进度和资金使用情况；</w:t>
            </w:r>
          </w:p>
          <w:p>
            <w:pPr>
              <w:pStyle w:val="null3"/>
            </w:pPr>
            <w:r>
              <w:rPr>
                <w:rFonts w:ascii="仿宋_GB2312" w:hAnsi="仿宋_GB2312" w:cs="仿宋_GB2312" w:eastAsia="仿宋_GB2312"/>
              </w:rPr>
              <w:t>7、负责对施工过程中的分部分项工程进行验收，组织建设项目竣工验收工作中的初步验收和向相关行政主管部门申请专项验收，并报送竣工验收申请、办理相关手续；</w:t>
            </w:r>
          </w:p>
          <w:p>
            <w:pPr>
              <w:pStyle w:val="null3"/>
            </w:pPr>
            <w:r>
              <w:rPr>
                <w:rFonts w:ascii="仿宋_GB2312" w:hAnsi="仿宋_GB2312" w:cs="仿宋_GB2312" w:eastAsia="仿宋_GB2312"/>
              </w:rPr>
              <w:t>8、编制项目竣工财务决算，通过项目单位报项目主管部门审批，按照批准的固定资产价值向项目单位移交固定资产，并据实移交其他资产；</w:t>
            </w:r>
          </w:p>
          <w:p>
            <w:pPr>
              <w:pStyle w:val="null3"/>
            </w:pPr>
            <w:r>
              <w:rPr>
                <w:rFonts w:ascii="仿宋_GB2312" w:hAnsi="仿宋_GB2312" w:cs="仿宋_GB2312" w:eastAsia="仿宋_GB2312"/>
              </w:rPr>
              <w:t>9、整理汇编移交项目全过程资料资料（包含项目全过程手续办理资料及项目实施过程以及验收资料）；</w:t>
            </w:r>
          </w:p>
          <w:p>
            <w:pPr>
              <w:pStyle w:val="null3"/>
            </w:pPr>
            <w:r>
              <w:rPr>
                <w:rFonts w:ascii="仿宋_GB2312" w:hAnsi="仿宋_GB2312" w:cs="仿宋_GB2312" w:eastAsia="仿宋_GB2312"/>
              </w:rPr>
              <w:t>10、配合项目单位接受审计、巡视、中期评估以及其他涉及项目监管的有关工作。</w:t>
            </w:r>
          </w:p>
          <w:p>
            <w:pPr>
              <w:pStyle w:val="null3"/>
            </w:pPr>
            <w:r>
              <w:rPr>
                <w:rFonts w:ascii="仿宋_GB2312" w:hAnsi="仿宋_GB2312" w:cs="仿宋_GB2312" w:eastAsia="仿宋_GB2312"/>
              </w:rPr>
              <w:t>四、服务要求</w:t>
            </w:r>
          </w:p>
          <w:p>
            <w:pPr>
              <w:pStyle w:val="null3"/>
            </w:pPr>
            <w:r>
              <w:rPr>
                <w:rFonts w:ascii="仿宋_GB2312" w:hAnsi="仿宋_GB2312" w:cs="仿宋_GB2312" w:eastAsia="仿宋_GB2312"/>
              </w:rPr>
              <w:t>1、工程质量标准：符合国家工程质量标准合格要求。</w:t>
            </w:r>
          </w:p>
          <w:p>
            <w:pPr>
              <w:pStyle w:val="null3"/>
            </w:pPr>
            <w:r>
              <w:rPr>
                <w:rFonts w:ascii="仿宋_GB2312" w:hAnsi="仿宋_GB2312" w:cs="仿宋_GB2312" w:eastAsia="仿宋_GB2312"/>
              </w:rPr>
              <w:t>2、安全目标：负责管理项目全过程实施中无重大安全事故，并达到省级安全文明施工标准。</w:t>
            </w:r>
          </w:p>
          <w:p>
            <w:pPr>
              <w:pStyle w:val="null3"/>
            </w:pPr>
            <w:r>
              <w:rPr>
                <w:rFonts w:ascii="仿宋_GB2312" w:hAnsi="仿宋_GB2312" w:cs="仿宋_GB2312" w:eastAsia="仿宋_GB2312"/>
              </w:rPr>
              <w:t>3、验收标准：代建项目建成后，乙方按国家有关规定组织竣工验收。</w:t>
            </w:r>
          </w:p>
          <w:p>
            <w:pPr>
              <w:pStyle w:val="null3"/>
            </w:pPr>
            <w:r>
              <w:rPr>
                <w:rFonts w:ascii="仿宋_GB2312" w:hAnsi="仿宋_GB2312" w:cs="仿宋_GB2312" w:eastAsia="仿宋_GB2312"/>
              </w:rPr>
              <w:t>4、档案及合同管理：乙方根据具体项目需求建立健全的档案库，项目整体验收合格后向甲方办理移交手续时，一并将工程档案、财务档案、采购合同及相关资料向甲方和有关部门移交。</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满足项目所需人员配置要求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满足项目所需设施设备要求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自合同签订之日起至项目竣工验收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陕西省西安市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参照《财政部关于进一步加强政府采购需求和履约验收管理的指导意见》(财库(2016) 205号)。经上级相关部门组织验收。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进度款，代建项目施工招标完成，施工合同签订，达到付款条件起14个工作日内，支付合同总金额的35.0%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进度款，竣工验收通过，达到付款条件起14个工作日内，支付合同总金额的45.0%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进度款，项目竣工结算报告审核完成，达到付款条件起14个工作日内，支付合同总金额的17.0%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进度款，项目合规性审计完成，达到付款条件起14个工作日内，支付合同总金额的3.0%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在履行本合同过程中，如甲、乙双方发生争议，协商解决；如双方达不成协议，向具有管辖权的人民法院提起诉讼。</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（1）本项目报价，以财政部财建〔2016〕504 号文《基本建设项目建设成本管理规定》 为计费依据，并由投标人自主下浮。（2）本项目共包含四条道路，按各道路实际投资额分别结合下浮比例结算，四条路投资额不进行合并计算。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供应商需在项目电子化交易系统中按要求填写《投标函》完成承诺并进行电子签章并提供：（1）提供合格有效的法人或者其他组织的营业执照等证明文件，自然人的身份证明； （2）财务状况报告：提供2024年度或2025年度的财务审计报告（至少包括资产负债表和利润表，成立时间至提交响应文件截止时间不足一年的可提供成立后任意时段的资产负债表），或其基本存款账户开户银行出具的资信证明及基本存款账户开户许可证（基本存款账户信息）或信用担保机构出具的投标担保函； （3）税收缴纳证明：提供响应文件递交截止时间前一年内已缴纳的至少一个月的纳税证明或完税证明（任意税种），依法免税的单位应提供相关证明材料； （4）社会保障资金缴纳证明：提供响应文件递交截止时间前一年内已缴存的至少一个月的社会保障资金缴存单据或社保机构开具的社会保险参保缴费情况证明，依法不需要缴纳社会保障资金的单位应提供相关证明材料； （5）承诺：提供具有履行合同所必需的设备和专业技术能力的承诺； （6）参加政府采购活动前3年内，在经营活动中没有重大违法记录的书面声明。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法定代表人授权书（附法定代表人身份证复印件及被授权人身份证复印件），（法定代表人直接参加投标，须提供法定代表人身份证明复印件），非法人单位参照执行。</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响应文件解密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投标文件签署、盖章均按招标文件要求签字、盖章。</w:t>
            </w:r>
          </w:p>
        </w:tc>
        <w:tc>
          <w:tcPr>
            <w:tcW w:type="dxa" w:w="1661"/>
          </w:tcPr>
          <w:p>
            <w:pPr>
              <w:pStyle w:val="null3"/>
            </w:pPr>
            <w:r>
              <w:rPr>
                <w:rFonts w:ascii="仿宋_GB2312" w:hAnsi="仿宋_GB2312" w:cs="仿宋_GB2312" w:eastAsia="仿宋_GB2312"/>
              </w:rPr>
              <w:t>开标一览表 服务内容及服务邀请应答表 供应商应提交的相关资格证明材料.docx 投标函 中小企业声明函 残疾人福利性单位声明函 商务应答表 服务方案 标的清单 投标文件封面 开标一览表2.docx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开标一览表 服务内容及服务邀请应答表 供应商应提交的相关资格证明材料.docx 投标函 中小企业声明函 残疾人福利性单位声明函 商务应答表 服务方案 标的清单 投标文件封面 开标一览表2.docx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报价形式符合招标文件要求。</w:t>
            </w:r>
          </w:p>
        </w:tc>
        <w:tc>
          <w:tcPr>
            <w:tcW w:type="dxa" w:w="1661"/>
          </w:tcPr>
          <w:p>
            <w:pPr>
              <w:pStyle w:val="null3"/>
            </w:pPr>
            <w:r>
              <w:rPr>
                <w:rFonts w:ascii="仿宋_GB2312" w:hAnsi="仿宋_GB2312" w:cs="仿宋_GB2312" w:eastAsia="仿宋_GB2312"/>
              </w:rPr>
              <w:t>开标一览表 标的清单 开标一览表2.docx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从提交投标文件的截止之日起不少于90天。</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自合同签订之日起至项目竣工验收。</w:t>
            </w:r>
          </w:p>
        </w:tc>
        <w:tc>
          <w:tcPr>
            <w:tcW w:type="dxa" w:w="1661"/>
          </w:tcPr>
          <w:p>
            <w:pPr>
              <w:pStyle w:val="null3"/>
            </w:pPr>
            <w:r>
              <w:rPr>
                <w:rFonts w:ascii="仿宋_GB2312" w:hAnsi="仿宋_GB2312" w:cs="仿宋_GB2312" w:eastAsia="仿宋_GB2312"/>
              </w:rPr>
              <w:t>服务方案 标的清单 开标一览表2.docx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全过程实施管理方案</w:t>
            </w:r>
          </w:p>
        </w:tc>
        <w:tc>
          <w:tcPr>
            <w:tcW w:type="dxa" w:w="2492"/>
          </w:tcPr>
          <w:p>
            <w:pPr>
              <w:pStyle w:val="null3"/>
            </w:pPr>
            <w:r>
              <w:rPr>
                <w:rFonts w:ascii="仿宋_GB2312" w:hAnsi="仿宋_GB2312" w:cs="仿宋_GB2312" w:eastAsia="仿宋_GB2312"/>
              </w:rPr>
              <w:t>评审内容 ：①管理理念②管理优势③全过程管理目标④管理标准⑤全过程管理工作流程。以上内容全面详细、阐述条理清晰详尽、符合本项目采购需求得10分，评审内容每缺一项扣2分,评审内容有缺陷（缺陷是指：内容粗略、逻辑混乱、描述过于简单、与项目特点不匹配、凭空编造、逻辑漏洞、出现常识性错误、存在不适用项目实际情况的情形或只有标题没有实质性内容等）的扣1分，扣完为止。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组织协调方案</w:t>
            </w:r>
          </w:p>
        </w:tc>
        <w:tc>
          <w:tcPr>
            <w:tcW w:type="dxa" w:w="2492"/>
          </w:tcPr>
          <w:p>
            <w:pPr>
              <w:pStyle w:val="null3"/>
            </w:pPr>
            <w:r>
              <w:rPr>
                <w:rFonts w:ascii="仿宋_GB2312" w:hAnsi="仿宋_GB2312" w:cs="仿宋_GB2312" w:eastAsia="仿宋_GB2312"/>
              </w:rPr>
              <w:t>评审内容：①项目全过程组织方案②手续办理方案③协调信息传达方案。提供相对应实施方案方案全面、实施步骤清晰、合理完全符合项目需求得9分，评审内容每缺一项扣3分,评审内容有缺陷（缺陷是指：内容粗略、逻辑混乱、描述过于简单、与项目特点不匹配、凭空编造、逻辑漏洞、出现常识性错误、存在不适用项目实际情况的情形或只有标题没有实质性内容等）的扣1分，扣完为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进度管理保障措施</w:t>
            </w:r>
          </w:p>
        </w:tc>
        <w:tc>
          <w:tcPr>
            <w:tcW w:type="dxa" w:w="2492"/>
          </w:tcPr>
          <w:p>
            <w:pPr>
              <w:pStyle w:val="null3"/>
            </w:pPr>
            <w:r>
              <w:rPr>
                <w:rFonts w:ascii="仿宋_GB2312" w:hAnsi="仿宋_GB2312" w:cs="仿宋_GB2312" w:eastAsia="仿宋_GB2312"/>
              </w:rPr>
              <w:t>评审内容：①进度计划图②进度保障管理措施③工期保障措施。方案各部分内容全面详细、阐述条理清晰详尽、符合本项目采购需求得9分，评审内容每缺一项扣3分,评审内容有缺陷（缺陷是指：内容粗略、逻辑混乱、描述过于简单、与项目特点不匹配、凭空编造、逻辑漏洞、出现常识性错误、存在不适用项目实际情况的情形或只有标题没有实质性内容等）的扣1分，扣完为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项目质量管理</w:t>
            </w:r>
          </w:p>
        </w:tc>
        <w:tc>
          <w:tcPr>
            <w:tcW w:type="dxa" w:w="2492"/>
          </w:tcPr>
          <w:p>
            <w:pPr>
              <w:pStyle w:val="null3"/>
            </w:pPr>
            <w:r>
              <w:rPr>
                <w:rFonts w:ascii="仿宋_GB2312" w:hAnsi="仿宋_GB2312" w:cs="仿宋_GB2312" w:eastAsia="仿宋_GB2312"/>
              </w:rPr>
              <w:t>评审内容：①监督抽查措施②验收管理③全过程质量管理。方案各部分内容全面详细、阐述条理清晰详尽、措施到位、符合本项目采购需求得9分；评审内容每缺一项扣3分,评审内容有缺陷（缺陷是指：内容粗略、逻辑混乱、描述过于简单、与项目特点不匹配、凭空编造、逻辑漏洞、出现常识性错误、存在不适用项目实际情况的情形或只有标题没有实质性内容等）的扣1分，扣完为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安全及施工环保管理措施</w:t>
            </w:r>
          </w:p>
        </w:tc>
        <w:tc>
          <w:tcPr>
            <w:tcW w:type="dxa" w:w="2492"/>
          </w:tcPr>
          <w:p>
            <w:pPr>
              <w:pStyle w:val="null3"/>
            </w:pPr>
            <w:r>
              <w:rPr>
                <w:rFonts w:ascii="仿宋_GB2312" w:hAnsi="仿宋_GB2312" w:cs="仿宋_GB2312" w:eastAsia="仿宋_GB2312"/>
              </w:rPr>
              <w:t>评审内容：①安全文明管理措施②环境保护管理措施。 方案各部分内容全面详细、阐述条理清晰详尽、符合本项目采购需求得6分；评审内容每缺一项扣3分,评审内容有缺陷（缺陷是指：内容粗略、逻辑混乱、描述过于简单、与项目特点不匹配、凭空编造、逻辑漏洞、出现常识性错误、存在不适用项目实际情况的情形或只有标题没有实质性内容等）的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①服务标准②服务范围③服务内容。服务承诺明确、承诺据实可行得6分；承诺内容每缺一项扣2分,承诺内容有缺陷（缺陷是指：内容粗略、逻辑混乱、描述过于简单、与项目特点不匹配、凭空编造、逻辑漏洞、出现常识性错误、存在不适用项目实际情况的情形或只有标题没有实质性内容等）的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投资与成本控制</w:t>
            </w:r>
          </w:p>
        </w:tc>
        <w:tc>
          <w:tcPr>
            <w:tcW w:type="dxa" w:w="2492"/>
          </w:tcPr>
          <w:p>
            <w:pPr>
              <w:pStyle w:val="null3"/>
            </w:pPr>
            <w:r>
              <w:rPr>
                <w:rFonts w:ascii="仿宋_GB2312" w:hAnsi="仿宋_GB2312" w:cs="仿宋_GB2312" w:eastAsia="仿宋_GB2312"/>
              </w:rPr>
              <w:t>评审内容：①投资管理②成本管控。管理方案明确、承诺据实可行得6分；承诺内容每缺一项扣3分,承诺内容有缺陷（缺陷是指：内容粗略、逻辑混乱、描述过于简单、与项目特点不匹配、凭空编造、逻辑漏洞、出现常识性错误、存在不适用项目实际情况的情形或只有标题没有实质性内容等）的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内部管理及档案管理制度</w:t>
            </w:r>
          </w:p>
        </w:tc>
        <w:tc>
          <w:tcPr>
            <w:tcW w:type="dxa" w:w="2492"/>
          </w:tcPr>
          <w:p>
            <w:pPr>
              <w:pStyle w:val="null3"/>
            </w:pPr>
            <w:r>
              <w:rPr>
                <w:rFonts w:ascii="仿宋_GB2312" w:hAnsi="仿宋_GB2312" w:cs="仿宋_GB2312" w:eastAsia="仿宋_GB2312"/>
              </w:rPr>
              <w:t>评审内容：①内部考核制度②档案管理制度③合同签订及管理制度。管理方案明确、承诺据实可行得9分；承诺内容每缺一项扣3分,承诺内容有缺陷（缺陷是指：内容粗略、逻辑混乱、描述过于简单、与项目特点不匹配、凭空编造、逻辑漏洞、出现常识性错误、存在不适用项目实际情况的情形或只有标题没有实质性内容等）的扣1分，扣完为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采购及资金管理</w:t>
            </w:r>
          </w:p>
        </w:tc>
        <w:tc>
          <w:tcPr>
            <w:tcW w:type="dxa" w:w="2492"/>
          </w:tcPr>
          <w:p>
            <w:pPr>
              <w:pStyle w:val="null3"/>
            </w:pPr>
            <w:r>
              <w:rPr>
                <w:rFonts w:ascii="仿宋_GB2312" w:hAnsi="仿宋_GB2312" w:cs="仿宋_GB2312" w:eastAsia="仿宋_GB2312"/>
              </w:rPr>
              <w:t>评审内容：①设备及材料购置管理②资金使用管理。管理方案明确、承诺据实可行得6分；承诺内容每缺一项扣3分,承诺内容有缺陷（缺陷是指：内容粗略、逻辑混乱、描述过于简单、与项目特点不匹配、凭空编造、逻辑漏洞、出现常识性错误、存在不适用项目实际情况的情形或只有标题没有实质性内容等）的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项目经理： 学历：本科（含）以上得 2 分；大专得 1 分；其他不得分。 职称：高级工程师（含）以上得 2 分；工程师（中级）得1分；其他不得分（提供证书复印件或扫描件加盖公章） 以项目经理身份主持过 1 个类似项目得 2 分（需提供业绩合同，如合同不体现项目负责人姓名的，须提业绩供真实性承诺书）</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项目团队配置：①组织机构设置方案②团队的职能分工及职责划分方案③配置人员经验。机构设置合理、团队人员职责划分明确、分工合理、团队配置满足项目需要，人员经验丰富，专业能力能有效保障项目服务质量，内容描述详细，架构清晰的得9分，评审内容每缺一项扣3分,评审内容有缺陷（缺陷是指：内容粗略、逻辑混乱、描述过于简单、与项目特点不匹配、凭空编造、逻辑漏洞、出现常识性错误、存在不适用项目实际情况的情形或只有标题没有实质性内容等）的扣1分，扣完为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供应商2023年1月1日以来类似项目业绩；每提供1份计1分，最高得5分。业绩证明（以合同或中标/成交通知书为准，须在投标响应文件中附以上证明材料的扫描件加盖单位公章）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实质性满足招标文件要求且投标总价格最低的投标报价为评标基准价，其价格分为满分10分。 投标报价得分=(评标基准价／投标总报价)×价格权值。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详见附件：开标一览表2.docx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详见附件：泾渭工业园市政道路工程委托代建协议.docx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