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版本号：SXZCZB2026-ZCGK-064620260715002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机械力学性能实验室升级项目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SXZCZB2026-ZCGK-0646</w:t>
      </w:r>
      <w:r>
        <w:br/>
      </w:r>
      <w:r>
        <w:br/>
      </w:r>
      <w:r>
        <w:br/>
      </w:r>
    </w:p>
    <w:p>
      <w:pPr>
        <w:pStyle w:val="null3"/>
        <w:jc w:val="center"/>
        <w:outlineLvl w:val="2"/>
      </w:pPr>
      <w:r>
        <w:rPr>
          <w:rFonts w:ascii="仿宋_GB2312" w:hAnsi="仿宋_GB2312" w:cs="仿宋_GB2312" w:eastAsia="仿宋_GB2312"/>
          <w:sz w:val="28"/>
          <w:b/>
        </w:rPr>
        <w:t>宝鸡文理学院</w:t>
      </w:r>
    </w:p>
    <w:p>
      <w:pPr>
        <w:pStyle w:val="null3"/>
        <w:jc w:val="center"/>
        <w:outlineLvl w:val="2"/>
      </w:pPr>
      <w:r>
        <w:rPr>
          <w:rFonts w:ascii="仿宋_GB2312" w:hAnsi="仿宋_GB2312" w:cs="仿宋_GB2312" w:eastAsia="仿宋_GB2312"/>
          <w:sz w:val="28"/>
          <w:b/>
        </w:rPr>
        <w:t>陕西至诚项目管理集团有限公司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陕西至诚项目管理集团有限公司</w:t>
      </w:r>
      <w:r>
        <w:rPr>
          <w:rFonts w:ascii="仿宋_GB2312" w:hAnsi="仿宋_GB2312" w:cs="仿宋_GB2312" w:eastAsia="仿宋_GB2312"/>
        </w:rPr>
        <w:t>（以下简称“代理机构”）受</w:t>
      </w:r>
      <w:r>
        <w:rPr>
          <w:rFonts w:ascii="仿宋_GB2312" w:hAnsi="仿宋_GB2312" w:cs="仿宋_GB2312" w:eastAsia="仿宋_GB2312"/>
        </w:rPr>
        <w:t>宝鸡文理学院</w:t>
      </w:r>
      <w:r>
        <w:rPr>
          <w:rFonts w:ascii="仿宋_GB2312" w:hAnsi="仿宋_GB2312" w:cs="仿宋_GB2312" w:eastAsia="仿宋_GB2312"/>
        </w:rPr>
        <w:t>委托，拟对</w:t>
      </w:r>
      <w:r>
        <w:rPr>
          <w:rFonts w:ascii="仿宋_GB2312" w:hAnsi="仿宋_GB2312" w:cs="仿宋_GB2312" w:eastAsia="仿宋_GB2312"/>
        </w:rPr>
        <w:t>机械力学性能实验室升级项目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SXZCZB2026-ZCGK-0646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机械力学性能实验室升级项目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机械力学性能实验室升级项目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1、营业执照：具有独⽴承担⺠事责任能⼒的法⼈、其他组织或⾃然⼈，并出具合法有效的统⼀社会信⽤代码的营业执照或事业单位法⼈证书等国家规定的相关证明，⾃然⼈参与的提供其⾝份证明；</w:t>
      </w:r>
    </w:p>
    <w:p>
      <w:pPr>
        <w:pStyle w:val="null3"/>
      </w:pPr>
      <w:r>
        <w:rPr>
          <w:rFonts w:ascii="仿宋_GB2312" w:hAnsi="仿宋_GB2312" w:cs="仿宋_GB2312" w:eastAsia="仿宋_GB2312"/>
        </w:rPr>
        <w:t>2、法定代表⼈⾝份证明或授权委托书：提供法定代表⼈授权书（附法定代表⼈、被授权⼈⾝份证复印件），法定代表⼈直接参加投标，须提供法定代表⼈⾝份证明（附法定代表⼈⾝份证复印件）；</w:t>
      </w:r>
    </w:p>
    <w:p>
      <w:pPr>
        <w:pStyle w:val="null3"/>
      </w:pPr>
      <w:r>
        <w:rPr>
          <w:rFonts w:ascii="仿宋_GB2312" w:hAnsi="仿宋_GB2312" w:cs="仿宋_GB2312" w:eastAsia="仿宋_GB2312"/>
        </w:rPr>
        <w:t>3、财务审计报告或资信证明：提供递交2025年度经审计的财务报告（包括“四表一注”，即资产负债表、利润表、现金流量表、所有者权益变动表及其附注，符合《中小企业划型标准规定》的小型企业按照《小企业会计准则》执行。成立时间至提交磋商响应文件截止时间不足一年的可提供成立后任意时段的资产负债表），审计报告须具有注册会计师行业统一监管平台（http://acc.mof.gov.cn）赋予的验证码；或提供其开标前三个月内基本开户银行出具的资信证明；</w:t>
      </w:r>
    </w:p>
    <w:p>
      <w:pPr>
        <w:pStyle w:val="null3"/>
      </w:pPr>
      <w:r>
        <w:rPr>
          <w:rFonts w:ascii="仿宋_GB2312" w:hAnsi="仿宋_GB2312" w:cs="仿宋_GB2312" w:eastAsia="仿宋_GB2312"/>
        </w:rPr>
        <w:t>4、税收缴纳证明：提供递交投标⽂件截⽌⽇前⼀年内已缴纳的⾄少⼀个⽉的纳税证明或完税证明（任意税种），依法免税的单位应提供相关证明材料；</w:t>
      </w:r>
    </w:p>
    <w:p>
      <w:pPr>
        <w:pStyle w:val="null3"/>
      </w:pPr>
      <w:r>
        <w:rPr>
          <w:rFonts w:ascii="仿宋_GB2312" w:hAnsi="仿宋_GB2312" w:cs="仿宋_GB2312" w:eastAsia="仿宋_GB2312"/>
        </w:rPr>
        <w:t>5、社会保障资⾦缴纳证明：提供递交投标⽂件截⽌⽇前⼀年内已缴存的⾄少⼀个⽉的社会保障资⾦缴存单据或社保机构开具的社会保险参保缴费情况证明，依法不需要缴纳社会保障资⾦的单位应提供相关证明材料；</w:t>
      </w:r>
    </w:p>
    <w:p>
      <w:pPr>
        <w:pStyle w:val="null3"/>
      </w:pPr>
      <w:r>
        <w:rPr>
          <w:rFonts w:ascii="仿宋_GB2312" w:hAnsi="仿宋_GB2312" w:cs="仿宋_GB2312" w:eastAsia="仿宋_GB2312"/>
        </w:rPr>
        <w:t>6、履⾏本合同所必需的设备和专业技术能⼒的说明及承诺书：提供具有履⾏本合同所必需的设备和专业技术能⼒的说明及承诺书；</w:t>
      </w:r>
    </w:p>
    <w:p>
      <w:pPr>
        <w:pStyle w:val="null3"/>
      </w:pPr>
      <w:r>
        <w:rPr>
          <w:rFonts w:ascii="仿宋_GB2312" w:hAnsi="仿宋_GB2312" w:cs="仿宋_GB2312" w:eastAsia="仿宋_GB2312"/>
        </w:rPr>
        <w:t>7、供应商信⽤记录书⾯声明函：提供《供应商信⽤记录书⾯声明函》供应商未被列⼊“信⽤中国”⽹站记录的“失信被执⾏⼈”或“重⼤税收违法案件当事⼈”名单；不处于“中国政府采购⽹”记录的“政府采购严重违法失信⾏为信息记录名单”中的禁⽌参加政府采购活动期间；</w:t>
      </w:r>
    </w:p>
    <w:p>
      <w:pPr>
        <w:pStyle w:val="null3"/>
      </w:pPr>
      <w:r>
        <w:rPr>
          <w:rFonts w:ascii="仿宋_GB2312" w:hAnsi="仿宋_GB2312" w:cs="仿宋_GB2312" w:eastAsia="仿宋_GB2312"/>
        </w:rPr>
        <w:t>8、书⾯声明：参加政府采购活动前3年内，在经营活动中没有重⼤违法记录的书⾯声明；</w:t>
      </w:r>
    </w:p>
    <w:p>
      <w:pPr>
        <w:pStyle w:val="null3"/>
      </w:pPr>
      <w:r>
        <w:rPr>
          <w:rFonts w:ascii="仿宋_GB2312" w:hAnsi="仿宋_GB2312" w:cs="仿宋_GB2312" w:eastAsia="仿宋_GB2312"/>
        </w:rPr>
        <w:t>9、控股管理关系：提供直接控股和管理关系清单。若与其他供应商存在单位负责⼈为同⼀⼈或者存在直接控股、管理关系的，则投标⽆效；</w:t>
      </w:r>
    </w:p>
    <w:p>
      <w:pPr>
        <w:pStyle w:val="null3"/>
      </w:pPr>
      <w:r>
        <w:rPr>
          <w:rFonts w:ascii="仿宋_GB2312" w:hAnsi="仿宋_GB2312" w:cs="仿宋_GB2312" w:eastAsia="仿宋_GB2312"/>
        </w:rPr>
        <w:t>10、⾮联合体承诺：本项⽬不接受联合体投标（需提供承诺书）；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宝鸡文理学院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宝鸡市高新大道1号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721000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蔡老师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0917-3566017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陕西至诚项目管理集团有限公司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陕西省西安市经济技术开发区未央路171-1号银池道拉斯财富中心21楼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倪沛、常瑛、王欣玫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029-88219779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金额为基数，中标供应商应向采购代理机构交纳代理服务费，依据国家计委颁发的《招标代理服务收费管理暂行办法》（计价格[2002]1980号）和国家发展和改革委员会办公厅颁发的《关于招标代理服务收费有关问题的通知》（发改办价格[2003]857号）文件确定的收费标准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宝鸡文理学院</w:t>
      </w:r>
      <w:r>
        <w:rPr>
          <w:rFonts w:ascii="仿宋_GB2312" w:hAnsi="仿宋_GB2312" w:cs="仿宋_GB2312" w:eastAsia="仿宋_GB2312"/>
        </w:rPr>
        <w:t>和</w:t>
      </w:r>
      <w:r>
        <w:rPr>
          <w:rFonts w:ascii="仿宋_GB2312" w:hAnsi="仿宋_GB2312" w:cs="仿宋_GB2312" w:eastAsia="仿宋_GB2312"/>
        </w:rPr>
        <w:t>陕西至诚项目管理集团有限公司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宝鸡文理学院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陕西至诚项目管理集团有限公司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宝鸡文理学院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陕西至诚项目管理集团有限公司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联系人：倪沛</w:t>
      </w:r>
    </w:p>
    <w:p>
      <w:pPr>
        <w:pStyle w:val="null3"/>
      </w:pPr>
      <w:r>
        <w:rPr>
          <w:rFonts w:ascii="仿宋_GB2312" w:hAnsi="仿宋_GB2312" w:cs="仿宋_GB2312" w:eastAsia="仿宋_GB2312"/>
        </w:rPr>
        <w:t>联系电话：15902942119</w:t>
      </w:r>
    </w:p>
    <w:p>
      <w:pPr>
        <w:pStyle w:val="null3"/>
      </w:pPr>
      <w:r>
        <w:rPr>
          <w:rFonts w:ascii="仿宋_GB2312" w:hAnsi="仿宋_GB2312" w:cs="仿宋_GB2312" w:eastAsia="仿宋_GB2312"/>
        </w:rPr>
        <w:t>地址：陕西省西安市经济技术开发区未央路171-1号银池道拉斯财富中心21楼</w:t>
      </w:r>
    </w:p>
    <w:p>
      <w:pPr>
        <w:pStyle w:val="null3"/>
      </w:pPr>
      <w:r>
        <w:rPr>
          <w:rFonts w:ascii="仿宋_GB2312" w:hAnsi="仿宋_GB2312" w:cs="仿宋_GB2312" w:eastAsia="仿宋_GB2312"/>
        </w:rPr>
        <w:t>邮编：710012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机械力学性能实验室升级项目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电子万能试验机、动静综合实验装置、单盘金相试样磨抛一体机、金相预磨机、洛氏硬度计等</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标的名称：电子万能试验机、动静综合实验装置、单盘金相试样磨抛一体机、金相预磨机、洛氏硬度计等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66"/>
              <w:gridCol w:w="407"/>
              <w:gridCol w:w="1612"/>
              <w:gridCol w:w="266"/>
            </w:tblGrid>
            <w:tr>
              <w:tc>
                <w:tcPr>
                  <w:tcW w:type="dxa" w:w="2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4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设备或服务名称</w:t>
                  </w:r>
                </w:p>
              </w:tc>
              <w:tc>
                <w:tcPr>
                  <w:tcW w:type="dxa" w:w="16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主要规格</w:t>
                  </w:r>
                </w:p>
              </w:tc>
              <w:tc>
                <w:tcPr>
                  <w:tcW w:type="dxa" w:w="2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r>
            <w:tr>
              <w:tc>
                <w:tcPr>
                  <w:tcW w:type="dxa" w:w="2551"/>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注：带</w:t>
                  </w:r>
                  <w:r>
                    <w:rPr>
                      <w:rFonts w:ascii="仿宋_GB2312" w:hAnsi="仿宋_GB2312" w:cs="仿宋_GB2312" w:eastAsia="仿宋_GB2312"/>
                      <w:sz w:val="24"/>
                      <w:b/>
                    </w:rPr>
                    <w:t>“▲”号条款需提供相关佐证资料，未提供佐证材料或提供的佐证材料低于招标要求时，将在综合评审中予以扣分处理。</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电子万能试验机（核心产品）</w:t>
                  </w:r>
                </w:p>
              </w:tc>
              <w:tc>
                <w:tcPr>
                  <w:tcW w:type="dxa" w:w="16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1最大试验力≥100kN;</w:t>
                  </w:r>
                </w:p>
                <w:p>
                  <w:pPr>
                    <w:pStyle w:val="null3"/>
                    <w:jc w:val="both"/>
                  </w:pPr>
                  <w:r>
                    <w:rPr>
                      <w:rFonts w:ascii="仿宋_GB2312" w:hAnsi="仿宋_GB2312" w:cs="仿宋_GB2312" w:eastAsia="仿宋_GB2312"/>
                      <w:sz w:val="24"/>
                    </w:rPr>
                    <w:t>2试验力测量范围≥0.4%~100%FS ，全程不分档；</w:t>
                  </w:r>
                </w:p>
                <w:p>
                  <w:pPr>
                    <w:pStyle w:val="null3"/>
                    <w:jc w:val="both"/>
                  </w:pPr>
                  <w:r>
                    <w:rPr>
                      <w:rFonts w:ascii="仿宋_GB2312" w:hAnsi="仿宋_GB2312" w:cs="仿宋_GB2312" w:eastAsia="仿宋_GB2312"/>
                      <w:sz w:val="24"/>
                    </w:rPr>
                    <w:t>3 试验力精度等级≥0.5级；</w:t>
                  </w:r>
                </w:p>
                <w:p>
                  <w:pPr>
                    <w:pStyle w:val="null3"/>
                    <w:jc w:val="both"/>
                  </w:pPr>
                  <w:r>
                    <w:rPr>
                      <w:rFonts w:ascii="仿宋_GB2312" w:hAnsi="仿宋_GB2312" w:cs="仿宋_GB2312" w:eastAsia="仿宋_GB2312"/>
                      <w:sz w:val="24"/>
                    </w:rPr>
                    <w:t>4 试验力分辨力：最大试验力≥1/500000；</w:t>
                  </w:r>
                </w:p>
                <w:p>
                  <w:pPr>
                    <w:pStyle w:val="null3"/>
                    <w:jc w:val="both"/>
                  </w:pPr>
                  <w:r>
                    <w:rPr>
                      <w:rFonts w:ascii="仿宋_GB2312" w:hAnsi="仿宋_GB2312" w:cs="仿宋_GB2312" w:eastAsia="仿宋_GB2312"/>
                      <w:sz w:val="24"/>
                    </w:rPr>
                    <w:t>5 力控速率调节范围≥0.005～5% FS/S;</w:t>
                  </w:r>
                </w:p>
                <w:p>
                  <w:pPr>
                    <w:pStyle w:val="null3"/>
                    <w:jc w:val="both"/>
                  </w:pPr>
                  <w:r>
                    <w:rPr>
                      <w:rFonts w:ascii="仿宋_GB2312" w:hAnsi="仿宋_GB2312" w:cs="仿宋_GB2312" w:eastAsia="仿宋_GB2312"/>
                      <w:sz w:val="24"/>
                    </w:rPr>
                    <w:t>6 变形测量范围≥0.2%~100%FS；</w:t>
                  </w:r>
                </w:p>
                <w:p>
                  <w:pPr>
                    <w:pStyle w:val="null3"/>
                    <w:jc w:val="both"/>
                  </w:pPr>
                  <w:r>
                    <w:rPr>
                      <w:rFonts w:ascii="仿宋_GB2312" w:hAnsi="仿宋_GB2312" w:cs="仿宋_GB2312" w:eastAsia="仿宋_GB2312"/>
                      <w:sz w:val="24"/>
                    </w:rPr>
                    <w:t>7变形示值相对误差≥±0.5% 以内；</w:t>
                  </w:r>
                </w:p>
                <w:p>
                  <w:pPr>
                    <w:pStyle w:val="null3"/>
                    <w:jc w:val="both"/>
                  </w:pPr>
                  <w:r>
                    <w:rPr>
                      <w:rFonts w:ascii="仿宋_GB2312" w:hAnsi="仿宋_GB2312" w:cs="仿宋_GB2312" w:eastAsia="仿宋_GB2312"/>
                      <w:sz w:val="24"/>
                    </w:rPr>
                    <w:t>8变形分辨力：最大变形≥1/500000；</w:t>
                  </w:r>
                </w:p>
                <w:p>
                  <w:pPr>
                    <w:pStyle w:val="null3"/>
                    <w:jc w:val="both"/>
                  </w:pPr>
                  <w:r>
                    <w:rPr>
                      <w:rFonts w:ascii="仿宋_GB2312" w:hAnsi="仿宋_GB2312" w:cs="仿宋_GB2312" w:eastAsia="仿宋_GB2312"/>
                      <w:sz w:val="24"/>
                    </w:rPr>
                    <w:t>9变形速率调节范围≥0.02～5%FS/S;</w:t>
                  </w:r>
                </w:p>
                <w:p>
                  <w:pPr>
                    <w:pStyle w:val="null3"/>
                    <w:jc w:val="both"/>
                  </w:pPr>
                  <w:r>
                    <w:rPr>
                      <w:rFonts w:ascii="仿宋_GB2312" w:hAnsi="仿宋_GB2312" w:cs="仿宋_GB2312" w:eastAsia="仿宋_GB2312"/>
                      <w:sz w:val="24"/>
                    </w:rPr>
                    <w:t>10位移示值相对误差±0.5% 以内;</w:t>
                  </w:r>
                </w:p>
                <w:p>
                  <w:pPr>
                    <w:pStyle w:val="null3"/>
                    <w:jc w:val="both"/>
                  </w:pPr>
                  <w:r>
                    <w:rPr>
                      <w:rFonts w:ascii="仿宋_GB2312" w:hAnsi="仿宋_GB2312" w:cs="仿宋_GB2312" w:eastAsia="仿宋_GB2312"/>
                      <w:sz w:val="24"/>
                    </w:rPr>
                    <w:t>11横梁移动速度范围0.001~500mm/min；</w:t>
                  </w:r>
                </w:p>
                <w:p>
                  <w:pPr>
                    <w:pStyle w:val="null3"/>
                    <w:jc w:val="both"/>
                  </w:pPr>
                  <w:r>
                    <w:rPr>
                      <w:rFonts w:ascii="仿宋_GB2312" w:hAnsi="仿宋_GB2312" w:cs="仿宋_GB2312" w:eastAsia="仿宋_GB2312"/>
                      <w:sz w:val="24"/>
                    </w:rPr>
                    <w:t>12横梁速度相对误差：速度低于0.01mm/min，相对误差±1% ，</w:t>
                  </w:r>
                </w:p>
                <w:p>
                  <w:pPr>
                    <w:pStyle w:val="null3"/>
                    <w:jc w:val="both"/>
                  </w:pPr>
                  <w:r>
                    <w:rPr>
                      <w:rFonts w:ascii="仿宋_GB2312" w:hAnsi="仿宋_GB2312" w:cs="仿宋_GB2312" w:eastAsia="仿宋_GB2312"/>
                      <w:sz w:val="24"/>
                    </w:rPr>
                    <w:t>速度高于</w:t>
                  </w:r>
                  <w:r>
                    <w:rPr>
                      <w:rFonts w:ascii="仿宋_GB2312" w:hAnsi="仿宋_GB2312" w:cs="仿宋_GB2312" w:eastAsia="仿宋_GB2312"/>
                      <w:sz w:val="24"/>
                    </w:rPr>
                    <w:t>0.01mm/min，相对误差±0.5% ；</w:t>
                  </w:r>
                </w:p>
                <w:p>
                  <w:pPr>
                    <w:pStyle w:val="null3"/>
                    <w:jc w:val="both"/>
                  </w:pPr>
                  <w:r>
                    <w:rPr>
                      <w:rFonts w:ascii="仿宋_GB2312" w:hAnsi="仿宋_GB2312" w:cs="仿宋_GB2312" w:eastAsia="仿宋_GB2312"/>
                      <w:sz w:val="24"/>
                    </w:rPr>
                    <w:t>13横梁最大移动距离≥1200mm（可根据用户要求加长）；</w:t>
                  </w:r>
                </w:p>
                <w:p>
                  <w:pPr>
                    <w:pStyle w:val="null3"/>
                    <w:jc w:val="both"/>
                  </w:pPr>
                  <w:r>
                    <w:rPr>
                      <w:rFonts w:ascii="仿宋_GB2312" w:hAnsi="仿宋_GB2312" w:cs="仿宋_GB2312" w:eastAsia="仿宋_GB2312"/>
                      <w:sz w:val="24"/>
                    </w:rPr>
                    <w:t>14有效试验宽度≥400mm;</w:t>
                  </w:r>
                </w:p>
                <w:p>
                  <w:pPr>
                    <w:pStyle w:val="null3"/>
                    <w:jc w:val="both"/>
                  </w:pPr>
                  <w:r>
                    <w:rPr>
                      <w:rFonts w:ascii="仿宋_GB2312" w:hAnsi="仿宋_GB2312" w:cs="仿宋_GB2312" w:eastAsia="仿宋_GB2312"/>
                      <w:sz w:val="24"/>
                    </w:rPr>
                    <w:t>15有效拉伸长度：金属辅具≥600mm，非金属辅具≥800mm；</w:t>
                  </w:r>
                </w:p>
                <w:p>
                  <w:pPr>
                    <w:pStyle w:val="null3"/>
                    <w:jc w:val="both"/>
                  </w:pPr>
                  <w:r>
                    <w:rPr>
                      <w:rFonts w:ascii="仿宋_GB2312" w:hAnsi="仿宋_GB2312" w:cs="仿宋_GB2312" w:eastAsia="仿宋_GB2312"/>
                      <w:sz w:val="24"/>
                    </w:rPr>
                    <w:t>16圆试样夹持范围:φ4～9mm、φ9～14mm；</w:t>
                  </w:r>
                </w:p>
                <w:p>
                  <w:pPr>
                    <w:pStyle w:val="null3"/>
                    <w:jc w:val="both"/>
                  </w:pPr>
                  <w:r>
                    <w:rPr>
                      <w:rFonts w:ascii="仿宋_GB2312" w:hAnsi="仿宋_GB2312" w:cs="仿宋_GB2312" w:eastAsia="仿宋_GB2312"/>
                      <w:sz w:val="24"/>
                    </w:rPr>
                    <w:t>17平试样夹持范围宽≥45mm, 厚0～7 mm；</w:t>
                  </w:r>
                </w:p>
                <w:p>
                  <w:pPr>
                    <w:pStyle w:val="null3"/>
                    <w:jc w:val="both"/>
                  </w:pPr>
                  <w:r>
                    <w:rPr>
                      <w:rFonts w:ascii="仿宋_GB2312" w:hAnsi="仿宋_GB2312" w:cs="仿宋_GB2312" w:eastAsia="仿宋_GB2312"/>
                      <w:sz w:val="24"/>
                    </w:rPr>
                    <w:t>测控软件功能特点：</w:t>
                  </w:r>
                </w:p>
                <w:p>
                  <w:pPr>
                    <w:pStyle w:val="null3"/>
                    <w:ind w:firstLine="480"/>
                    <w:jc w:val="both"/>
                  </w:pPr>
                  <w:r>
                    <w:rPr>
                      <w:rFonts w:ascii="仿宋_GB2312" w:hAnsi="仿宋_GB2312" w:cs="仿宋_GB2312" w:eastAsia="仿宋_GB2312"/>
                      <w:sz w:val="24"/>
                    </w:rPr>
                    <w:t>可以配置任意数量的示值显示框，显示的通道、单位、小数点的位数可配置，并可以选择显示框横排或竖排；</w:t>
                  </w:r>
                </w:p>
                <w:p>
                  <w:pPr>
                    <w:pStyle w:val="null3"/>
                    <w:ind w:firstLine="480"/>
                    <w:jc w:val="both"/>
                  </w:pPr>
                  <w:r>
                    <w:rPr>
                      <w:rFonts w:ascii="仿宋_GB2312" w:hAnsi="仿宋_GB2312" w:cs="仿宋_GB2312" w:eastAsia="仿宋_GB2312"/>
                      <w:sz w:val="24"/>
                    </w:rPr>
                    <w:t>试验曲线框的数量从</w:t>
                  </w:r>
                  <w:r>
                    <w:rPr>
                      <w:rFonts w:ascii="仿宋_GB2312" w:hAnsi="仿宋_GB2312" w:cs="仿宋_GB2312" w:eastAsia="仿宋_GB2312"/>
                      <w:sz w:val="24"/>
                    </w:rPr>
                    <w:t>1个到3个可以任意选择，并且有多重曲线框的布局方式可任意切换，曲线框的坐标可任意选择，试验曲线可局部放大显示，并可另存为图片文件；</w:t>
                  </w:r>
                </w:p>
                <w:p>
                  <w:pPr>
                    <w:pStyle w:val="null3"/>
                    <w:ind w:firstLine="480"/>
                    <w:jc w:val="both"/>
                  </w:pPr>
                  <w:r>
                    <w:rPr>
                      <w:rFonts w:ascii="仿宋_GB2312" w:hAnsi="仿宋_GB2312" w:cs="仿宋_GB2312" w:eastAsia="仿宋_GB2312"/>
                      <w:sz w:val="24"/>
                    </w:rPr>
                    <w:t>具有三级管理权限，分别是厂家调试员、管理员、试验员；</w:t>
                  </w:r>
                </w:p>
                <w:p>
                  <w:pPr>
                    <w:pStyle w:val="null3"/>
                    <w:jc w:val="both"/>
                  </w:pPr>
                  <w:r>
                    <w:rPr>
                      <w:rFonts w:ascii="仿宋_GB2312" w:hAnsi="仿宋_GB2312" w:cs="仿宋_GB2312" w:eastAsia="仿宋_GB2312"/>
                      <w:sz w:val="24"/>
                    </w:rPr>
                    <w:t>采用开放式的试验标准配置模式，标配的软件内置有</w:t>
                  </w:r>
                  <w:r>
                    <w:rPr>
                      <w:rFonts w:ascii="仿宋_GB2312" w:hAnsi="仿宋_GB2312" w:cs="仿宋_GB2312" w:eastAsia="仿宋_GB2312"/>
                      <w:sz w:val="24"/>
                    </w:rPr>
                    <w:t>GB/T228.1-2021、GB/T1040-2008、GB/T528-2009等多个试验标准，用户也可以方便增加、删除或修改一个试验标准，控制步骤可根据试验要求自由编辑；</w:t>
                  </w:r>
                </w:p>
                <w:p>
                  <w:pPr>
                    <w:pStyle w:val="null3"/>
                    <w:ind w:firstLine="480"/>
                    <w:jc w:val="both"/>
                  </w:pPr>
                  <w:r>
                    <w:rPr>
                      <w:rFonts w:ascii="仿宋_GB2312" w:hAnsi="仿宋_GB2312" w:cs="仿宋_GB2312" w:eastAsia="仿宋_GB2312"/>
                      <w:sz w:val="24"/>
                    </w:rPr>
                    <w:t>试验结束时能自动计算并保存试验结果数据，如最大力、抗拉强度、屈服强度、非比例延伸强度等，并能在试验曲线上进行特征点的显示；</w:t>
                  </w:r>
                </w:p>
                <w:p>
                  <w:pPr>
                    <w:pStyle w:val="null3"/>
                    <w:ind w:firstLine="480"/>
                    <w:jc w:val="both"/>
                  </w:pPr>
                  <w:r>
                    <w:rPr>
                      <w:rFonts w:ascii="仿宋_GB2312" w:hAnsi="仿宋_GB2312" w:cs="仿宋_GB2312" w:eastAsia="仿宋_GB2312"/>
                      <w:sz w:val="24"/>
                    </w:rPr>
                    <w:t>软件具有试验分析功能，可以对已经完成的试验结果进行数据分析，并可将一组内的多个试验曲线进行叠加对比；采用标准数据库管理试验数据，并可提供联网数据接口；</w:t>
                  </w:r>
                </w:p>
                <w:p>
                  <w:pPr>
                    <w:pStyle w:val="null3"/>
                    <w:ind w:firstLine="480"/>
                    <w:jc w:val="both"/>
                  </w:pPr>
                  <w:r>
                    <w:rPr>
                      <w:rFonts w:ascii="仿宋_GB2312" w:hAnsi="仿宋_GB2312" w:cs="仿宋_GB2312" w:eastAsia="仿宋_GB2312"/>
                      <w:sz w:val="24"/>
                    </w:rPr>
                    <w:t>安全保护：当伺服电机过流、过压、超速时，伺服电机控制器会报警停机；</w:t>
                  </w:r>
                </w:p>
                <w:p>
                  <w:pPr>
                    <w:pStyle w:val="null3"/>
                    <w:ind w:firstLine="480"/>
                    <w:jc w:val="both"/>
                  </w:pPr>
                  <w:r>
                    <w:rPr>
                      <w:rFonts w:ascii="仿宋_GB2312" w:hAnsi="仿宋_GB2312" w:cs="仿宋_GB2312" w:eastAsia="仿宋_GB2312"/>
                      <w:sz w:val="24"/>
                    </w:rPr>
                    <w:t>限位保护：当移动横梁碰触到上、下限位时，移动横梁自动停止移动；</w:t>
                  </w:r>
                </w:p>
                <w:p>
                  <w:pPr>
                    <w:pStyle w:val="null3"/>
                    <w:ind w:firstLine="480"/>
                    <w:jc w:val="both"/>
                  </w:pPr>
                  <w:r>
                    <w:rPr>
                      <w:rFonts w:ascii="仿宋_GB2312" w:hAnsi="仿宋_GB2312" w:cs="仿宋_GB2312" w:eastAsia="仿宋_GB2312"/>
                      <w:sz w:val="24"/>
                    </w:rPr>
                    <w:t>自动停机：试样断裂后，移动横梁自动停止移动；</w:t>
                  </w:r>
                </w:p>
                <w:p>
                  <w:pPr>
                    <w:pStyle w:val="null3"/>
                    <w:ind w:firstLine="480"/>
                    <w:jc w:val="both"/>
                  </w:pPr>
                  <w:r>
                    <w:rPr>
                      <w:rFonts w:ascii="仿宋_GB2312" w:hAnsi="仿宋_GB2312" w:cs="仿宋_GB2312" w:eastAsia="仿宋_GB2312"/>
                      <w:sz w:val="24"/>
                    </w:rPr>
                    <w:t>过载保护：当负荷超过最大值的</w:t>
                  </w:r>
                  <w:r>
                    <w:rPr>
                      <w:rFonts w:ascii="仿宋_GB2312" w:hAnsi="仿宋_GB2312" w:cs="仿宋_GB2312" w:eastAsia="仿宋_GB2312"/>
                      <w:sz w:val="24"/>
                    </w:rPr>
                    <w:t>4%时，移动横梁自动停止移动。</w:t>
                  </w:r>
                </w:p>
              </w:tc>
              <w:tc>
                <w:tcPr>
                  <w:tcW w:type="dxa" w:w="2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5套</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动静综合实验装置</w:t>
                  </w:r>
                </w:p>
              </w:tc>
              <w:tc>
                <w:tcPr>
                  <w:tcW w:type="dxa" w:w="1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5" w:firstLine="386"/>
                    <w:jc w:val="both"/>
                  </w:pPr>
                  <w:r>
                    <w:rPr>
                      <w:rFonts w:ascii="仿宋_GB2312" w:hAnsi="仿宋_GB2312" w:cs="仿宋_GB2312" w:eastAsia="仿宋_GB2312"/>
                      <w:sz w:val="24"/>
                    </w:rPr>
                    <w:t>实验台承载载荷</w:t>
                  </w:r>
                  <w:r>
                    <w:rPr>
                      <w:rFonts w:ascii="仿宋_GB2312" w:hAnsi="仿宋_GB2312" w:cs="仿宋_GB2312" w:eastAsia="仿宋_GB2312"/>
                      <w:sz w:val="24"/>
                    </w:rPr>
                    <w:t>≥10kN（桌面款）</w:t>
                  </w:r>
                </w:p>
                <w:p>
                  <w:pPr>
                    <w:pStyle w:val="null3"/>
                    <w:ind w:left="15" w:firstLine="386"/>
                    <w:jc w:val="both"/>
                  </w:pPr>
                  <w:r>
                    <w:rPr>
                      <w:rFonts w:ascii="仿宋_GB2312" w:hAnsi="仿宋_GB2312" w:cs="仿宋_GB2312" w:eastAsia="仿宋_GB2312"/>
                      <w:sz w:val="24"/>
                    </w:rPr>
                    <w:t>加载机构作用行程</w:t>
                  </w:r>
                  <w:r>
                    <w:rPr>
                      <w:rFonts w:ascii="仿宋_GB2312" w:hAnsi="仿宋_GB2312" w:cs="仿宋_GB2312" w:eastAsia="仿宋_GB2312"/>
                      <w:sz w:val="24"/>
                    </w:rPr>
                    <w:t>≥50mm</w:t>
                  </w:r>
                </w:p>
                <w:p>
                  <w:pPr>
                    <w:pStyle w:val="null3"/>
                    <w:ind w:left="15" w:firstLine="386"/>
                    <w:jc w:val="both"/>
                  </w:pPr>
                  <w:r>
                    <w:rPr>
                      <w:rFonts w:ascii="仿宋_GB2312" w:hAnsi="仿宋_GB2312" w:cs="仿宋_GB2312" w:eastAsia="仿宋_GB2312"/>
                      <w:sz w:val="24"/>
                    </w:rPr>
                    <w:t>加载机构</w:t>
                  </w:r>
                  <w:r>
                    <w:rPr>
                      <w:rFonts w:ascii="仿宋_GB2312" w:hAnsi="仿宋_GB2312" w:cs="仿宋_GB2312" w:eastAsia="仿宋_GB2312"/>
                      <w:sz w:val="24"/>
                    </w:rPr>
                    <w:t>≥3 个独立加载装置</w:t>
                  </w:r>
                </w:p>
                <w:p>
                  <w:pPr>
                    <w:pStyle w:val="null3"/>
                    <w:ind w:left="15" w:firstLine="386"/>
                    <w:jc w:val="both"/>
                  </w:pPr>
                  <w:r>
                    <w:rPr>
                      <w:rFonts w:ascii="仿宋_GB2312" w:hAnsi="仿宋_GB2312" w:cs="仿宋_GB2312" w:eastAsia="仿宋_GB2312"/>
                      <w:sz w:val="24"/>
                    </w:rPr>
                    <w:t>载荷传感器</w:t>
                  </w:r>
                  <w:r>
                    <w:rPr>
                      <w:rFonts w:ascii="仿宋_GB2312" w:hAnsi="仿宋_GB2312" w:cs="仿宋_GB2312" w:eastAsia="仿宋_GB2312"/>
                      <w:sz w:val="24"/>
                    </w:rPr>
                    <w:t>≥5kN（配3只）</w:t>
                  </w:r>
                </w:p>
                <w:p>
                  <w:pPr>
                    <w:pStyle w:val="null3"/>
                    <w:ind w:left="15" w:firstLine="386"/>
                    <w:jc w:val="both"/>
                  </w:pPr>
                  <w:r>
                    <w:rPr>
                      <w:rFonts w:ascii="仿宋_GB2312" w:hAnsi="仿宋_GB2312" w:cs="仿宋_GB2312" w:eastAsia="仿宋_GB2312"/>
                      <w:sz w:val="24"/>
                    </w:rPr>
                    <w:t>手轮加载转矩</w:t>
                  </w:r>
                  <w:r>
                    <w:rPr>
                      <w:rFonts w:ascii="仿宋_GB2312" w:hAnsi="仿宋_GB2312" w:cs="仿宋_GB2312" w:eastAsia="仿宋_GB2312"/>
                      <w:sz w:val="24"/>
                    </w:rPr>
                    <w:t>0～2.6N•m</w:t>
                  </w:r>
                </w:p>
                <w:p>
                  <w:pPr>
                    <w:pStyle w:val="null3"/>
                    <w:ind w:left="15" w:firstLine="386"/>
                    <w:jc w:val="both"/>
                  </w:pPr>
                  <w:r>
                    <w:rPr>
                      <w:rFonts w:ascii="仿宋_GB2312" w:hAnsi="仿宋_GB2312" w:cs="仿宋_GB2312" w:eastAsia="仿宋_GB2312"/>
                      <w:sz w:val="24"/>
                    </w:rPr>
                    <w:t>加载速度</w:t>
                  </w:r>
                  <w:r>
                    <w:rPr>
                      <w:rFonts w:ascii="仿宋_GB2312" w:hAnsi="仿宋_GB2312" w:cs="仿宋_GB2312" w:eastAsia="仿宋_GB2312"/>
                      <w:sz w:val="24"/>
                    </w:rPr>
                    <w:t>≥0.125mm/转（手轮）</w:t>
                  </w:r>
                </w:p>
                <w:p>
                  <w:pPr>
                    <w:pStyle w:val="null3"/>
                    <w:ind w:left="15" w:firstLine="386"/>
                    <w:jc w:val="both"/>
                  </w:pPr>
                  <w:r>
                    <w:rPr>
                      <w:rFonts w:ascii="仿宋_GB2312" w:hAnsi="仿宋_GB2312" w:cs="仿宋_GB2312" w:eastAsia="仿宋_GB2312"/>
                      <w:sz w:val="24"/>
                    </w:rPr>
                    <w:t>外形尺寸</w:t>
                  </w:r>
                  <w:r>
                    <w:rPr>
                      <w:rFonts w:ascii="仿宋_GB2312" w:hAnsi="仿宋_GB2312" w:cs="仿宋_GB2312" w:eastAsia="仿宋_GB2312"/>
                      <w:sz w:val="24"/>
                    </w:rPr>
                    <w:t>(mm)≥ 650（长）×380（宽）×750（高）</w:t>
                  </w:r>
                </w:p>
                <w:p>
                  <w:pPr>
                    <w:pStyle w:val="null3"/>
                    <w:ind w:left="15" w:firstLine="386"/>
                    <w:jc w:val="both"/>
                  </w:pPr>
                  <w:r>
                    <w:rPr>
                      <w:rFonts w:ascii="仿宋_GB2312" w:hAnsi="仿宋_GB2312" w:cs="仿宋_GB2312" w:eastAsia="仿宋_GB2312"/>
                      <w:sz w:val="24"/>
                    </w:rPr>
                    <w:t>基本实验项目</w:t>
                  </w:r>
                </w:p>
                <w:p>
                  <w:pPr>
                    <w:pStyle w:val="null3"/>
                    <w:ind w:firstLine="480"/>
                    <w:jc w:val="both"/>
                  </w:pPr>
                  <w:r>
                    <w:rPr>
                      <w:rFonts w:ascii="仿宋_GB2312" w:hAnsi="仿宋_GB2312" w:cs="仿宋_GB2312" w:eastAsia="仿宋_GB2312"/>
                      <w:sz w:val="24"/>
                    </w:rPr>
                    <w:t>1.纯弯曲梁正应力实验(纯弯曲梁实验仿真软件），（投标文件中提供图片资料佐证）</w:t>
                  </w:r>
                </w:p>
                <w:p>
                  <w:pPr>
                    <w:pStyle w:val="null3"/>
                    <w:ind w:firstLine="480"/>
                    <w:jc w:val="both"/>
                  </w:pPr>
                  <w:r>
                    <w:rPr>
                      <w:rFonts w:ascii="仿宋_GB2312" w:hAnsi="仿宋_GB2312" w:cs="仿宋_GB2312" w:eastAsia="仿宋_GB2312"/>
                      <w:sz w:val="24"/>
                    </w:rPr>
                    <w:t>2.材料弹性常数E、μ测定实验（弹性模量测定实验仿真软件）,（投标文件中提供图片资料佐证）</w:t>
                  </w:r>
                </w:p>
                <w:p>
                  <w:pPr>
                    <w:pStyle w:val="null3"/>
                    <w:ind w:firstLine="480"/>
                    <w:jc w:val="both"/>
                  </w:pPr>
                  <w:r>
                    <w:rPr>
                      <w:rFonts w:ascii="仿宋_GB2312" w:hAnsi="仿宋_GB2312" w:cs="仿宋_GB2312" w:eastAsia="仿宋_GB2312"/>
                      <w:sz w:val="24"/>
                    </w:rPr>
                    <w:t>3.薄壁圆筒弯扭组合主应力测定(弯扭组合变形实验仿真软件）,（投标文件中提供图片资料佐证，）</w:t>
                  </w:r>
                </w:p>
                <w:p>
                  <w:pPr>
                    <w:pStyle w:val="null3"/>
                    <w:ind w:left="15" w:firstLine="386"/>
                    <w:jc w:val="both"/>
                  </w:pPr>
                  <w:r>
                    <w:rPr>
                      <w:rFonts w:ascii="仿宋_GB2312" w:hAnsi="仿宋_GB2312" w:cs="仿宋_GB2312" w:eastAsia="仿宋_GB2312"/>
                      <w:sz w:val="24"/>
                    </w:rPr>
                    <w:t>4.薄壁圆筒受弯扭组合载荷内力素测定</w:t>
                  </w:r>
                </w:p>
                <w:p>
                  <w:pPr>
                    <w:pStyle w:val="null3"/>
                    <w:ind w:firstLine="240"/>
                    <w:jc w:val="both"/>
                  </w:pPr>
                  <w:r>
                    <w:rPr>
                      <w:rFonts w:ascii="仿宋_GB2312" w:hAnsi="仿宋_GB2312" w:cs="仿宋_GB2312" w:eastAsia="仿宋_GB2312"/>
                      <w:sz w:val="24"/>
                    </w:rPr>
                    <w:t>▲5.压杆稳定性实验（一端固支，一端铰支，两端固支，两端铰支在100Hz-500Hz采样频率运行，同时数据在液晶屏显示实时图形，提供图片）压杆稳定仿真软件，（投标文件中提供图片资料佐证）。</w:t>
                  </w:r>
                </w:p>
                <w:p>
                  <w:pPr>
                    <w:pStyle w:val="null3"/>
                    <w:ind w:firstLine="480"/>
                    <w:jc w:val="both"/>
                  </w:pPr>
                  <w:r>
                    <w:rPr>
                      <w:rFonts w:ascii="仿宋_GB2312" w:hAnsi="仿宋_GB2312" w:cs="仿宋_GB2312" w:eastAsia="仿宋_GB2312"/>
                      <w:sz w:val="24"/>
                    </w:rPr>
                    <w:t>6.等强度梁弯曲正应力实验（等强度梁弯曲变形实验仿真软件）（投标文件中提供图片资料佐证）</w:t>
                  </w:r>
                </w:p>
                <w:p>
                  <w:pPr>
                    <w:pStyle w:val="null3"/>
                    <w:ind w:firstLine="480"/>
                    <w:jc w:val="both"/>
                  </w:pPr>
                  <w:r>
                    <w:rPr>
                      <w:rFonts w:ascii="仿宋_GB2312" w:hAnsi="仿宋_GB2312" w:cs="仿宋_GB2312" w:eastAsia="仿宋_GB2312"/>
                      <w:sz w:val="24"/>
                    </w:rPr>
                    <w:t>7.偏心拉伸内力素测定实验</w:t>
                  </w:r>
                </w:p>
                <w:p>
                  <w:pPr>
                    <w:pStyle w:val="null3"/>
                    <w:ind w:firstLine="480"/>
                    <w:jc w:val="both"/>
                  </w:pPr>
                  <w:r>
                    <w:rPr>
                      <w:rFonts w:ascii="仿宋_GB2312" w:hAnsi="仿宋_GB2312" w:cs="仿宋_GB2312" w:eastAsia="仿宋_GB2312"/>
                      <w:sz w:val="24"/>
                    </w:rPr>
                    <w:t>8.电桥应用实验（电桥测试原理仿真软件）（投标文件中提供图片资料佐证）</w:t>
                  </w:r>
                </w:p>
                <w:p>
                  <w:pPr>
                    <w:pStyle w:val="null3"/>
                    <w:ind w:left="15" w:firstLine="386"/>
                    <w:jc w:val="both"/>
                  </w:pPr>
                  <w:r>
                    <w:rPr>
                      <w:rFonts w:ascii="仿宋_GB2312" w:hAnsi="仿宋_GB2312" w:cs="仿宋_GB2312" w:eastAsia="仿宋_GB2312"/>
                      <w:sz w:val="24"/>
                    </w:rPr>
                    <w:t>9.应变片横向效应系数测定实验</w:t>
                  </w:r>
                </w:p>
                <w:p>
                  <w:pPr>
                    <w:pStyle w:val="null3"/>
                    <w:ind w:firstLine="240"/>
                    <w:jc w:val="both"/>
                  </w:pPr>
                  <w:r>
                    <w:rPr>
                      <w:rFonts w:ascii="仿宋_GB2312" w:hAnsi="仿宋_GB2312" w:cs="仿宋_GB2312" w:eastAsia="仿宋_GB2312"/>
                      <w:sz w:val="24"/>
                    </w:rPr>
                    <w:t>10.未知质量测定实验</w:t>
                  </w:r>
                </w:p>
                <w:p>
                  <w:pPr>
                    <w:pStyle w:val="null3"/>
                    <w:ind w:firstLine="240"/>
                    <w:jc w:val="both"/>
                  </w:pPr>
                  <w:r>
                    <w:rPr>
                      <w:rFonts w:ascii="仿宋_GB2312" w:hAnsi="仿宋_GB2312" w:cs="仿宋_GB2312" w:eastAsia="仿宋_GB2312"/>
                      <w:sz w:val="24"/>
                    </w:rPr>
                    <w:t>11.瞬态应变测试实验(波形可在2kHz 频率范围，仪器液晶显示屏动态演示，（投标文件中提供图片资料佐证）</w:t>
                  </w:r>
                </w:p>
                <w:p>
                  <w:pPr>
                    <w:pStyle w:val="null3"/>
                    <w:ind w:firstLine="240"/>
                    <w:jc w:val="both"/>
                  </w:pPr>
                  <w:r>
                    <w:rPr>
                      <w:rFonts w:ascii="仿宋_GB2312" w:hAnsi="仿宋_GB2312" w:cs="仿宋_GB2312" w:eastAsia="仿宋_GB2312"/>
                      <w:sz w:val="24"/>
                    </w:rPr>
                    <w:t>▲12.应变仪测点(通道):≥18 点，具有两个力传感器航空插头输入端，显示屏可单独至少显示 2 个力值，具有≥10 通道界面或≥18 通道界面的双界面显示功能（投标文件中提供图片资料佐证）</w:t>
                  </w:r>
                </w:p>
                <w:p>
                  <w:pPr>
                    <w:pStyle w:val="null3"/>
                    <w:ind w:left="15" w:firstLine="386"/>
                    <w:jc w:val="both"/>
                  </w:pPr>
                  <w:r>
                    <w:rPr>
                      <w:rFonts w:ascii="仿宋_GB2312" w:hAnsi="仿宋_GB2312" w:cs="仿宋_GB2312" w:eastAsia="仿宋_GB2312"/>
                      <w:sz w:val="24"/>
                    </w:rPr>
                    <w:t xml:space="preserve">13.分辨率：其中应变：液晶屏显示≤1με,软件显示≤0.1με，电压：≤1μV，其它测量单位≤0.02%FS  </w:t>
                  </w:r>
                </w:p>
                <w:p>
                  <w:pPr>
                    <w:pStyle w:val="null3"/>
                    <w:ind w:firstLine="240"/>
                    <w:jc w:val="both"/>
                  </w:pPr>
                  <w:r>
                    <w:rPr>
                      <w:rFonts w:ascii="仿宋_GB2312" w:hAnsi="仿宋_GB2312" w:cs="仿宋_GB2312" w:eastAsia="仿宋_GB2312"/>
                      <w:sz w:val="24"/>
                    </w:rPr>
                    <w:t>▲14.灵敏系数设置方式：可单点设置，也可统一设置；参数设置密码控制进入（投标文件中提供图片资料佐证）</w:t>
                  </w:r>
                </w:p>
                <w:p>
                  <w:pPr>
                    <w:pStyle w:val="null3"/>
                    <w:ind w:firstLine="240"/>
                    <w:jc w:val="both"/>
                  </w:pPr>
                  <w:r>
                    <w:rPr>
                      <w:rFonts w:ascii="仿宋_GB2312" w:hAnsi="仿宋_GB2312" w:cs="仿宋_GB2312" w:eastAsia="仿宋_GB2312"/>
                      <w:sz w:val="24"/>
                    </w:rPr>
                    <w:t>▲15.采样频率0.8Hz ～ 2kHz（投标文件中提供图片资料佐证）</w:t>
                  </w:r>
                </w:p>
                <w:p>
                  <w:pPr>
                    <w:pStyle w:val="null3"/>
                    <w:ind w:firstLine="240"/>
                    <w:jc w:val="both"/>
                  </w:pPr>
                  <w:r>
                    <w:rPr>
                      <w:rFonts w:ascii="仿宋_GB2312" w:hAnsi="仿宋_GB2312" w:cs="仿宋_GB2312" w:eastAsia="仿宋_GB2312"/>
                      <w:sz w:val="24"/>
                    </w:rPr>
                    <w:t>▲16.过载报警功能；过载蜂鸣器报警，报警开关设置，报警值随意设置。</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6套</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单盘金相试样磨抛一体机</w:t>
                  </w:r>
                </w:p>
              </w:tc>
              <w:tc>
                <w:tcPr>
                  <w:tcW w:type="dxa" w:w="1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1、设备概述</w:t>
                  </w:r>
                </w:p>
                <w:p>
                  <w:pPr>
                    <w:pStyle w:val="null3"/>
                    <w:ind w:firstLine="480"/>
                    <w:jc w:val="both"/>
                  </w:pPr>
                  <w:r>
                    <w:rPr>
                      <w:rFonts w:ascii="仿宋_GB2312" w:hAnsi="仿宋_GB2312" w:cs="仿宋_GB2312" w:eastAsia="仿宋_GB2312"/>
                      <w:sz w:val="24"/>
                    </w:rPr>
                    <w:t>单盘金相试样磨抛一体机，具有转动平稳、安全可靠、结构紧凑和噪音低等特点。本机带有水冷却装置，可以在研磨时对试样进行冷却，以防止因试样过热而破坏金相组织；适用于对金相试样进行粗磨、半精磨、精磨的制样，供进一步抛光后进行组织的显微测定，是企业、科研单位以及大专院校实验室的理想制样设备。设备具有</w:t>
                  </w:r>
                  <w:r>
                    <w:rPr>
                      <w:rFonts w:ascii="仿宋_GB2312" w:hAnsi="仿宋_GB2312" w:cs="仿宋_GB2312" w:eastAsia="仿宋_GB2312"/>
                      <w:sz w:val="24"/>
                    </w:rPr>
                    <w:t>“压力自动测量”功能：操作者手持试样研磨时，设备可实时显示施加在试样的压力，协助操作者完成高品质的制样效果。</w:t>
                  </w:r>
                </w:p>
                <w:p>
                  <w:pPr>
                    <w:pStyle w:val="null3"/>
                    <w:jc w:val="both"/>
                  </w:pPr>
                  <w:r>
                    <w:rPr>
                      <w:rFonts w:ascii="仿宋_GB2312" w:hAnsi="仿宋_GB2312" w:cs="仿宋_GB2312" w:eastAsia="仿宋_GB2312"/>
                      <w:sz w:val="24"/>
                    </w:rPr>
                    <w:t>2、主要技术参数</w:t>
                  </w:r>
                </w:p>
                <w:p>
                  <w:pPr>
                    <w:pStyle w:val="null3"/>
                    <w:ind w:firstLine="120"/>
                    <w:jc w:val="both"/>
                  </w:pPr>
                  <w:r>
                    <w:rPr>
                      <w:rFonts w:ascii="仿宋_GB2312" w:hAnsi="仿宋_GB2312" w:cs="仿宋_GB2312" w:eastAsia="仿宋_GB2312"/>
                      <w:sz w:val="24"/>
                    </w:rPr>
                    <w:t>a. 机器电源：单相AC220V ，50Hz</w:t>
                  </w:r>
                </w:p>
                <w:p>
                  <w:pPr>
                    <w:pStyle w:val="null3"/>
                    <w:ind w:firstLine="120"/>
                    <w:jc w:val="both"/>
                  </w:pPr>
                  <w:r>
                    <w:rPr>
                      <w:rFonts w:ascii="仿宋_GB2312" w:hAnsi="仿宋_GB2312" w:cs="仿宋_GB2312" w:eastAsia="仿宋_GB2312"/>
                      <w:sz w:val="24"/>
                    </w:rPr>
                    <w:t>b. 输入功率：≥0.75kW</w:t>
                  </w:r>
                </w:p>
                <w:p>
                  <w:pPr>
                    <w:pStyle w:val="null3"/>
                    <w:ind w:firstLine="120"/>
                    <w:jc w:val="both"/>
                  </w:pPr>
                  <w:r>
                    <w:rPr>
                      <w:rFonts w:ascii="仿宋_GB2312" w:hAnsi="仿宋_GB2312" w:cs="仿宋_GB2312" w:eastAsia="仿宋_GB2312"/>
                      <w:sz w:val="24"/>
                    </w:rPr>
                    <w:t>c. 磨抛盘直径：≥φ203mm</w:t>
                  </w:r>
                </w:p>
                <w:p>
                  <w:pPr>
                    <w:pStyle w:val="null3"/>
                    <w:ind w:firstLine="120"/>
                    <w:jc w:val="both"/>
                  </w:pPr>
                  <w:r>
                    <w:rPr>
                      <w:rFonts w:ascii="仿宋_GB2312" w:hAnsi="仿宋_GB2312" w:cs="仿宋_GB2312" w:eastAsia="仿宋_GB2312"/>
                      <w:sz w:val="24"/>
                    </w:rPr>
                    <w:t>d. 制样压力：≥0-60N实时检测显示</w:t>
                  </w:r>
                </w:p>
                <w:p>
                  <w:pPr>
                    <w:pStyle w:val="null3"/>
                    <w:ind w:firstLine="120"/>
                    <w:jc w:val="both"/>
                  </w:pPr>
                  <w:r>
                    <w:rPr>
                      <w:rFonts w:ascii="仿宋_GB2312" w:hAnsi="仿宋_GB2312" w:cs="仿宋_GB2312" w:eastAsia="仿宋_GB2312"/>
                      <w:sz w:val="24"/>
                    </w:rPr>
                    <w:t>e. 磨抛盘转速：≥0-1400r/min （旋钮无级变速）</w:t>
                  </w:r>
                </w:p>
                <w:p>
                  <w:pPr>
                    <w:pStyle w:val="null3"/>
                    <w:ind w:firstLine="120"/>
                    <w:jc w:val="both"/>
                  </w:pPr>
                  <w:r>
                    <w:rPr>
                      <w:rFonts w:ascii="仿宋_GB2312" w:hAnsi="仿宋_GB2312" w:cs="仿宋_GB2312" w:eastAsia="仿宋_GB2312"/>
                      <w:sz w:val="24"/>
                    </w:rPr>
                    <w:t>f. 定速：150/300/700/1400r/min</w:t>
                  </w:r>
                </w:p>
                <w:p>
                  <w:pPr>
                    <w:pStyle w:val="null3"/>
                    <w:ind w:firstLine="120"/>
                    <w:jc w:val="both"/>
                  </w:pPr>
                  <w:r>
                    <w:rPr>
                      <w:rFonts w:ascii="仿宋_GB2312" w:hAnsi="仿宋_GB2312" w:cs="仿宋_GB2312" w:eastAsia="仿宋_GB2312"/>
                      <w:sz w:val="24"/>
                    </w:rPr>
                    <w:t>g. 磨抛盘转向：顺时针、逆时针可调</w:t>
                  </w:r>
                </w:p>
                <w:p>
                  <w:pPr>
                    <w:pStyle w:val="null3"/>
                    <w:ind w:firstLine="120"/>
                    <w:jc w:val="both"/>
                  </w:pPr>
                  <w:r>
                    <w:rPr>
                      <w:rFonts w:ascii="仿宋_GB2312" w:hAnsi="仿宋_GB2312" w:cs="仿宋_GB2312" w:eastAsia="仿宋_GB2312"/>
                      <w:sz w:val="24"/>
                    </w:rPr>
                    <w:t>h. 外形尺寸：≥400×622×295mm</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i. 净重：≥22kg</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2台</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落地式双盘金相预磨机</w:t>
                  </w:r>
                </w:p>
              </w:tc>
              <w:tc>
                <w:tcPr>
                  <w:tcW w:type="dxa" w:w="1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1、设备概述</w:t>
                  </w:r>
                </w:p>
                <w:p>
                  <w:pPr>
                    <w:pStyle w:val="null3"/>
                    <w:ind w:firstLine="240"/>
                    <w:jc w:val="both"/>
                  </w:pPr>
                  <w:r>
                    <w:rPr>
                      <w:rFonts w:ascii="仿宋_GB2312" w:hAnsi="仿宋_GB2312" w:cs="仿宋_GB2312" w:eastAsia="仿宋_GB2312"/>
                      <w:sz w:val="24"/>
                    </w:rPr>
                    <w:t>　在金相试样制备过程中，试样的抛光是一道主要工序，经过磨光的试样，在抛光机上抛光后，可获得光亮如镜的表面，金相试样抛光机是一款经典的抛光设备，它具有传动平稳，噪音小，操作、维修方便等优点，能适合更多种材料的抛光要求。该机适用于厂矿企业、大专院校、科研单位的金相试验室。</w:t>
                  </w:r>
                </w:p>
                <w:p>
                  <w:pPr>
                    <w:pStyle w:val="null3"/>
                    <w:jc w:val="both"/>
                  </w:pPr>
                  <w:r>
                    <w:rPr>
                      <w:rFonts w:ascii="仿宋_GB2312" w:hAnsi="仿宋_GB2312" w:cs="仿宋_GB2312" w:eastAsia="仿宋_GB2312"/>
                      <w:sz w:val="24"/>
                    </w:rPr>
                    <w:t>2、主要技术参数</w:t>
                  </w:r>
                </w:p>
                <w:p>
                  <w:pPr>
                    <w:pStyle w:val="null3"/>
                    <w:ind w:firstLine="240"/>
                    <w:jc w:val="both"/>
                  </w:pPr>
                  <w:r>
                    <w:rPr>
                      <w:rFonts w:ascii="仿宋_GB2312" w:hAnsi="仿宋_GB2312" w:cs="仿宋_GB2312" w:eastAsia="仿宋_GB2312"/>
                      <w:sz w:val="24"/>
                    </w:rPr>
                    <w:t>a. 抛盘直径：≥φ203mm</w:t>
                  </w:r>
                </w:p>
                <w:p>
                  <w:pPr>
                    <w:pStyle w:val="null3"/>
                    <w:ind w:firstLine="240"/>
                    <w:jc w:val="both"/>
                  </w:pPr>
                  <w:r>
                    <w:rPr>
                      <w:rFonts w:ascii="仿宋_GB2312" w:hAnsi="仿宋_GB2312" w:cs="仿宋_GB2312" w:eastAsia="仿宋_GB2312"/>
                      <w:sz w:val="24"/>
                    </w:rPr>
                    <w:t>b. 转速：≥900r/min</w:t>
                  </w:r>
                </w:p>
                <w:p>
                  <w:pPr>
                    <w:pStyle w:val="null3"/>
                    <w:ind w:firstLine="240"/>
                    <w:jc w:val="both"/>
                  </w:pPr>
                  <w:r>
                    <w:rPr>
                      <w:rFonts w:ascii="仿宋_GB2312" w:hAnsi="仿宋_GB2312" w:cs="仿宋_GB2312" w:eastAsia="仿宋_GB2312"/>
                      <w:sz w:val="24"/>
                    </w:rPr>
                    <w:t>c. 输入功率 :≥360W</w:t>
                  </w:r>
                </w:p>
                <w:p>
                  <w:pPr>
                    <w:pStyle w:val="null3"/>
                    <w:ind w:firstLine="240"/>
                    <w:jc w:val="both"/>
                  </w:pPr>
                  <w:r>
                    <w:rPr>
                      <w:rFonts w:ascii="仿宋_GB2312" w:hAnsi="仿宋_GB2312" w:cs="仿宋_GB2312" w:eastAsia="仿宋_GB2312"/>
                      <w:sz w:val="24"/>
                    </w:rPr>
                    <w:t>d. 电源:AC220V 50Hz</w:t>
                  </w:r>
                </w:p>
                <w:p>
                  <w:pPr>
                    <w:pStyle w:val="null3"/>
                    <w:ind w:firstLine="240"/>
                    <w:jc w:val="both"/>
                  </w:pPr>
                  <w:r>
                    <w:rPr>
                      <w:rFonts w:ascii="仿宋_GB2312" w:hAnsi="仿宋_GB2312" w:cs="仿宋_GB2312" w:eastAsia="仿宋_GB2312"/>
                      <w:sz w:val="24"/>
                    </w:rPr>
                    <w:t>e. 外形尺寸：≥888 ×478×915mm</w:t>
                  </w:r>
                </w:p>
                <w:p>
                  <w:pPr>
                    <w:pStyle w:val="null3"/>
                    <w:ind w:firstLine="240"/>
                    <w:jc w:val="both"/>
                  </w:pPr>
                  <w:r>
                    <w:rPr>
                      <w:rFonts w:ascii="仿宋_GB2312" w:hAnsi="仿宋_GB2312" w:cs="仿宋_GB2312" w:eastAsia="仿宋_GB2312"/>
                      <w:sz w:val="24"/>
                    </w:rPr>
                    <w:t>f. 净重 ≥31Kg</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2台</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数显洛氏硬度计</w:t>
                  </w:r>
                </w:p>
              </w:tc>
              <w:tc>
                <w:tcPr>
                  <w:tcW w:type="dxa" w:w="1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1、设备概述</w:t>
                  </w:r>
                </w:p>
                <w:p>
                  <w:pPr>
                    <w:pStyle w:val="null3"/>
                    <w:ind w:firstLine="480"/>
                    <w:jc w:val="both"/>
                  </w:pPr>
                  <w:r>
                    <w:rPr>
                      <w:rFonts w:ascii="仿宋_GB2312" w:hAnsi="仿宋_GB2312" w:cs="仿宋_GB2312" w:eastAsia="仿宋_GB2312"/>
                      <w:sz w:val="24"/>
                    </w:rPr>
                    <w:t>数显洛氏硬度计采用电机驱动自动加载、保荷与卸载，支持</w:t>
                  </w:r>
                  <w:r>
                    <w:rPr>
                      <w:rFonts w:ascii="仿宋_GB2312" w:hAnsi="仿宋_GB2312" w:cs="仿宋_GB2312" w:eastAsia="仿宋_GB2312"/>
                      <w:sz w:val="24"/>
                    </w:rPr>
                    <w:t>15种洛氏硬度标尺，消除手动操作误差。设备搭载双核32位ARM处理器，集成彩色触摸屏与触摸按键双控系统，适应复杂工况。内置ASTM、ISO、GB/T三种硬度转换标准，无需查表即可自动转换。提供单点与多点测量模式，支持200组单点及100组多点数据存储，多点模式下可自动计算最大值、最小值、平均值并生成硬度分布曲线。系统支持12国语言，可独立修正15种标尺，并内置打印机。预试验力加载自动抱死功能可防止过冲，确保测试精准。</w:t>
                  </w:r>
                </w:p>
                <w:p>
                  <w:pPr>
                    <w:pStyle w:val="null3"/>
                    <w:jc w:val="both"/>
                  </w:pPr>
                  <w:r>
                    <w:rPr>
                      <w:rFonts w:ascii="仿宋_GB2312" w:hAnsi="仿宋_GB2312" w:cs="仿宋_GB2312" w:eastAsia="仿宋_GB2312"/>
                      <w:sz w:val="24"/>
                    </w:rPr>
                    <w:t>2、主要技术参数</w:t>
                  </w:r>
                </w:p>
                <w:p>
                  <w:pPr>
                    <w:pStyle w:val="null3"/>
                    <w:ind w:firstLine="240"/>
                    <w:jc w:val="both"/>
                  </w:pPr>
                  <w:r>
                    <w:rPr>
                      <w:rFonts w:ascii="仿宋_GB2312" w:hAnsi="仿宋_GB2312" w:cs="仿宋_GB2312" w:eastAsia="仿宋_GB2312"/>
                      <w:sz w:val="24"/>
                    </w:rPr>
                    <w:t>a. 洛氏标尺：HRA、HRB、HRC、HRD、HRE、HRF、HRG、HRH、HRK、HRL、HRM、HRP、HRR、HRS、HRV</w:t>
                  </w:r>
                </w:p>
                <w:p>
                  <w:pPr>
                    <w:pStyle w:val="null3"/>
                    <w:ind w:firstLine="240"/>
                    <w:jc w:val="both"/>
                  </w:pPr>
                  <w:r>
                    <w:rPr>
                      <w:rFonts w:ascii="仿宋_GB2312" w:hAnsi="仿宋_GB2312" w:cs="仿宋_GB2312" w:eastAsia="仿宋_GB2312"/>
                      <w:sz w:val="24"/>
                    </w:rPr>
                    <w:t>b. 初试验力：≥98.07N（10kgf）自动抱死系统，防止预载荷过冲</w:t>
                  </w:r>
                </w:p>
                <w:p>
                  <w:pPr>
                    <w:pStyle w:val="null3"/>
                    <w:ind w:firstLine="240"/>
                    <w:jc w:val="both"/>
                  </w:pPr>
                  <w:r>
                    <w:rPr>
                      <w:rFonts w:ascii="仿宋_GB2312" w:hAnsi="仿宋_GB2312" w:cs="仿宋_GB2312" w:eastAsia="仿宋_GB2312"/>
                      <w:sz w:val="24"/>
                    </w:rPr>
                    <w:t>c. 总试验力：588.4N（60kgf）980.7N（100kgf）1471N（150kgf)</w:t>
                  </w:r>
                </w:p>
                <w:p>
                  <w:pPr>
                    <w:pStyle w:val="null3"/>
                    <w:ind w:firstLine="240"/>
                    <w:jc w:val="both"/>
                  </w:pPr>
                  <w:r>
                    <w:rPr>
                      <w:rFonts w:ascii="仿宋_GB2312" w:hAnsi="仿宋_GB2312" w:cs="仿宋_GB2312" w:eastAsia="仿宋_GB2312"/>
                      <w:sz w:val="24"/>
                    </w:rPr>
                    <w:t>d. 保荷时间：0-60S可调</w:t>
                  </w:r>
                </w:p>
                <w:p>
                  <w:pPr>
                    <w:pStyle w:val="null3"/>
                    <w:ind w:firstLine="240"/>
                    <w:jc w:val="both"/>
                  </w:pPr>
                  <w:r>
                    <w:rPr>
                      <w:rFonts w:ascii="仿宋_GB2312" w:hAnsi="仿宋_GB2312" w:cs="仿宋_GB2312" w:eastAsia="仿宋_GB2312"/>
                      <w:sz w:val="24"/>
                    </w:rPr>
                    <w:t>e. 显示屏：触摸屏</w:t>
                  </w:r>
                </w:p>
                <w:p>
                  <w:pPr>
                    <w:pStyle w:val="null3"/>
                    <w:ind w:firstLine="240"/>
                    <w:jc w:val="both"/>
                  </w:pPr>
                  <w:r>
                    <w:rPr>
                      <w:rFonts w:ascii="仿宋_GB2312" w:hAnsi="仿宋_GB2312" w:cs="仿宋_GB2312" w:eastAsia="仿宋_GB2312"/>
                      <w:sz w:val="24"/>
                    </w:rPr>
                    <w:t>f. 硬度值分辨率：≥0.1HR</w:t>
                  </w:r>
                </w:p>
                <w:p>
                  <w:pPr>
                    <w:pStyle w:val="null3"/>
                    <w:ind w:firstLine="240"/>
                    <w:jc w:val="both"/>
                  </w:pPr>
                  <w:r>
                    <w:rPr>
                      <w:rFonts w:ascii="仿宋_GB2312" w:hAnsi="仿宋_GB2312" w:cs="仿宋_GB2312" w:eastAsia="仿宋_GB2312"/>
                      <w:sz w:val="24"/>
                    </w:rPr>
                    <w:t>g. 试验力加载方式：自动加载、保荷、卸载</w:t>
                  </w:r>
                </w:p>
                <w:p>
                  <w:pPr>
                    <w:pStyle w:val="null3"/>
                    <w:ind w:firstLine="240"/>
                    <w:jc w:val="both"/>
                  </w:pPr>
                  <w:r>
                    <w:rPr>
                      <w:rFonts w:ascii="仿宋_GB2312" w:hAnsi="仿宋_GB2312" w:cs="仿宋_GB2312" w:eastAsia="仿宋_GB2312"/>
                      <w:sz w:val="24"/>
                    </w:rPr>
                    <w:t>h. 硬度值转换：HRA、HRB、HRC、HRE、HRF、HRG、HRK、HRH、HR15T、HR30T、HR45T、HR15N、HR30N、HR45N、HV0.1、HV1、HV5、HV10、HV15、HV30、HV50、HBS2、HBS10、HBS30、HBW、HK0.5、HK1、HLD、HS、Mpa</w:t>
                  </w:r>
                </w:p>
                <w:p>
                  <w:pPr>
                    <w:pStyle w:val="null3"/>
                    <w:ind w:firstLine="240"/>
                    <w:jc w:val="both"/>
                  </w:pPr>
                  <w:r>
                    <w:rPr>
                      <w:rFonts w:ascii="仿宋_GB2312" w:hAnsi="仿宋_GB2312" w:cs="仿宋_GB2312" w:eastAsia="仿宋_GB2312"/>
                      <w:sz w:val="24"/>
                    </w:rPr>
                    <w:t>i. 语言种类：简体中文、繁体中文、英文、法语、德文、俄语、葡萄牙语、西班牙语、韩语、日语、意大利语、泰语</w:t>
                  </w:r>
                </w:p>
                <w:p>
                  <w:pPr>
                    <w:pStyle w:val="null3"/>
                    <w:ind w:firstLine="240"/>
                    <w:jc w:val="both"/>
                  </w:pPr>
                  <w:r>
                    <w:rPr>
                      <w:rFonts w:ascii="仿宋_GB2312" w:hAnsi="仿宋_GB2312" w:cs="仿宋_GB2312" w:eastAsia="仿宋_GB2312"/>
                      <w:sz w:val="24"/>
                    </w:rPr>
                    <w:t>j. 仪器修正范围：-10.0HR～+10.0HR；步进值01.HR</w:t>
                  </w:r>
                </w:p>
                <w:p>
                  <w:pPr>
                    <w:pStyle w:val="null3"/>
                    <w:ind w:firstLine="240"/>
                    <w:jc w:val="both"/>
                  </w:pPr>
                  <w:r>
                    <w:rPr>
                      <w:rFonts w:ascii="仿宋_GB2312" w:hAnsi="仿宋_GB2312" w:cs="仿宋_GB2312" w:eastAsia="仿宋_GB2312"/>
                      <w:sz w:val="24"/>
                    </w:rPr>
                    <w:t>k. 数据处理：提供200组单个数据存储功能和100组分组数据储存功能，并能提供单个数据查看和数据分析功能</w:t>
                  </w:r>
                </w:p>
                <w:p>
                  <w:pPr>
                    <w:pStyle w:val="null3"/>
                    <w:ind w:firstLine="240"/>
                    <w:jc w:val="both"/>
                  </w:pPr>
                  <w:r>
                    <w:rPr>
                      <w:rFonts w:ascii="仿宋_GB2312" w:hAnsi="仿宋_GB2312" w:cs="仿宋_GB2312" w:eastAsia="仿宋_GB2312"/>
                      <w:sz w:val="24"/>
                    </w:rPr>
                    <w:t>l. 打印配置：内置打印机</w:t>
                  </w:r>
                </w:p>
                <w:p>
                  <w:pPr>
                    <w:pStyle w:val="null3"/>
                    <w:ind w:firstLine="240"/>
                    <w:jc w:val="both"/>
                  </w:pPr>
                  <w:r>
                    <w:rPr>
                      <w:rFonts w:ascii="仿宋_GB2312" w:hAnsi="仿宋_GB2312" w:cs="仿宋_GB2312" w:eastAsia="仿宋_GB2312"/>
                      <w:sz w:val="24"/>
                    </w:rPr>
                    <w:t>m. 试件最大高度：≥170mm</w:t>
                  </w:r>
                </w:p>
                <w:p>
                  <w:pPr>
                    <w:pStyle w:val="null3"/>
                    <w:ind w:firstLine="240"/>
                    <w:jc w:val="both"/>
                  </w:pPr>
                  <w:r>
                    <w:rPr>
                      <w:rFonts w:ascii="仿宋_GB2312" w:hAnsi="仿宋_GB2312" w:cs="仿宋_GB2312" w:eastAsia="仿宋_GB2312"/>
                      <w:sz w:val="24"/>
                    </w:rPr>
                    <w:t>n. 压痕中心至机壁距离：≥118mm</w:t>
                  </w:r>
                </w:p>
                <w:p>
                  <w:pPr>
                    <w:pStyle w:val="null3"/>
                    <w:ind w:firstLine="240"/>
                    <w:jc w:val="both"/>
                  </w:pPr>
                  <w:r>
                    <w:rPr>
                      <w:rFonts w:ascii="仿宋_GB2312" w:hAnsi="仿宋_GB2312" w:cs="仿宋_GB2312" w:eastAsia="仿宋_GB2312"/>
                      <w:sz w:val="24"/>
                    </w:rPr>
                    <w:t>o. 外形尺寸：≥500×225×660（mm）</w:t>
                  </w:r>
                </w:p>
                <w:p>
                  <w:pPr>
                    <w:pStyle w:val="null3"/>
                    <w:ind w:firstLine="240"/>
                    <w:jc w:val="both"/>
                  </w:pPr>
                  <w:r>
                    <w:rPr>
                      <w:rFonts w:ascii="仿宋_GB2312" w:hAnsi="仿宋_GB2312" w:cs="仿宋_GB2312" w:eastAsia="仿宋_GB2312"/>
                      <w:sz w:val="24"/>
                    </w:rPr>
                    <w:t>p. 净重：≥68公斤</w:t>
                  </w:r>
                </w:p>
                <w:p>
                  <w:pPr>
                    <w:pStyle w:val="null3"/>
                    <w:ind w:firstLine="240"/>
                    <w:jc w:val="both"/>
                  </w:pPr>
                  <w:r>
                    <w:rPr>
                      <w:rFonts w:ascii="仿宋_GB2312" w:hAnsi="仿宋_GB2312" w:cs="仿宋_GB2312" w:eastAsia="仿宋_GB2312"/>
                      <w:sz w:val="24"/>
                    </w:rPr>
                    <w:t>q. 执行标准：GB/T230.2,JJS Z2245，EN-ISO6508，ASTME-18</w:t>
                  </w:r>
                </w:p>
                <w:p>
                  <w:pPr>
                    <w:pStyle w:val="null3"/>
                    <w:ind w:firstLine="240"/>
                    <w:jc w:val="both"/>
                  </w:pPr>
                  <w:r>
                    <w:rPr>
                      <w:rFonts w:ascii="仿宋_GB2312" w:hAnsi="仿宋_GB2312" w:cs="仿宋_GB2312" w:eastAsia="仿宋_GB2312"/>
                      <w:sz w:val="24"/>
                    </w:rPr>
                    <w:t>r. 基本配置：洛氏硬度块：HRA、HRBW各一块；HRC高、中、低各一块；大平工作台，小平工作台，V型工作台各一个。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1台</w:t>
                  </w:r>
                </w:p>
              </w:tc>
            </w:tr>
          </w:tbl>
          <w:p>
            <w:pPr>
              <w:pStyle w:val="null3"/>
            </w:pPr>
            <w:r>
              <w:rPr>
                <w:rFonts w:ascii="仿宋_GB2312" w:hAnsi="仿宋_GB2312" w:cs="仿宋_GB2312" w:eastAsia="仿宋_GB2312"/>
              </w:rPr>
              <w:t xml:space="preserve"> </w:t>
            </w:r>
          </w:p>
          <w:p>
            <w:pPr>
              <w:pStyle w:val="null3"/>
              <w:ind w:firstLine="560"/>
              <w:jc w:val="left"/>
            </w:pPr>
            <w:r>
              <w:rPr>
                <w:rFonts w:ascii="仿宋_GB2312" w:hAnsi="仿宋_GB2312" w:cs="仿宋_GB2312" w:eastAsia="仿宋_GB2312"/>
                <w:sz w:val="28"/>
              </w:rPr>
              <w:t>1.商务要求：</w:t>
            </w:r>
          </w:p>
          <w:p>
            <w:pPr>
              <w:pStyle w:val="null3"/>
              <w:ind w:firstLine="720"/>
              <w:jc w:val="left"/>
            </w:pPr>
            <w:r>
              <w:rPr>
                <w:rFonts w:ascii="仿宋_GB2312" w:hAnsi="仿宋_GB2312" w:cs="仿宋_GB2312" w:eastAsia="仿宋_GB2312"/>
                <w:sz w:val="28"/>
              </w:rPr>
              <w:t>交付期：合同签订后</w:t>
            </w:r>
            <w:r>
              <w:rPr>
                <w:rFonts w:ascii="仿宋_GB2312" w:hAnsi="仿宋_GB2312" w:cs="仿宋_GB2312" w:eastAsia="仿宋_GB2312"/>
                <w:sz w:val="28"/>
              </w:rPr>
              <w:t>30个日历天内完成设备的供货、安装、调试、培训并交付完。</w:t>
            </w:r>
          </w:p>
          <w:p>
            <w:pPr>
              <w:pStyle w:val="null3"/>
              <w:ind w:firstLine="720"/>
              <w:jc w:val="left"/>
            </w:pPr>
            <w:r>
              <w:rPr>
                <w:rFonts w:ascii="仿宋_GB2312" w:hAnsi="仿宋_GB2312" w:cs="仿宋_GB2312" w:eastAsia="仿宋_GB2312"/>
                <w:sz w:val="28"/>
              </w:rPr>
              <w:t>质保期：</w:t>
            </w:r>
            <w:r>
              <w:rPr>
                <w:rFonts w:ascii="仿宋_GB2312" w:hAnsi="仿宋_GB2312" w:cs="仿宋_GB2312" w:eastAsia="仿宋_GB2312"/>
                <w:sz w:val="28"/>
              </w:rPr>
              <w:t>1年</w:t>
            </w:r>
          </w:p>
          <w:p>
            <w:pPr>
              <w:pStyle w:val="null3"/>
              <w:ind w:firstLine="720"/>
              <w:jc w:val="left"/>
            </w:pPr>
            <w:r>
              <w:rPr>
                <w:rFonts w:ascii="仿宋_GB2312" w:hAnsi="仿宋_GB2312" w:cs="仿宋_GB2312" w:eastAsia="仿宋_GB2312"/>
                <w:sz w:val="28"/>
              </w:rPr>
              <w:t>包装和运输：供应商自行运送至学校指定地点</w:t>
            </w:r>
          </w:p>
          <w:p>
            <w:pPr>
              <w:pStyle w:val="null3"/>
              <w:ind w:firstLine="720"/>
              <w:jc w:val="left"/>
            </w:pPr>
            <w:r>
              <w:rPr>
                <w:rFonts w:ascii="仿宋_GB2312" w:hAnsi="仿宋_GB2312" w:cs="仿宋_GB2312" w:eastAsia="仿宋_GB2312"/>
                <w:sz w:val="28"/>
              </w:rPr>
              <w:t>2.验收要求：</w:t>
            </w:r>
          </w:p>
          <w:p>
            <w:pPr>
              <w:pStyle w:val="null3"/>
              <w:ind w:firstLine="720"/>
              <w:jc w:val="left"/>
            </w:pPr>
            <w:r>
              <w:rPr>
                <w:rFonts w:ascii="仿宋_GB2312" w:hAnsi="仿宋_GB2312" w:cs="仿宋_GB2312" w:eastAsia="仿宋_GB2312"/>
                <w:sz w:val="28"/>
              </w:rPr>
              <w:t>2.1、甲方和乙方应在现场安装设备前，共同确认所有设备是否符合招标要求。乙方负责安装调试，甲方提供必要的工作条件，安装调试所有费用乙方负责。</w:t>
            </w:r>
          </w:p>
          <w:p>
            <w:pPr>
              <w:pStyle w:val="null3"/>
              <w:ind w:firstLine="720"/>
              <w:jc w:val="left"/>
            </w:pPr>
            <w:r>
              <w:rPr>
                <w:rFonts w:ascii="仿宋_GB2312" w:hAnsi="仿宋_GB2312" w:cs="仿宋_GB2312" w:eastAsia="仿宋_GB2312"/>
                <w:sz w:val="28"/>
              </w:rPr>
              <w:t>2.2、甲方对乙方所交产品依照合同及相关技术要求进行现场验收。验收不合格的，限期整改；整改仍达不到要求的，按合同有关条款处理。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合同签订后30个日历天内完成设备的供货、安装、调试、培训并交付完毕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进度款，货物进场经甲方验收合格后，达到付款条件起60个工作日内，支付合同总金额的100.0%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详见采购需求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具有独⽴承担⺠事责任能⼒的法⼈、其他组织或⾃然⼈，并出具合法有效的统⼀社会信⽤代码的营业执照或事业单位法⼈证书等国家规定的相关证明，⾃然⼈参与的提供其⾝份证明；</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法定代表⼈⾝份证明或授权委托书</w:t>
            </w:r>
          </w:p>
        </w:tc>
        <w:tc>
          <w:tcPr>
            <w:tcW w:type="dxa" w:w="3322"/>
          </w:tcPr>
          <w:p>
            <w:pPr>
              <w:pStyle w:val="null3"/>
            </w:pPr>
            <w:r>
              <w:rPr>
                <w:rFonts w:ascii="仿宋_GB2312" w:hAnsi="仿宋_GB2312" w:cs="仿宋_GB2312" w:eastAsia="仿宋_GB2312"/>
              </w:rPr>
              <w:t>提供法定代表⼈授权书（附法定代表⼈、被授权⼈⾝份证复印件），法定代表⼈直接参加投标，须提供法定代表⼈⾝份证明（附法定代表⼈⾝份证复印件）；</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财务审计报告或资信证明</w:t>
            </w:r>
          </w:p>
        </w:tc>
        <w:tc>
          <w:tcPr>
            <w:tcW w:type="dxa" w:w="3322"/>
          </w:tcPr>
          <w:p>
            <w:pPr>
              <w:pStyle w:val="null3"/>
            </w:pPr>
            <w:r>
              <w:rPr>
                <w:rFonts w:ascii="仿宋_GB2312" w:hAnsi="仿宋_GB2312" w:cs="仿宋_GB2312" w:eastAsia="仿宋_GB2312"/>
              </w:rPr>
              <w:t>提供递交2025年度经审计的财务报告（包括“四表一注”，即资产负债表、利润表、现金流量表、所有者权益变动表及其附注，符合《中小企业划型标准规定》的小型企业按照《小企业会计准则》执行。成立时间至提交磋商响应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提供递交投标⽂件截⽌⽇前⼀年内已缴纳的⾄少⼀个⽉的纳税证明或完税证明（任意税种），依法免税的单位应提供相关证明材料；</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社会保障资⾦缴纳证明</w:t>
            </w:r>
          </w:p>
        </w:tc>
        <w:tc>
          <w:tcPr>
            <w:tcW w:type="dxa" w:w="3322"/>
          </w:tcPr>
          <w:p>
            <w:pPr>
              <w:pStyle w:val="null3"/>
            </w:pPr>
            <w:r>
              <w:rPr>
                <w:rFonts w:ascii="仿宋_GB2312" w:hAnsi="仿宋_GB2312" w:cs="仿宋_GB2312" w:eastAsia="仿宋_GB2312"/>
              </w:rPr>
              <w:t>提供递交投标⽂件截⽌⽇前⼀年内已缴存的⾄少⼀个⽉的社会保障资⾦缴存单据或社保机构开具的社会保险参保缴费情况证明，依法不需要缴纳社会保障资⾦的单位应提供相关证明材料；</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履⾏本合同所必需的设备和专业技术能⼒的说明及承诺书</w:t>
            </w:r>
          </w:p>
        </w:tc>
        <w:tc>
          <w:tcPr>
            <w:tcW w:type="dxa" w:w="3322"/>
          </w:tcPr>
          <w:p>
            <w:pPr>
              <w:pStyle w:val="null3"/>
            </w:pPr>
            <w:r>
              <w:rPr>
                <w:rFonts w:ascii="仿宋_GB2312" w:hAnsi="仿宋_GB2312" w:cs="仿宋_GB2312" w:eastAsia="仿宋_GB2312"/>
              </w:rPr>
              <w:t>提供具有履⾏本合同所必需的设备和专业技术能⼒的说明及承诺书；</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供应商信⽤记录书⾯声明函</w:t>
            </w:r>
          </w:p>
        </w:tc>
        <w:tc>
          <w:tcPr>
            <w:tcW w:type="dxa" w:w="3322"/>
          </w:tcPr>
          <w:p>
            <w:pPr>
              <w:pStyle w:val="null3"/>
            </w:pPr>
            <w:r>
              <w:rPr>
                <w:rFonts w:ascii="仿宋_GB2312" w:hAnsi="仿宋_GB2312" w:cs="仿宋_GB2312" w:eastAsia="仿宋_GB2312"/>
              </w:rPr>
              <w:t>提供《供应商信⽤记录书⾯声明函》供应商未被列⼊“信⽤中国”⽹站记录的“失信被执⾏⼈”或“重⼤税收违法案件当事⼈”名单；不处于“中国政府采购⽹”记录的“政府采购严重违法失信⾏为信息记录名单”中的禁⽌参加政府采购活动期间；</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书⾯声明</w:t>
            </w:r>
          </w:p>
        </w:tc>
        <w:tc>
          <w:tcPr>
            <w:tcW w:type="dxa" w:w="3322"/>
          </w:tcPr>
          <w:p>
            <w:pPr>
              <w:pStyle w:val="null3"/>
            </w:pPr>
            <w:r>
              <w:rPr>
                <w:rFonts w:ascii="仿宋_GB2312" w:hAnsi="仿宋_GB2312" w:cs="仿宋_GB2312" w:eastAsia="仿宋_GB2312"/>
              </w:rPr>
              <w:t>参加政府采购活动前3年内，在经营活动中没有重⼤违法记录的书⾯声明；</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提供直接控股和管理关系清单。若与其他供应商存在单位负责⼈为同⼀⼈或者存在直接控股、管理关系的，则投标⽆效；</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⾮联合体承诺</w:t>
            </w:r>
          </w:p>
        </w:tc>
        <w:tc>
          <w:tcPr>
            <w:tcW w:type="dxa" w:w="3322"/>
          </w:tcPr>
          <w:p>
            <w:pPr>
              <w:pStyle w:val="null3"/>
            </w:pPr>
            <w:r>
              <w:rPr>
                <w:rFonts w:ascii="仿宋_GB2312" w:hAnsi="仿宋_GB2312" w:cs="仿宋_GB2312" w:eastAsia="仿宋_GB2312"/>
              </w:rPr>
              <w:t>本项⽬不接受联合体投标（需提供承诺书）；</w:t>
            </w:r>
          </w:p>
        </w:tc>
        <w:tc>
          <w:tcPr>
            <w:tcW w:type="dxa" w:w="1661"/>
          </w:tcPr>
          <w:p>
            <w:pPr>
              <w:pStyle w:val="null3"/>
            </w:pPr>
            <w:r>
              <w:rPr>
                <w:rFonts w:ascii="仿宋_GB2312" w:hAnsi="仿宋_GB2312" w:cs="仿宋_GB2312" w:eastAsia="仿宋_GB2312"/>
              </w:rPr>
              <w:t>4、资格证明文件.docx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1、投标方案说明书.docx 投标函 4、资格证明文件.docx 3、陕西省政府采购供应商拒绝政府采购领域商业贿赂承诺书.docx 标的清单 关于符合本国产品标准的声明函 投标文件封面 2、商务条款偏离表.docx 5、其他.docx 6、分项报价表.docx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投标文件上法定代表人或负责人或其授权代表人的签字齐全并加盖公章</w:t>
            </w:r>
          </w:p>
        </w:tc>
        <w:tc>
          <w:tcPr>
            <w:tcW w:type="dxa" w:w="1661"/>
          </w:tcPr>
          <w:p>
            <w:pPr>
              <w:pStyle w:val="null3"/>
            </w:pPr>
            <w:r>
              <w:rPr>
                <w:rFonts w:ascii="仿宋_GB2312" w:hAnsi="仿宋_GB2312" w:cs="仿宋_GB2312" w:eastAsia="仿宋_GB2312"/>
              </w:rPr>
              <w:t>开标一览表 1、投标方案说明书.docx 投标函 4、资格证明文件.docx 3、陕西省政府采购供应商拒绝政府采购领域商业贿赂承诺书.docx 标的清单 关于符合本国产品标准的声明函 投标文件封面 2、商务条款偏离表.docx 5、其他.docx 6、分项报价表.docx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应符合“投标文件格式”要求</w:t>
            </w:r>
          </w:p>
        </w:tc>
        <w:tc>
          <w:tcPr>
            <w:tcW w:type="dxa" w:w="1661"/>
          </w:tcPr>
          <w:p>
            <w:pPr>
              <w:pStyle w:val="null3"/>
            </w:pPr>
            <w:r>
              <w:rPr>
                <w:rFonts w:ascii="仿宋_GB2312" w:hAnsi="仿宋_GB2312" w:cs="仿宋_GB2312" w:eastAsia="仿宋_GB2312"/>
              </w:rPr>
              <w:t>开标一览表 1、投标方案说明书.docx 投标函 4、资格证明文件.docx 3、陕西省政府采购供应商拒绝政府采购领域商业贿赂承诺书.docx 标的清单 关于符合本国产品标准的声明函 投标文件封面 2、商务条款偏离表.docx 5、其他.docx 6、分项报价表.docx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1、投标方案说明书.docx 投标函 4、资格证明文件.docx 3、陕西省政府采购供应商拒绝政府采购领域商业贿赂承诺书.docx 标的清单 关于符合本国产品标准的声明函 投标文件封面 2、商务条款偏离表.docx 5、其他.docx 6、分项报价表.docx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开标一览表 1、投标方案说明书.docx 投标函 4、资格证明文件.docx 3、陕西省政府采购供应商拒绝政府采购领域商业贿赂承诺书.docx 标的清单 关于符合本国产品标准的声明函 投标文件封面 2、商务条款偏离表.docx 5、其他.docx 6、分项报价表.docx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开标一览表 1、投标方案说明书.docx 投标函 4、资格证明文件.docx 3、陕西省政府采购供应商拒绝政府采购领域商业贿赂承诺书.docx 标的清单 关于符合本国产品标准的声明函 投标文件封面 2、商务条款偏离表.docx 5、其他.docx 6、分项报价表.docx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供货期、质保期</w:t>
            </w:r>
          </w:p>
        </w:tc>
        <w:tc>
          <w:tcPr>
            <w:tcW w:type="dxa" w:w="3322"/>
          </w:tcPr>
          <w:p>
            <w:pPr>
              <w:pStyle w:val="null3"/>
            </w:pPr>
            <w:r>
              <w:rPr>
                <w:rFonts w:ascii="仿宋_GB2312" w:hAnsi="仿宋_GB2312" w:cs="仿宋_GB2312" w:eastAsia="仿宋_GB2312"/>
              </w:rPr>
              <w:t>应满足招标文件中要求的供货期、质保期</w:t>
            </w:r>
          </w:p>
        </w:tc>
        <w:tc>
          <w:tcPr>
            <w:tcW w:type="dxa" w:w="1661"/>
          </w:tcPr>
          <w:p>
            <w:pPr>
              <w:pStyle w:val="null3"/>
            </w:pPr>
            <w:r>
              <w:rPr>
                <w:rFonts w:ascii="仿宋_GB2312" w:hAnsi="仿宋_GB2312" w:cs="仿宋_GB2312" w:eastAsia="仿宋_GB2312"/>
              </w:rPr>
              <w:t>开标一览表 1、投标方案说明书.docx 投标函 4、资格证明文件.docx 3、陕西省政府采购供应商拒绝政府采购领域商业贿赂承诺书.docx 标的清单 关于符合本国产品标准的声明函 投标文件封面 2、商务条款偏离表.docx 5、其他.docx 6、分项报价表.docx 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供货地点</w:t>
            </w:r>
          </w:p>
        </w:tc>
        <w:tc>
          <w:tcPr>
            <w:tcW w:type="dxa" w:w="3322"/>
          </w:tcPr>
          <w:p>
            <w:pPr>
              <w:pStyle w:val="null3"/>
            </w:pPr>
            <w:r>
              <w:rPr>
                <w:rFonts w:ascii="仿宋_GB2312" w:hAnsi="仿宋_GB2312" w:cs="仿宋_GB2312" w:eastAsia="仿宋_GB2312"/>
              </w:rPr>
              <w:t>应满足招标文件中要求的地点</w:t>
            </w:r>
          </w:p>
        </w:tc>
        <w:tc>
          <w:tcPr>
            <w:tcW w:type="dxa" w:w="1661"/>
          </w:tcPr>
          <w:p>
            <w:pPr>
              <w:pStyle w:val="null3"/>
            </w:pPr>
            <w:r>
              <w:rPr>
                <w:rFonts w:ascii="仿宋_GB2312" w:hAnsi="仿宋_GB2312" w:cs="仿宋_GB2312" w:eastAsia="仿宋_GB2312"/>
              </w:rPr>
              <w:t>开标一览表 1、投标方案说明书.docx 投标函 4、资格证明文件.docx 3、陕西省政府采购供应商拒绝政府采购领域商业贿赂承诺书.docx 标的清单 关于符合本国产品标准的声明函 投标文件封面 2、商务条款偏离表.docx 5、其他.docx 6、分项报价表.docx 投标人应提交的相关资格证明材料</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投标产品需完全响应采购文件中的全部技术参数要求，所有参数均需满足或优于采购文件要求，无负偏离情况。 1. 一般技术参数（未标注符号）每出现1项负偏离扣0.2分； 2. 标注“▲”的技术参数每出现1项负偏离扣0.36分； 3. 若技术参数负偏离总数（含“▲”参数）累计超过30项，超过30项不满足，该项得0分； 4. 技术参数响应须提供相应佐证材料，证明材料形式不限，如：产品技术说明书、检测报告、制造商盖章的技术规格确认函、产品白皮书、产品彩页、官网技术参数截图等，能够证明参数真实有效的材料均可作为评审依据，由评标委员会根据材料的充分性、关联性进行认定，材料不足以支撑的，视为负偏离。</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1、投标方案说明书.docx</w:t>
            </w:r>
          </w:p>
          <w:p>
            <w:pPr>
              <w:pStyle w:val="null3"/>
            </w:pPr>
            <w:r>
              <w:rPr>
                <w:rFonts w:ascii="仿宋_GB2312" w:hAnsi="仿宋_GB2312" w:cs="仿宋_GB2312" w:eastAsia="仿宋_GB2312"/>
              </w:rPr>
              <w:t>2、商务条款偏离表.docx</w:t>
            </w:r>
          </w:p>
        </w:tc>
      </w:tr>
      <w:tr>
        <w:tc>
          <w:tcPr>
            <w:tcW w:type="dxa" w:w="831"/>
            <w:vMerge/>
          </w:tcPr>
          <w:p/>
        </w:tc>
        <w:tc>
          <w:tcPr>
            <w:tcW w:type="dxa" w:w="1661"/>
          </w:tcPr>
          <w:p>
            <w:pPr>
              <w:pStyle w:val="null3"/>
            </w:pPr>
            <w:r>
              <w:rPr>
                <w:rFonts w:ascii="仿宋_GB2312" w:hAnsi="仿宋_GB2312" w:cs="仿宋_GB2312" w:eastAsia="仿宋_GB2312"/>
              </w:rPr>
              <w:t>人员配置与履约保障</w:t>
            </w:r>
          </w:p>
        </w:tc>
        <w:tc>
          <w:tcPr>
            <w:tcW w:type="dxa" w:w="2492"/>
          </w:tcPr>
          <w:p>
            <w:pPr>
              <w:pStyle w:val="null3"/>
            </w:pPr>
            <w:r>
              <w:rPr>
                <w:rFonts w:ascii="仿宋_GB2312" w:hAnsi="仿宋_GB2312" w:cs="仿宋_GB2312" w:eastAsia="仿宋_GB2312"/>
              </w:rPr>
              <w:t>投标人需为本项目组建专属履约服务团队：项目管理、技术支撑、现场交付、售后维护、质量管控、培训师资关键岗位。 评审依据：提供对应岗位人员简历、岗位职责说明（加盖投标人公章）。 判定：每提供 1 名符合岗位人员材料得 2分，本项最高得12 分；岗位人员重复、材料不全、未盖章不得分。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1、投标方案说明书.docx</w:t>
            </w:r>
          </w:p>
          <w:p>
            <w:pPr>
              <w:pStyle w:val="null3"/>
            </w:pPr>
            <w:r>
              <w:rPr>
                <w:rFonts w:ascii="仿宋_GB2312" w:hAnsi="仿宋_GB2312" w:cs="仿宋_GB2312" w:eastAsia="仿宋_GB2312"/>
              </w:rPr>
              <w:t>2、商务条款偏离表.docx</w:t>
            </w:r>
          </w:p>
        </w:tc>
      </w:tr>
      <w:tr>
        <w:tc>
          <w:tcPr>
            <w:tcW w:type="dxa" w:w="831"/>
            <w:vMerge/>
          </w:tcPr>
          <w:p/>
        </w:tc>
        <w:tc>
          <w:tcPr>
            <w:tcW w:type="dxa" w:w="1661"/>
          </w:tcPr>
          <w:p>
            <w:pPr>
              <w:pStyle w:val="null3"/>
            </w:pPr>
            <w:r>
              <w:rPr>
                <w:rFonts w:ascii="仿宋_GB2312" w:hAnsi="仿宋_GB2312" w:cs="仿宋_GB2312" w:eastAsia="仿宋_GB2312"/>
              </w:rPr>
              <w:t>质量保障与履约能力</w:t>
            </w:r>
          </w:p>
        </w:tc>
        <w:tc>
          <w:tcPr>
            <w:tcW w:type="dxa" w:w="2492"/>
          </w:tcPr>
          <w:p>
            <w:pPr>
              <w:pStyle w:val="null3"/>
            </w:pPr>
            <w:r>
              <w:rPr>
                <w:rFonts w:ascii="仿宋_GB2312" w:hAnsi="仿宋_GB2312" w:cs="仿宋_GB2312" w:eastAsia="仿宋_GB2312"/>
              </w:rPr>
              <w:t>一、评审内容： 投标人需针对本项目全部采购设备，提供全流程履约及质量保障相关的正式材料。所有材料需清晰可辨、加盖公章。本项共设4个独立评审项，每项2分，满分8分。任意一项未能提供有效证明材料，或证明材料未包含下述全部列举要素的，该项一律得0分。 二、分项评审标准： ① 产品品质保障与售后体系证明（2 分） 投标人须提供对应证明材料（加盖投标人公章），佐证投标产品品质管控及完善售后服务能力，满足以下两类材料任选其一： 生产企业直投：提供自有生产资质文件（生产许可证 / 产品检测报告）+ 加盖本单位公章的《产品品质与质保承诺函》； 经销 / 集成商投标：提供品牌正规经销合作协议（加盖合作双方公章）+ 品牌方出具质保说明或投标人自行出具加盖公章的《全流程质保服务承诺函》。 判定： 提供有效材料且要素齐全得2分；未提供或要素不全得0分。 ② 产品批次与溯源管控（2分） 需提供投标人加盖公章的《本项目产品全链条批次溯源管控方案》扫描件。 核查要素：方案内列明出厂检验的具体项目名称：外观检查、空载运行、精度校准；方案内列明设备序列号的记录位置：机身铭牌、合格证、验收单；方案内列明不合格品追溯流程环节：隔离、标识、通知、更换；方案内列明质量负责人姓名及手机号码。 判定：4项要素齐全得2分；缺任意1项得0分。 ③ 到货交付质量管控（2分） 需提供投标人加盖公章的《本项目产品到货交付质量管控细则》扫描件。 核查要素：细则内列明开箱查验的具体项目：外包装完好性、配件清单核对；细则内列明安装调试的具体步骤：水平校准、软件安装、参数设置；细则内列明验收需签署的文件名称：《设备安装验收单》；细则内列明技术资料移交清单：说明书、合格证、保修卡、软件光盘。 判定： 4项要素齐全得2分；缺任意1项得0分。 ④ 售后故障闭环机制（2分） 需提供投标人加盖公章的《本项目产品售后故障闭环处置规程》扫描件。 核查要素：规程内列明故障报修渠道（如电话、邮箱、微信等）；规程内列明响应时限承诺（如具体小时数、具体天数等）； 规程内列明维修完成后需签署的文件名称：《维修服务回执单》；规程内列明质保期后的跟踪回访计划及服务方式。 判定： 4项要素齐全得2分；缺任意1项得0分。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1、投标方案说明书.docx</w:t>
            </w:r>
          </w:p>
          <w:p>
            <w:pPr>
              <w:pStyle w:val="null3"/>
            </w:pPr>
            <w:r>
              <w:rPr>
                <w:rFonts w:ascii="仿宋_GB2312" w:hAnsi="仿宋_GB2312" w:cs="仿宋_GB2312" w:eastAsia="仿宋_GB2312"/>
              </w:rPr>
              <w:t>2、商务条款偏离表.docx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提供2023年06月01日至今类似项目业绩，每提供1份得2分，满分10分。评审依据：须提供合同复印件，业绩时间以合同签订时间为准。未提供或材料不全的不得分。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5、其他.docx</w:t>
            </w:r>
          </w:p>
        </w:tc>
      </w:tr>
      <w:tr>
        <w:tc>
          <w:tcPr>
            <w:tcW w:type="dxa" w:w="831"/>
            <w:vMerge/>
          </w:tcPr>
          <w:p/>
        </w:tc>
        <w:tc>
          <w:tcPr>
            <w:tcW w:type="dxa" w:w="1661"/>
          </w:tcPr>
          <w:p>
            <w:pPr>
              <w:pStyle w:val="null3"/>
            </w:pPr>
            <w:r>
              <w:rPr>
                <w:rFonts w:ascii="仿宋_GB2312" w:hAnsi="仿宋_GB2312" w:cs="仿宋_GB2312" w:eastAsia="仿宋_GB2312"/>
              </w:rPr>
              <w:t>供货及交付方案</w:t>
            </w:r>
          </w:p>
        </w:tc>
        <w:tc>
          <w:tcPr>
            <w:tcW w:type="dxa" w:w="2492"/>
          </w:tcPr>
          <w:p>
            <w:pPr>
              <w:pStyle w:val="null3"/>
            </w:pPr>
            <w:r>
              <w:rPr>
                <w:rFonts w:ascii="仿宋_GB2312" w:hAnsi="仿宋_GB2312" w:cs="仿宋_GB2312" w:eastAsia="仿宋_GB2312"/>
              </w:rPr>
              <w:t>一、评审内容： 投标人针对本项目全部采购设备，提供从供货到交付使用的全流程专项方案，至少包含： ① 供货进度计划：明确生产备货、物流运输、到货验收等关键节点，符合项目交付周期要求； ② 部署实施方案：明确硬件安装部署的具体措施； ③ 质量管控措施：明确交付前自检、功能核验、文档移交等质量控制环节； ④ 运输安全保障：明确设备的防震、防潮、防倾斜运输保护措施，以及大型设备进场搬运的路径勘察与防护措施。 二、分项评审标准： 1. 完整性：方案覆盖全流程，要素齐全； 2. 可操作性：流程清晰、责任明确，可落地执行； 3. 针对性：贴合本项目设备特点及使用场景。 三、赋分标准（满分6分）： ① 供货进度计划：每满足一个分项评审标准得0.5分，满分1.5分； ② 部署实施方案：每满足一个分项评审标准得0.5分，满分1.5分； ③ 质量管控措施：每满足一个分项评审标准得0.5分，满分1.5分； ④ 运输安全保障：每满足一个分项评审标准得0.5分，满分1.5分；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1、投标方案说明书.docx</w:t>
            </w:r>
          </w:p>
          <w:p>
            <w:pPr>
              <w:pStyle w:val="null3"/>
            </w:pPr>
            <w:r>
              <w:rPr>
                <w:rFonts w:ascii="仿宋_GB2312" w:hAnsi="仿宋_GB2312" w:cs="仿宋_GB2312" w:eastAsia="仿宋_GB2312"/>
              </w:rPr>
              <w:t>2、商务条款偏离表.docx</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一、评审内容： 投标人针对本项目设备供货、安装、运行全流程提供应急保障方案，至少包含： ① 供货延期应急处置：明确供货延期的风险预判、应急处置流程、责任主体、补救措施； ② 设备故障应急维修：明确设备故障的应急响应渠道、现场维修处置流程、备用设备保障方案； ③ 突发情况应急响应机制：明确自然灾害、政策调整等突发情况的应急处置预案、责任主体、响应流程； ④ 应急响应资源保障：列明本项目涉及设备的常用易损件及关键核心部件备货清单、专用校准调试工具、原厂技术后援支撑机制。 二、分项评审标准： 1. 完整性：方案覆盖全流程应急场景，要素齐全； 2. 可操作性：应急处置流程清晰、责任明确，可快速落地； 3. 针对性：针对本项目设备特点和采购方使用场景制定专属方案。 三、赋分标准（满分6分）： ① 供货延期应急处置：每满足一个分项评审标准得0.5分，满分1.5分； ② 设备故障应急维修：每满足一个分项评审标准得0.5分，满分1.5分； ③ 突发情况应急响应机制：每满足一个分项评审标准得0.5分，满分1.5分； ④ 应急响应资源保障：每满足一个分项评审标准得0.5分，满分1.5分； 未提供该项目内容不得分。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1、投标方案说明书.docx</w:t>
            </w:r>
          </w:p>
          <w:p>
            <w:pPr>
              <w:pStyle w:val="null3"/>
            </w:pPr>
            <w:r>
              <w:rPr>
                <w:rFonts w:ascii="仿宋_GB2312" w:hAnsi="仿宋_GB2312" w:cs="仿宋_GB2312" w:eastAsia="仿宋_GB2312"/>
              </w:rPr>
              <w:t>2、商务条款偏离表.docx</w:t>
            </w:r>
          </w:p>
        </w:tc>
      </w:tr>
      <w:tr>
        <w:tc>
          <w:tcPr>
            <w:tcW w:type="dxa" w:w="831"/>
            <w:vMerge/>
          </w:tcPr>
          <w:p/>
        </w:tc>
        <w:tc>
          <w:tcPr>
            <w:tcW w:type="dxa" w:w="1661"/>
          </w:tcPr>
          <w:p>
            <w:pPr>
              <w:pStyle w:val="null3"/>
            </w:pPr>
            <w:r>
              <w:rPr>
                <w:rFonts w:ascii="仿宋_GB2312" w:hAnsi="仿宋_GB2312" w:cs="仿宋_GB2312" w:eastAsia="仿宋_GB2312"/>
              </w:rPr>
              <w:t>售后服务及培训方案</w:t>
            </w:r>
          </w:p>
        </w:tc>
        <w:tc>
          <w:tcPr>
            <w:tcW w:type="dxa" w:w="2492"/>
          </w:tcPr>
          <w:p>
            <w:pPr>
              <w:pStyle w:val="null3"/>
            </w:pPr>
            <w:r>
              <w:rPr>
                <w:rFonts w:ascii="仿宋_GB2312" w:hAnsi="仿宋_GB2312" w:cs="仿宋_GB2312" w:eastAsia="仿宋_GB2312"/>
              </w:rPr>
              <w:t>一、评审内容： 投标人针对本项目设备，提供具体的培训计划和清晰的售后服务流程，至少包含： ① 培训内容与安排：明确培训的具体课程（如设备原理、软件操作、样品制备、日常保养），列明理论讲解、上手实操、考核验收各环节的时间安排，并附培训讲义或课件目录； ② 故障报修与处理流程：绘制简单的报修流程图，明确从“用户报修”到“维修完成”的步骤，重点列明维修过程中的沟通环节（如维修前告知风险、维修中反馈进度、维修后签字确认）； ③ 培训后续支持措施：明确培训结束后的答疑渠道（如专属技术交流群、定期回访电话），并提供简明版《设备操作指引》（图文版）作为交付资料，方便操作人员随时查阅； ④ 服务过程记录规范：明确每次上门服务需提供的书面单据（如派工单、维修单），单据需包含故障描述、处理措施、更换配件名称及用户签字栏，确保服务过程有据可查。 二、分项评审标准： 1.详实性：培训计划具体，课程安排合理；服务流程清晰，步骤明确； 2.规范性：培训讲义结构完整，通俗易懂；服务单据要素齐全，格式规范； 3.实用性：培训内容贴合实际操作，便于掌握；支持措施简单有效，便于使用； 4.完整性：方案涵盖了“培训前、中、后”及“报修、处理、归档”的全过程，无重大遗漏。 三、赋分标准（满分8分）： ① 培训内容与安排：每满足一个分项评审标准得0.5分，满分2分； ② 故障报修与处理流程：每满足一个分项评审标准得0.5分，满分2分； ③ 培训后续支持措施：每满足一个分项评审标准得0.5分，满分2分； ④ 服务过程记录规范：每满足一个分项评审标准得0.5分，满分2分。 未提供该项目内容不得分。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1、投标方案说明书.docx</w:t>
            </w:r>
          </w:p>
          <w:p>
            <w:pPr>
              <w:pStyle w:val="null3"/>
            </w:pPr>
            <w:r>
              <w:rPr>
                <w:rFonts w:ascii="仿宋_GB2312" w:hAnsi="仿宋_GB2312" w:cs="仿宋_GB2312" w:eastAsia="仿宋_GB2312"/>
              </w:rPr>
              <w:t>2、商务条款偏离表.docx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6、分项报价表.docx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满足招标文件要求且经价格扣除后的最低评标价为基准价，其价格分为满分35分。其他投标人价格分＝（评标基准价÷评标价）×35。 价格扣除政策： 对小型和微型企业的投标报价给予10%的扣除，用扣除后的价格参与评审。大中型企业不得享受该扣除。</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6、分项报价表.docx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详见附件：1、投标方案说明书.docx</w:t>
      </w:r>
    </w:p>
    <w:p>
      <w:pPr>
        <w:pStyle w:val="null3"/>
        <w:ind w:firstLine="960"/>
      </w:pPr>
      <w:r>
        <w:rPr>
          <w:rFonts w:ascii="仿宋_GB2312" w:hAnsi="仿宋_GB2312" w:cs="仿宋_GB2312" w:eastAsia="仿宋_GB2312"/>
        </w:rPr>
        <w:t>详见附件：2、商务条款偏离表.docx</w:t>
      </w:r>
    </w:p>
    <w:p>
      <w:pPr>
        <w:pStyle w:val="null3"/>
        <w:ind w:firstLine="960"/>
      </w:pPr>
      <w:r>
        <w:rPr>
          <w:rFonts w:ascii="仿宋_GB2312" w:hAnsi="仿宋_GB2312" w:cs="仿宋_GB2312" w:eastAsia="仿宋_GB2312"/>
        </w:rPr>
        <w:t>详见附件：3、陕西省政府采购供应商拒绝政府采购领域商业贿赂承诺书.docx</w:t>
      </w:r>
    </w:p>
    <w:p>
      <w:pPr>
        <w:pStyle w:val="null3"/>
        <w:ind w:firstLine="960"/>
      </w:pPr>
      <w:r>
        <w:rPr>
          <w:rFonts w:ascii="仿宋_GB2312" w:hAnsi="仿宋_GB2312" w:cs="仿宋_GB2312" w:eastAsia="仿宋_GB2312"/>
        </w:rPr>
        <w:t>详见附件：4、资格证明文件.docx</w:t>
      </w:r>
    </w:p>
    <w:p>
      <w:pPr>
        <w:pStyle w:val="null3"/>
        <w:ind w:firstLine="960"/>
      </w:pPr>
      <w:r>
        <w:rPr>
          <w:rFonts w:ascii="仿宋_GB2312" w:hAnsi="仿宋_GB2312" w:cs="仿宋_GB2312" w:eastAsia="仿宋_GB2312"/>
        </w:rPr>
        <w:t>详见附件：5、其他.docx</w:t>
      </w:r>
    </w:p>
    <w:p>
      <w:pPr>
        <w:pStyle w:val="null3"/>
        <w:ind w:firstLine="960"/>
      </w:pPr>
      <w:r>
        <w:rPr>
          <w:rFonts w:ascii="仿宋_GB2312" w:hAnsi="仿宋_GB2312" w:cs="仿宋_GB2312" w:eastAsia="仿宋_GB2312"/>
        </w:rPr>
        <w:t>详见附件：6、分项报价表.docx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