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七、服务质量保证措施</w:t>
      </w:r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14106D49">
      <w:pPr>
        <w:jc w:val="center"/>
      </w:pPr>
      <w:r>
        <w:rPr>
          <w:rFonts w:hint="eastAsia"/>
          <w:b/>
          <w:bCs/>
          <w:lang w:val="en-US" w:eastAsia="zh-CN"/>
        </w:rPr>
        <w:t>供应商</w:t>
      </w:r>
      <w:bookmarkStart w:id="0" w:name="_GoBack"/>
      <w:bookmarkEnd w:id="0"/>
      <w:r>
        <w:rPr>
          <w:rFonts w:hint="eastAsia"/>
          <w:b/>
          <w:bCs/>
          <w:lang w:val="en-US" w:eastAsia="zh-CN"/>
        </w:rPr>
        <w:t>根据本项目采购内容及评审办法编写，格式自拟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286377"/>
    <w:rsid w:val="3AD06B2A"/>
    <w:rsid w:val="3B242578"/>
    <w:rsid w:val="541A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2025-10-16T01:31:00Z</dcterms:created>
  <dc:creator>ADMIN</dc:creator>
  <cp:lastModifiedBy>Queen €</cp:lastModifiedBy>
  <dcterms:modified xsi:type="dcterms:W3CDTF">2026-05-28T07:06:52Z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91661B99F43540F4AE1D33C31FAADD3F_12</vt:lpwstr>
  </property>
</Properties>
</file>