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5553D">
      <w:pPr>
        <w:jc w:val="center"/>
        <w:rPr>
          <w:rFonts w:hint="eastAsia"/>
          <w:b/>
          <w:bCs/>
          <w:sz w:val="28"/>
          <w:szCs w:val="28"/>
          <w:lang w:val="en-US" w:eastAsia="zh-CN"/>
        </w:rPr>
      </w:pPr>
      <w:r>
        <w:rPr>
          <w:rFonts w:hint="eastAsia"/>
          <w:b/>
          <w:bCs/>
          <w:sz w:val="28"/>
          <w:szCs w:val="28"/>
          <w:lang w:val="en-US" w:eastAsia="zh-CN"/>
        </w:rPr>
        <w:t>采购需求</w:t>
      </w:r>
    </w:p>
    <w:p w14:paraId="49A958C6">
      <w:pPr>
        <w:pStyle w:val="7"/>
        <w:rPr>
          <w:rFonts w:hint="eastAsia" w:eastAsia="仿宋_GB2312"/>
          <w:lang w:eastAsia="zh-CN"/>
        </w:rPr>
      </w:pPr>
      <w:r>
        <w:rPr>
          <w:rFonts w:hint="eastAsia" w:ascii="仿宋_GB2312" w:hAnsi="仿宋_GB2312" w:eastAsia="仿宋_GB2312" w:cs="仿宋_GB2312"/>
          <w:lang w:eastAsia="zh-CN"/>
        </w:rPr>
        <w:t>云计算终端安全建设项目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8"/>
        <w:gridCol w:w="847"/>
        <w:gridCol w:w="6927"/>
      </w:tblGrid>
      <w:tr w14:paraId="63F161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8" w:type="dxa"/>
            <w:vAlign w:val="center"/>
          </w:tcPr>
          <w:p w14:paraId="2ED3943B">
            <w:pPr>
              <w:pStyle w:val="7"/>
              <w:jc w:val="center"/>
            </w:pPr>
            <w:r>
              <w:rPr>
                <w:rFonts w:ascii="仿宋_GB2312" w:hAnsi="仿宋_GB2312" w:eastAsia="仿宋_GB2312" w:cs="仿宋_GB2312"/>
              </w:rPr>
              <w:t>序号</w:t>
            </w:r>
          </w:p>
        </w:tc>
        <w:tc>
          <w:tcPr>
            <w:tcW w:w="847" w:type="dxa"/>
          </w:tcPr>
          <w:p w14:paraId="0D6A13F1">
            <w:pPr>
              <w:pStyle w:val="7"/>
            </w:pPr>
            <w:r>
              <w:rPr>
                <w:rFonts w:ascii="仿宋_GB2312" w:hAnsi="仿宋_GB2312" w:eastAsia="仿宋_GB2312" w:cs="仿宋_GB2312"/>
              </w:rPr>
              <w:t>参数性质</w:t>
            </w:r>
          </w:p>
        </w:tc>
        <w:tc>
          <w:tcPr>
            <w:tcW w:w="6927" w:type="dxa"/>
          </w:tcPr>
          <w:p w14:paraId="01552684">
            <w:pPr>
              <w:pStyle w:val="7"/>
            </w:pPr>
            <w:r>
              <w:rPr>
                <w:rFonts w:ascii="仿宋_GB2312" w:hAnsi="仿宋_GB2312" w:eastAsia="仿宋_GB2312" w:cs="仿宋_GB2312"/>
              </w:rPr>
              <w:t xml:space="preserve"> 技术参数与性能指标</w:t>
            </w:r>
          </w:p>
        </w:tc>
      </w:tr>
      <w:tr w14:paraId="2DBAB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8" w:type="dxa"/>
            <w:vAlign w:val="center"/>
          </w:tcPr>
          <w:p w14:paraId="2CBA3785">
            <w:pPr>
              <w:pStyle w:val="7"/>
              <w:jc w:val="center"/>
            </w:pPr>
            <w:r>
              <w:rPr>
                <w:rFonts w:ascii="仿宋_GB2312" w:hAnsi="仿宋_GB2312" w:eastAsia="仿宋_GB2312" w:cs="仿宋_GB2312"/>
              </w:rPr>
              <w:t>1</w:t>
            </w:r>
          </w:p>
        </w:tc>
        <w:tc>
          <w:tcPr>
            <w:tcW w:w="847" w:type="dxa"/>
          </w:tcPr>
          <w:p w14:paraId="0EDCC8D0"/>
        </w:tc>
        <w:tc>
          <w:tcPr>
            <w:tcW w:w="6927" w:type="dxa"/>
          </w:tcPr>
          <w:p w14:paraId="474E196D">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一</w:t>
            </w:r>
            <w:r>
              <w:rPr>
                <w:rFonts w:hint="eastAsia" w:ascii="仿宋_GB2312" w:hAnsi="仿宋_GB2312" w:eastAsia="仿宋_GB2312" w:cs="仿宋_GB2312"/>
                <w:lang w:eastAsia="zh-CN"/>
              </w:rPr>
              <w:t>、</w:t>
            </w:r>
            <w:r>
              <w:rPr>
                <w:rFonts w:hint="eastAsia" w:ascii="仿宋_GB2312" w:hAnsi="仿宋_GB2312" w:eastAsia="仿宋_GB2312" w:cs="仿宋_GB2312"/>
              </w:rPr>
              <w:t>建设背景</w:t>
            </w:r>
          </w:p>
          <w:p w14:paraId="27623959">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我校数据中心现有一套10个节点组成的超融合平台，承载并运行着学校各类业务系统、教研平台及网站。虚拟机操作系统以Windows Server和Linux为主，部分业务面向互联网提供服务。</w:t>
            </w:r>
          </w:p>
          <w:p w14:paraId="793CD8A3">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当前数据中心依托虚拟化、超融合平台承载各类核心业务系统，传统边界安全防护模式已无法覆盖虚拟化内部流量、虚拟机横向访问等安全风险。数据中心已部署防火墙、入侵防御等网络边界安全设备，但虚拟机操作系统层面的恶意代码防护、入侵检测、风险发现和集中安全管理能力仍较薄弱；同时，面向互联网的Web业务缺少专用的应用层安全防护设备，难以对SQL注入、跨站脚本、恶意扫描、CC攻击等Web安全威胁进行有效识别和处置。同时为符合网络安全等级保护相关管控要求。搭建虚拟化安全防护体系，可实现虚拟机精细化隔离、内部流量审计、漏洞实时检测，消除虚拟化架构安全盲区，部署虚拟化安全防护产品，构建全覆盖、精细化的虚拟化安全防护体系，是化解虚拟化环境特有安全风险、落实安全合规、保障核心业务持续可靠运行的刚性需求。降低业务系统被攻击风险，满足等保合规检查标准的同时，也是保障数据中心业务安全运行的必要举措。</w:t>
            </w:r>
          </w:p>
          <w:p w14:paraId="56ED8DDA">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rPr>
            </w:pPr>
            <w:r>
              <w:rPr>
                <w:rFonts w:hint="eastAsia" w:ascii="仿宋_GB2312" w:hAnsi="仿宋_GB2312" w:eastAsia="仿宋_GB2312" w:cs="仿宋_GB2312"/>
              </w:rPr>
              <w:t>为补齐数据中心主机安全和Web应用安全防护短板，整体架构匹配要求：端到端网络需统一带宽规格，交换机、链路、安全设备带宽能力对齐，才能实现无阻塞高速转发。因此在核心链路改造完成万兆扩容后，同步升级万兆WEB安全网关是保障网络性能与安全防护同步达标的必要配套建设内容。</w:t>
            </w:r>
          </w:p>
        </w:tc>
      </w:tr>
      <w:tr w14:paraId="5049E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8" w:type="dxa"/>
            <w:vAlign w:val="center"/>
          </w:tcPr>
          <w:p w14:paraId="42736B1F">
            <w:pPr>
              <w:pStyle w:val="7"/>
              <w:jc w:val="center"/>
            </w:pPr>
            <w:r>
              <w:rPr>
                <w:rFonts w:ascii="仿宋_GB2312" w:hAnsi="仿宋_GB2312" w:eastAsia="仿宋_GB2312" w:cs="仿宋_GB2312"/>
              </w:rPr>
              <w:t>2</w:t>
            </w:r>
          </w:p>
        </w:tc>
        <w:tc>
          <w:tcPr>
            <w:tcW w:w="847" w:type="dxa"/>
          </w:tcPr>
          <w:p w14:paraId="2B07CB74"/>
        </w:tc>
        <w:tc>
          <w:tcPr>
            <w:tcW w:w="6927" w:type="dxa"/>
          </w:tcPr>
          <w:p w14:paraId="50E12A25">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lang w:eastAsia="zh-CN"/>
              </w:rPr>
              <w:t>、</w:t>
            </w:r>
            <w:r>
              <w:rPr>
                <w:rFonts w:hint="eastAsia" w:ascii="仿宋_GB2312" w:hAnsi="仿宋_GB2312" w:eastAsia="仿宋_GB2312" w:cs="仿宋_GB2312"/>
              </w:rPr>
              <w:t>建设内容</w:t>
            </w:r>
          </w:p>
          <w:p w14:paraId="4F3C36FE">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（1）虚拟化安全防护</w:t>
            </w:r>
          </w:p>
          <w:p w14:paraId="0722B1C2">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采购虚拟化安全管理平台及虚拟化安全CPU节点数量20套。实现交换机虚拟化安全技术实现虚拟机之间内部交互流量安全管控，病毒横向传播、虚拟机漏洞入侵、内部非法访问等风险。符合网络安全等级保护相关管控要求。搭建虚拟化安全防护体系，可实现虚拟机精细化隔离、内部流量审计、漏洞实时检测，消除虚拟化架构安全盲区，降低业务系统被攻击风险。</w:t>
            </w:r>
          </w:p>
          <w:p w14:paraId="26AB8FC4">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（2）数据中心万兆安全网关</w:t>
            </w:r>
          </w:p>
          <w:p w14:paraId="07A24FBB">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现有安全网关为千兆设备且已过维护期，核心链路万兆升级完成后，原设备会成为整条链路的性能瓶颈，限制万兆带宽发挥，大流量场景易产生卡顿、丢包。为匹配全线万兆传输能力，保障流量安全检测不拖慢业务，安全网关需同步升级万兆。</w:t>
            </w:r>
          </w:p>
          <w:p w14:paraId="068A8DCF">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（3）负载均衡出口链路授权扩容</w:t>
            </w:r>
          </w:p>
          <w:p w14:paraId="6ABFBAD8">
            <w:pPr>
              <w:pStyle w:val="7"/>
              <w:keepNext w:val="0"/>
              <w:keepLines w:val="0"/>
              <w:pageBreakBefore w:val="0"/>
              <w:widowControl/>
              <w:kinsoku/>
              <w:wordWrap/>
              <w:overflowPunct/>
              <w:topLinePunct w:val="0"/>
              <w:autoSpaceDE/>
              <w:autoSpaceDN/>
              <w:bidi w:val="0"/>
              <w:adjustRightInd/>
              <w:snapToGrid/>
              <w:ind w:firstLine="400" w:firstLineChars="200"/>
              <w:textAlignment w:val="auto"/>
            </w:pPr>
            <w:r>
              <w:rPr>
                <w:rFonts w:hint="eastAsia" w:ascii="仿宋_GB2312" w:hAnsi="仿宋_GB2312" w:eastAsia="仿宋_GB2312" w:cs="仿宋_GB2312"/>
              </w:rPr>
              <w:t>数据中心出口负载均衡现有链路授权数量饱和，仅支持现有存量出口5条专线调度，无空余授权用于新增互联网专线、备用链路接入；本次核心链路完成万兆升级，外网业务并发访问量、传输带宽显著提升，规划新增多条出口链路实现流量分流，降低单链路承载压力。为充分发挥万兆出口链路改造效益，构建多链路高可用出口架构，实现外网流量均衡调度，需开展负载均衡出口链路授权扩容采购。</w:t>
            </w:r>
          </w:p>
        </w:tc>
      </w:tr>
      <w:tr w14:paraId="3E7BB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8" w:type="dxa"/>
            <w:vAlign w:val="center"/>
          </w:tcPr>
          <w:p w14:paraId="7046C968">
            <w:pPr>
              <w:pStyle w:val="7"/>
              <w:jc w:val="center"/>
            </w:pPr>
            <w:r>
              <w:rPr>
                <w:rFonts w:ascii="仿宋_GB2312" w:hAnsi="仿宋_GB2312" w:eastAsia="仿宋_GB2312" w:cs="仿宋_GB2312"/>
              </w:rPr>
              <w:t>3</w:t>
            </w:r>
          </w:p>
        </w:tc>
        <w:tc>
          <w:tcPr>
            <w:tcW w:w="847" w:type="dxa"/>
          </w:tcPr>
          <w:p w14:paraId="4CBD098C"/>
        </w:tc>
        <w:tc>
          <w:tcPr>
            <w:tcW w:w="6927" w:type="dxa"/>
          </w:tcPr>
          <w:p w14:paraId="2CB7FC8B">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三、</w:t>
            </w:r>
            <w:r>
              <w:rPr>
                <w:rFonts w:hint="eastAsia" w:ascii="仿宋_GB2312" w:hAnsi="仿宋_GB2312" w:eastAsia="仿宋_GB2312" w:cs="仿宋_GB2312"/>
              </w:rPr>
              <w:t>建设目标</w:t>
            </w:r>
          </w:p>
          <w:p w14:paraId="03FB29CB">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1.建设统一的虚拟化安全防护系统，为现有虚拟机提供恶意代码防护、入侵检测、风险发现、安全策略管理和安全事件处置等能力。</w:t>
            </w:r>
          </w:p>
          <w:p w14:paraId="727B8BAB">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2.建设Web应用安全防护提升能力，对数据中心面向互联网发布的Web业务进行统一防护，识别和阻断常见Web攻击、恶意访问及应用层拒绝服务攻击。</w:t>
            </w:r>
          </w:p>
          <w:p w14:paraId="05E714EB">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3.建立统一安全管理和告警机制，实现安全策略集中下发、安全事件集中展示、安全日志查询统计和报表输出，提升安全运维效率。</w:t>
            </w:r>
          </w:p>
          <w:p w14:paraId="2326FDE9">
            <w:pPr>
              <w:pStyle w:val="7"/>
              <w:keepNext w:val="0"/>
              <w:keepLines w:val="0"/>
              <w:pageBreakBefore w:val="0"/>
              <w:widowControl/>
              <w:kinsoku/>
              <w:wordWrap/>
              <w:overflowPunct/>
              <w:topLinePunct w:val="0"/>
              <w:autoSpaceDE/>
              <w:autoSpaceDN/>
              <w:bidi w:val="0"/>
              <w:adjustRightInd/>
              <w:snapToGrid/>
              <w:ind w:firstLine="400" w:firstLineChars="200"/>
              <w:textAlignment w:val="auto"/>
            </w:pPr>
            <w:r>
              <w:rPr>
                <w:rFonts w:hint="eastAsia" w:ascii="仿宋_GB2312" w:hAnsi="仿宋_GB2312" w:eastAsia="仿宋_GB2312" w:cs="仿宋_GB2312"/>
              </w:rPr>
              <w:t>4.在不影响现有超融合平台和业务系统正常运行的前提下完成部署、调试和策略优化。</w:t>
            </w:r>
          </w:p>
        </w:tc>
      </w:tr>
      <w:tr w14:paraId="38B04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8" w:type="dxa"/>
            <w:vAlign w:val="center"/>
          </w:tcPr>
          <w:p w14:paraId="689F9A5D">
            <w:pPr>
              <w:pStyle w:val="7"/>
              <w:jc w:val="center"/>
            </w:pPr>
            <w:r>
              <w:rPr>
                <w:rFonts w:ascii="仿宋_GB2312" w:hAnsi="仿宋_GB2312" w:eastAsia="仿宋_GB2312" w:cs="仿宋_GB2312"/>
              </w:rPr>
              <w:t>4</w:t>
            </w:r>
          </w:p>
        </w:tc>
        <w:tc>
          <w:tcPr>
            <w:tcW w:w="847" w:type="dxa"/>
          </w:tcPr>
          <w:p w14:paraId="7572FB7F"/>
        </w:tc>
        <w:tc>
          <w:tcPr>
            <w:tcW w:w="6927" w:type="dxa"/>
          </w:tcPr>
          <w:p w14:paraId="5EC17520">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四、</w:t>
            </w:r>
            <w:r>
              <w:rPr>
                <w:rFonts w:hint="eastAsia" w:ascii="仿宋_GB2312" w:hAnsi="仿宋_GB2312" w:eastAsia="仿宋_GB2312" w:cs="仿宋_GB2312"/>
              </w:rPr>
              <w:t>建设绩效</w:t>
            </w:r>
          </w:p>
          <w:tbl>
            <w:tblPr>
              <w:tblStyle w:val="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3"/>
              <w:gridCol w:w="2387"/>
            </w:tblGrid>
            <w:tr w14:paraId="754B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tcBorders>
                    <w:bottom w:val="nil"/>
                  </w:tcBorders>
                  <w:vAlign w:val="center"/>
                </w:tcPr>
                <w:p w14:paraId="548DA45B">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绩效指标</w:t>
                  </w:r>
                </w:p>
              </w:tc>
              <w:tc>
                <w:tcPr>
                  <w:tcW w:w="1781" w:type="pct"/>
                  <w:tcBorders>
                    <w:bottom w:val="nil"/>
                  </w:tcBorders>
                  <w:vAlign w:val="center"/>
                </w:tcPr>
                <w:p w14:paraId="369911FF">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目标值</w:t>
                  </w:r>
                </w:p>
              </w:tc>
            </w:tr>
            <w:tr w14:paraId="04E7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29B22F0A">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虚拟化安全防护授权</w:t>
                  </w:r>
                </w:p>
              </w:tc>
              <w:tc>
                <w:tcPr>
                  <w:tcW w:w="1781" w:type="pct"/>
                  <w:vAlign w:val="center"/>
                </w:tcPr>
                <w:p w14:paraId="52CD33A7">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满足CPU节点数量≥20</w:t>
                  </w:r>
                </w:p>
              </w:tc>
            </w:tr>
            <w:tr w14:paraId="17250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3CCA00A3">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现有虚拟机安全防护覆盖率</w:t>
                  </w:r>
                </w:p>
              </w:tc>
              <w:tc>
                <w:tcPr>
                  <w:tcW w:w="1781" w:type="pct"/>
                  <w:vAlign w:val="center"/>
                </w:tcPr>
                <w:p w14:paraId="028E2C0A">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w:t>
                  </w:r>
                </w:p>
              </w:tc>
            </w:tr>
            <w:tr w14:paraId="460A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1BBFA18D">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面向互联网的Web业务按需纳管率</w:t>
                  </w:r>
                </w:p>
              </w:tc>
              <w:tc>
                <w:tcPr>
                  <w:tcW w:w="1781" w:type="pct"/>
                  <w:vAlign w:val="center"/>
                </w:tcPr>
                <w:p w14:paraId="24FEB4D8">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w:t>
                  </w:r>
                </w:p>
              </w:tc>
            </w:tr>
            <w:tr w14:paraId="6CC7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7F31180F">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高危恶意代码及已知Web攻击发现、告警能力</w:t>
                  </w:r>
                </w:p>
              </w:tc>
              <w:tc>
                <w:tcPr>
                  <w:tcW w:w="1781" w:type="pct"/>
                  <w:vAlign w:val="center"/>
                </w:tcPr>
                <w:p w14:paraId="58A699DE">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具备</w:t>
                  </w:r>
                </w:p>
              </w:tc>
            </w:tr>
            <w:tr w14:paraId="054E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3A17A623">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安全策略集中管理、日志查询和报表输出能力</w:t>
                  </w:r>
                </w:p>
              </w:tc>
              <w:tc>
                <w:tcPr>
                  <w:tcW w:w="1781" w:type="pct"/>
                  <w:vAlign w:val="center"/>
                </w:tcPr>
                <w:p w14:paraId="5D13A9BC">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具备</w:t>
                  </w:r>
                </w:p>
              </w:tc>
            </w:tr>
            <w:tr w14:paraId="5B92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2E666DBC">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网络性能与安全防护无瓶颈高转发</w:t>
                  </w:r>
                </w:p>
              </w:tc>
              <w:tc>
                <w:tcPr>
                  <w:tcW w:w="1781" w:type="pct"/>
                  <w:vAlign w:val="center"/>
                </w:tcPr>
                <w:p w14:paraId="299B01AE">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具备</w:t>
                  </w:r>
                </w:p>
              </w:tc>
            </w:tr>
            <w:tr w14:paraId="32AE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18" w:type="pct"/>
                  <w:vAlign w:val="center"/>
                </w:tcPr>
                <w:p w14:paraId="473A412B">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多链路高可用出口架构，外网流量均衡调度</w:t>
                  </w:r>
                </w:p>
              </w:tc>
              <w:tc>
                <w:tcPr>
                  <w:tcW w:w="1781" w:type="pct"/>
                  <w:vAlign w:val="center"/>
                </w:tcPr>
                <w:p w14:paraId="4761E409">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具备</w:t>
                  </w:r>
                </w:p>
              </w:tc>
            </w:tr>
            <w:tr w14:paraId="5FAB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3218" w:type="pct"/>
                  <w:vAlign w:val="center"/>
                </w:tcPr>
                <w:p w14:paraId="5FF01D7A">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网络安全等级保护合规检查标准</w:t>
                  </w:r>
                </w:p>
              </w:tc>
              <w:tc>
                <w:tcPr>
                  <w:tcW w:w="1781" w:type="pct"/>
                  <w:vAlign w:val="center"/>
                </w:tcPr>
                <w:p w14:paraId="23BAD8A4">
                  <w:pPr>
                    <w:pStyle w:val="7"/>
                    <w:keepNext w:val="0"/>
                    <w:keepLines w:val="0"/>
                    <w:pageBreakBefore w:val="0"/>
                    <w:widowControl/>
                    <w:kinsoku/>
                    <w:wordWrap/>
                    <w:overflowPunct/>
                    <w:topLinePunct w:val="0"/>
                    <w:autoSpaceDE/>
                    <w:autoSpaceDN/>
                    <w:bidi w:val="0"/>
                    <w:adjustRightInd/>
                    <w:snapToGrid/>
                    <w:spacing w:after="200"/>
                    <w:ind w:firstLine="480" w:firstLineChars="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具备</w:t>
                  </w:r>
                </w:p>
              </w:tc>
            </w:tr>
          </w:tbl>
          <w:p w14:paraId="7664C423">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p>
        </w:tc>
      </w:tr>
      <w:tr w14:paraId="567842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6" w:hRule="atLeast"/>
        </w:trPr>
        <w:tc>
          <w:tcPr>
            <w:tcW w:w="748" w:type="dxa"/>
            <w:vAlign w:val="center"/>
          </w:tcPr>
          <w:p w14:paraId="5BEAE4DD">
            <w:pPr>
              <w:pStyle w:val="7"/>
              <w:jc w:val="center"/>
            </w:pPr>
            <w:r>
              <w:rPr>
                <w:rFonts w:ascii="仿宋_GB2312" w:hAnsi="仿宋_GB2312" w:eastAsia="仿宋_GB2312" w:cs="仿宋_GB2312"/>
              </w:rPr>
              <w:t>5</w:t>
            </w:r>
          </w:p>
        </w:tc>
        <w:tc>
          <w:tcPr>
            <w:tcW w:w="847" w:type="dxa"/>
          </w:tcPr>
          <w:p w14:paraId="607F9BBF"/>
        </w:tc>
        <w:tc>
          <w:tcPr>
            <w:tcW w:w="6927" w:type="dxa"/>
          </w:tcPr>
          <w:p w14:paraId="0DBAA45F">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五、</w:t>
            </w:r>
            <w:r>
              <w:rPr>
                <w:rFonts w:hint="eastAsia" w:ascii="仿宋_GB2312" w:hAnsi="仿宋_GB2312" w:eastAsia="仿宋_GB2312" w:cs="仿宋_GB2312"/>
              </w:rPr>
              <w:t>采购数量</w:t>
            </w:r>
          </w:p>
          <w:tbl>
            <w:tblPr>
              <w:tblStyle w:val="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3626"/>
              <w:gridCol w:w="1124"/>
              <w:gridCol w:w="1213"/>
            </w:tblGrid>
            <w:tr w14:paraId="0496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48" w:type="pct"/>
                  <w:tcBorders>
                    <w:bottom w:val="nil"/>
                  </w:tcBorders>
                  <w:vAlign w:val="center"/>
                </w:tcPr>
                <w:p w14:paraId="52B91690">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2706" w:type="pct"/>
                  <w:tcBorders>
                    <w:bottom w:val="nil"/>
                  </w:tcBorders>
                  <w:vAlign w:val="center"/>
                </w:tcPr>
                <w:p w14:paraId="21A36BC7">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采购内容</w:t>
                  </w:r>
                </w:p>
              </w:tc>
              <w:tc>
                <w:tcPr>
                  <w:tcW w:w="839" w:type="pct"/>
                  <w:tcBorders>
                    <w:bottom w:val="nil"/>
                  </w:tcBorders>
                  <w:vAlign w:val="center"/>
                </w:tcPr>
                <w:p w14:paraId="156A867D">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单位</w:t>
                  </w:r>
                </w:p>
              </w:tc>
              <w:tc>
                <w:tcPr>
                  <w:tcW w:w="905" w:type="pct"/>
                  <w:tcBorders>
                    <w:bottom w:val="nil"/>
                  </w:tcBorders>
                  <w:vAlign w:val="center"/>
                </w:tcPr>
                <w:p w14:paraId="32B6310B">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数量</w:t>
                  </w:r>
                </w:p>
              </w:tc>
            </w:tr>
            <w:tr w14:paraId="1E91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14:paraId="1983875C">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2706" w:type="pct"/>
                  <w:vAlign w:val="center"/>
                </w:tcPr>
                <w:p w14:paraId="65EC94DC">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虚拟化安全防护软件（含授权）</w:t>
                  </w:r>
                </w:p>
              </w:tc>
              <w:tc>
                <w:tcPr>
                  <w:tcW w:w="839" w:type="pct"/>
                  <w:vAlign w:val="center"/>
                </w:tcPr>
                <w:p w14:paraId="40179DDA">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点</w:t>
                  </w:r>
                </w:p>
              </w:tc>
              <w:tc>
                <w:tcPr>
                  <w:tcW w:w="905" w:type="pct"/>
                  <w:vAlign w:val="center"/>
                </w:tcPr>
                <w:p w14:paraId="650F9D8B">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p>
              </w:tc>
            </w:tr>
            <w:tr w14:paraId="05C8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14:paraId="5DDB0880">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2706" w:type="pct"/>
                  <w:vAlign w:val="center"/>
                </w:tcPr>
                <w:p w14:paraId="36E208D7">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虚拟化安全管理平台</w:t>
                  </w:r>
                </w:p>
              </w:tc>
              <w:tc>
                <w:tcPr>
                  <w:tcW w:w="839" w:type="pct"/>
                  <w:vAlign w:val="center"/>
                </w:tcPr>
                <w:p w14:paraId="187A00FE">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套</w:t>
                  </w:r>
                </w:p>
              </w:tc>
              <w:tc>
                <w:tcPr>
                  <w:tcW w:w="905" w:type="pct"/>
                  <w:vAlign w:val="center"/>
                </w:tcPr>
                <w:p w14:paraId="1B84BE6F">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14:paraId="46A9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14:paraId="03DEA341">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2706" w:type="pct"/>
                  <w:vAlign w:val="center"/>
                </w:tcPr>
                <w:p w14:paraId="0F299F67">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万兆Web应用防火墙</w:t>
                  </w:r>
                  <w:r>
                    <w:rPr>
                      <w:rFonts w:hint="eastAsia" w:ascii="仿宋_GB2312" w:hAnsi="仿宋_GB2312" w:eastAsia="仿宋_GB2312" w:cs="仿宋_GB2312"/>
                      <w:b/>
                      <w:bCs/>
                      <w:sz w:val="24"/>
                      <w:szCs w:val="24"/>
                      <w:highlight w:val="none"/>
                      <w:lang w:eastAsia="zh-CN"/>
                    </w:rPr>
                    <w:t>（</w:t>
                  </w:r>
                  <w:r>
                    <w:rPr>
                      <w:rFonts w:hint="eastAsia" w:ascii="仿宋_GB2312" w:hAnsi="仿宋_GB2312" w:eastAsia="仿宋_GB2312" w:cs="仿宋_GB2312"/>
                      <w:b/>
                      <w:bCs/>
                      <w:sz w:val="24"/>
                      <w:szCs w:val="24"/>
                      <w:highlight w:val="none"/>
                      <w:lang w:val="en-US" w:eastAsia="zh-CN"/>
                    </w:rPr>
                    <w:t>核心产品</w:t>
                  </w:r>
                  <w:r>
                    <w:rPr>
                      <w:rFonts w:hint="eastAsia" w:ascii="仿宋_GB2312" w:hAnsi="仿宋_GB2312" w:eastAsia="仿宋_GB2312" w:cs="仿宋_GB2312"/>
                      <w:b/>
                      <w:bCs/>
                      <w:sz w:val="24"/>
                      <w:szCs w:val="24"/>
                      <w:highlight w:val="none"/>
                      <w:lang w:eastAsia="zh-CN"/>
                    </w:rPr>
                    <w:t>）</w:t>
                  </w:r>
                </w:p>
              </w:tc>
              <w:tc>
                <w:tcPr>
                  <w:tcW w:w="839" w:type="pct"/>
                  <w:vAlign w:val="center"/>
                </w:tcPr>
                <w:p w14:paraId="4AD4DB07">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台</w:t>
                  </w:r>
                </w:p>
              </w:tc>
              <w:tc>
                <w:tcPr>
                  <w:tcW w:w="905" w:type="pct"/>
                  <w:vAlign w:val="center"/>
                </w:tcPr>
                <w:p w14:paraId="62E3869D">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14:paraId="42D5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14:paraId="620310B9">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2706" w:type="pct"/>
                  <w:vAlign w:val="center"/>
                </w:tcPr>
                <w:p w14:paraId="2AA574F5">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负载均衡出口链路负载授权</w:t>
                  </w:r>
                </w:p>
              </w:tc>
              <w:tc>
                <w:tcPr>
                  <w:tcW w:w="839" w:type="pct"/>
                  <w:vAlign w:val="center"/>
                </w:tcPr>
                <w:p w14:paraId="28849620">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条</w:t>
                  </w:r>
                </w:p>
              </w:tc>
              <w:tc>
                <w:tcPr>
                  <w:tcW w:w="905" w:type="pct"/>
                  <w:vAlign w:val="center"/>
                </w:tcPr>
                <w:p w14:paraId="0180092B">
                  <w:pPr>
                    <w:pStyle w:val="7"/>
                    <w:keepNext w:val="0"/>
                    <w:keepLines w:val="0"/>
                    <w:pageBreakBefore w:val="0"/>
                    <w:widowControl/>
                    <w:kinsoku/>
                    <w:wordWrap/>
                    <w:overflowPunct/>
                    <w:topLinePunct w:val="0"/>
                    <w:autoSpaceDE/>
                    <w:autoSpaceDN/>
                    <w:bidi w:val="0"/>
                    <w:adjustRightInd/>
                    <w:snapToGrid/>
                    <w:spacing w:after="20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r>
          </w:tbl>
          <w:p w14:paraId="0B66059F">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说明：</w:t>
            </w:r>
          </w:p>
          <w:p w14:paraId="47C0D6C8">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①虚拟化安全防护授权按虚拟化节点CPU数量配置，满足不少于20颗主机CPU的平台授权，不限制虚拟化平台虚拟机数量。</w:t>
            </w:r>
          </w:p>
          <w:p w14:paraId="204863BD">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②报价应包含产品授权、配套软硬件、运输、安装部署、策略配置、系统对接、调试、培训、售后服务、税费及项目实施所需的全部费用。</w:t>
            </w:r>
          </w:p>
        </w:tc>
      </w:tr>
      <w:tr w14:paraId="384EA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50" w:hRule="atLeast"/>
        </w:trPr>
        <w:tc>
          <w:tcPr>
            <w:tcW w:w="748" w:type="dxa"/>
            <w:vAlign w:val="center"/>
          </w:tcPr>
          <w:p w14:paraId="0E71A29B">
            <w:pPr>
              <w:pStyle w:val="7"/>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847" w:type="dxa"/>
          </w:tcPr>
          <w:p w14:paraId="1E3CB13D"/>
        </w:tc>
        <w:tc>
          <w:tcPr>
            <w:tcW w:w="6927" w:type="dxa"/>
          </w:tcPr>
          <w:p w14:paraId="63C9B35D">
            <w:pPr>
              <w:pStyle w:val="7"/>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六、主要技术参数</w:t>
            </w:r>
          </w:p>
          <w:p w14:paraId="4DD236B9">
            <w:pPr>
              <w:pStyle w:val="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以下技术参数为项目基本需求，所投产品性能和功能应等于或优于下列要求。</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1250"/>
              <w:gridCol w:w="4938"/>
            </w:tblGrid>
            <w:tr w14:paraId="1571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vAlign w:val="center"/>
                </w:tcPr>
                <w:p w14:paraId="16664D64">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序号</w:t>
                  </w:r>
                </w:p>
              </w:tc>
              <w:tc>
                <w:tcPr>
                  <w:tcW w:w="933" w:type="pct"/>
                  <w:vAlign w:val="center"/>
                </w:tcPr>
                <w:p w14:paraId="578A2B91">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设备名称</w:t>
                  </w:r>
                </w:p>
              </w:tc>
              <w:tc>
                <w:tcPr>
                  <w:tcW w:w="3684" w:type="pct"/>
                  <w:vAlign w:val="center"/>
                </w:tcPr>
                <w:p w14:paraId="546A6028">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技术参数</w:t>
                  </w:r>
                </w:p>
              </w:tc>
            </w:tr>
            <w:tr w14:paraId="6136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vAlign w:val="center"/>
                </w:tcPr>
                <w:p w14:paraId="5C414C2D">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933" w:type="pct"/>
                  <w:vAlign w:val="center"/>
                </w:tcPr>
                <w:p w14:paraId="5DCDB921">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 xml:space="preserve">虚拟化安全管理平台 </w:t>
                  </w:r>
                </w:p>
              </w:tc>
              <w:tc>
                <w:tcPr>
                  <w:tcW w:w="3684" w:type="pct"/>
                  <w:vAlign w:val="top"/>
                </w:tcPr>
                <w:p w14:paraId="79BD0525">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lang w:val="en-US" w:eastAsia="zh-Hans"/>
                    </w:rPr>
                    <w:t>1.▲提供1个无代理管理中</w:t>
                  </w:r>
                  <w:r>
                    <w:rPr>
                      <w:rFonts w:hint="eastAsia" w:ascii="仿宋_GB2312" w:hAnsi="仿宋_GB2312" w:eastAsia="仿宋_GB2312" w:cs="仿宋_GB2312"/>
                      <w:highlight w:val="none"/>
                      <w:lang w:val="en-US" w:eastAsia="zh-Hans"/>
                    </w:rPr>
                    <w:t>心，不支持有代理架构</w:t>
                  </w:r>
                  <w:r>
                    <w:rPr>
                      <w:rFonts w:hint="eastAsia" w:ascii="仿宋_GB2312" w:hAnsi="仿宋_GB2312" w:eastAsia="仿宋_GB2312" w:cs="仿宋_GB2312"/>
                      <w:highlight w:val="none"/>
                      <w:lang w:val="en-US" w:eastAsia="zh-CN"/>
                    </w:rPr>
                    <w:t>。</w:t>
                  </w:r>
                </w:p>
                <w:p w14:paraId="637B4CFB">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Hans"/>
                    </w:rPr>
                  </w:pPr>
                  <w:r>
                    <w:rPr>
                      <w:rFonts w:hint="eastAsia" w:ascii="仿宋_GB2312" w:hAnsi="仿宋_GB2312" w:eastAsia="仿宋_GB2312" w:cs="仿宋_GB2312"/>
                      <w:highlight w:val="none"/>
                      <w:lang w:val="en-US" w:eastAsia="zh-Hans"/>
                    </w:rPr>
                    <w:t>2.支持Linux、windows客户端在同一页面进行集</w:t>
                  </w:r>
                  <w:r>
                    <w:rPr>
                      <w:rFonts w:hint="eastAsia" w:ascii="仿宋_GB2312" w:hAnsi="仿宋_GB2312" w:eastAsia="仿宋_GB2312" w:cs="仿宋_GB2312"/>
                      <w:lang w:val="en-US" w:eastAsia="zh-Hans"/>
                    </w:rPr>
                    <w:t>中管理。</w:t>
                  </w:r>
                </w:p>
                <w:p w14:paraId="0C4532CC">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yellow"/>
                      <w:lang w:val="en-US" w:eastAsia="zh-CN"/>
                    </w:rPr>
                  </w:pPr>
                  <w:r>
                    <w:rPr>
                      <w:rFonts w:hint="eastAsia" w:ascii="仿宋_GB2312" w:hAnsi="仿宋_GB2312" w:eastAsia="仿宋_GB2312" w:cs="仿宋_GB2312"/>
                      <w:lang w:val="en-US" w:eastAsia="zh-Hans"/>
                    </w:rPr>
                    <w:t>3.</w:t>
                  </w:r>
                  <w:r>
                    <w:rPr>
                      <w:rFonts w:hint="eastAsia" w:ascii="仿宋_GB2312" w:hAnsi="仿宋_GB2312" w:eastAsia="仿宋_GB2312" w:cs="仿宋_GB2312"/>
                      <w:color w:val="auto"/>
                      <w:highlight w:val="none"/>
                      <w:lang w:val="en-US" w:eastAsia="zh-Hans"/>
                    </w:rPr>
                    <w:t>无代理模式支持现有环境下新华三CAS云平台。</w:t>
                  </w:r>
                </w:p>
                <w:p w14:paraId="0881F4D5">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Hans"/>
                    </w:rPr>
                    <w:t>4.支持云平台虚拟机自动感知自动防护</w:t>
                  </w:r>
                  <w:r>
                    <w:rPr>
                      <w:rFonts w:hint="eastAsia" w:ascii="仿宋_GB2312" w:hAnsi="仿宋_GB2312" w:eastAsia="仿宋_GB2312" w:cs="仿宋_GB2312"/>
                      <w:lang w:val="en-US" w:eastAsia="zh-CN"/>
                    </w:rPr>
                    <w:t>。</w:t>
                  </w:r>
                </w:p>
              </w:tc>
            </w:tr>
            <w:tr w14:paraId="614F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vAlign w:val="center"/>
                </w:tcPr>
                <w:p w14:paraId="4B110EAC">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w:t>
                  </w:r>
                </w:p>
              </w:tc>
              <w:tc>
                <w:tcPr>
                  <w:tcW w:w="933" w:type="pct"/>
                  <w:vAlign w:val="center"/>
                </w:tcPr>
                <w:p w14:paraId="7E0ED6D8">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虚拟化安全防护软件（含授权）</w:t>
                  </w:r>
                </w:p>
              </w:tc>
              <w:tc>
                <w:tcPr>
                  <w:tcW w:w="3684" w:type="pct"/>
                </w:tcPr>
                <w:p w14:paraId="4052C076">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1.▲支持在KVM宿主机内核层或虚拟交换层直接、实时地获取镜像流量。严禁在虚拟机（Guest VM）中安装任何Agent或驱动，确保安全能力与业务逻辑完全解耦，不对业务虚拟机的性能、稳定性和运维习惯造成任何影响。</w:t>
                  </w:r>
                </w:p>
                <w:p w14:paraId="39B58881">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2.支持通过行为监控的方式，如检测可疑活动和未经授权的更改，防止勒索软件感染，并提供针对勒索软件事件专有历史纪录和勒索软件统计的监控组件。</w:t>
                  </w:r>
                </w:p>
                <w:p w14:paraId="40C564FB">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3.支持网络访问控制功能，自定义防火墙策略，支持检测扫描器、黑客工具对主机的探测侦察，支持扫描IP的阻断周期设置</w:t>
                  </w:r>
                </w:p>
                <w:p w14:paraId="53C017B8">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yellow"/>
                      <w:lang w:val="en-US" w:eastAsia="zh-CN"/>
                    </w:rPr>
                  </w:pPr>
                  <w:r>
                    <w:rPr>
                      <w:rFonts w:hint="eastAsia" w:ascii="仿宋_GB2312" w:hAnsi="仿宋_GB2312" w:eastAsia="仿宋_GB2312" w:cs="仿宋_GB2312"/>
                      <w:lang w:val="en-US" w:eastAsia="zh-CN"/>
                    </w:rPr>
                    <w:t>4.支持虚拟补丁规则自定义，</w:t>
                  </w:r>
                  <w:r>
                    <w:rPr>
                      <w:rFonts w:hint="eastAsia" w:ascii="仿宋_GB2312" w:hAnsi="仿宋_GB2312" w:eastAsia="仿宋_GB2312" w:cs="仿宋_GB2312"/>
                      <w:color w:val="auto"/>
                      <w:highlight w:val="none"/>
                      <w:lang w:val="en-US" w:eastAsia="zh-CN"/>
                    </w:rPr>
                    <w:t>虚拟补丁规则不少于8000条。</w:t>
                  </w:r>
                </w:p>
                <w:p w14:paraId="5350B176">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5.具备web信誉库，通过Web信誉支持阻止主机访问恶意站点，支持恶意站点自定义。</w:t>
                  </w:r>
                </w:p>
                <w:p w14:paraId="007F5F51">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6.支持病毒定时扫描&amp;立即扫描和实时扫描三种模式，具备虚拟机文件缓存扫描配置，提高扫描效率。</w:t>
                  </w:r>
                </w:p>
                <w:p w14:paraId="5A70CC19">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lang w:val="en-US" w:eastAsia="zh-CN"/>
                    </w:rPr>
                    <w:t>7.▲支持</w:t>
                  </w:r>
                  <w:r>
                    <w:rPr>
                      <w:rFonts w:hint="eastAsia" w:ascii="仿宋_GB2312" w:hAnsi="仿宋_GB2312" w:eastAsia="仿宋_GB2312" w:cs="仿宋_GB2312"/>
                      <w:highlight w:val="none"/>
                      <w:lang w:val="en-US" w:eastAsia="zh-CN"/>
                    </w:rPr>
                    <w:t>新华三平台无代理深度防护授权，不支持有代理架构。</w:t>
                  </w:r>
                </w:p>
                <w:p w14:paraId="1CF7299F">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8.产品具有虚拟化安全防护网专检测，（增强级）检测报告。</w:t>
                  </w:r>
                </w:p>
                <w:p w14:paraId="0C85DBC8">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default" w:ascii="仿宋_GB2312" w:hAnsi="仿宋_GB2312" w:eastAsia="仿宋_GB2312" w:cs="仿宋_GB2312"/>
                      <w:lang w:val="en-US" w:eastAsia="zh-CN"/>
                    </w:rPr>
                  </w:pPr>
                  <w:bookmarkStart w:id="0" w:name="OLE_LINK5"/>
                  <w:r>
                    <w:rPr>
                      <w:rFonts w:hint="eastAsia" w:ascii="仿宋_GB2312" w:hAnsi="仿宋_GB2312" w:eastAsia="仿宋_GB2312" w:cs="仿宋_GB2312"/>
                      <w:highlight w:val="none"/>
                      <w:lang w:val="en-US" w:eastAsia="zh-CN"/>
                    </w:rPr>
                    <w:t>9.</w:t>
                  </w:r>
                  <w:bookmarkEnd w:id="0"/>
                  <w:r>
                    <w:rPr>
                      <w:rFonts w:hint="eastAsia" w:ascii="仿宋_GB2312" w:hAnsi="仿宋_GB2312" w:eastAsia="仿宋_GB2312" w:cs="仿宋_GB2312"/>
                      <w:highlight w:val="none"/>
                      <w:lang w:val="en-US" w:eastAsia="zh-CN"/>
                    </w:rPr>
                    <w:t>▲提供≥20 CPU云主机/服务器深度防护授权，不限制所防护的虚拟机数量，</w:t>
                  </w:r>
                  <w:r>
                    <w:rPr>
                      <w:rFonts w:hint="eastAsia" w:ascii="仿宋_GB2312" w:hAnsi="仿宋_GB2312" w:eastAsia="仿宋_GB2312" w:cs="仿宋_GB2312"/>
                      <w:lang w:val="en-US" w:eastAsia="zh-CN"/>
                    </w:rPr>
                    <w:t>提供3年病毒库、虚拟补丁升级及软件升级服务。</w:t>
                  </w:r>
                </w:p>
              </w:tc>
            </w:tr>
            <w:tr w14:paraId="71A3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2" w:type="pct"/>
                  <w:vAlign w:val="center"/>
                </w:tcPr>
                <w:p w14:paraId="17C61353">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933" w:type="pct"/>
                  <w:vAlign w:val="center"/>
                </w:tcPr>
                <w:p w14:paraId="4572A651">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highlight w:val="none"/>
                      <w:lang w:val="en-US" w:eastAsia="zh-CN"/>
                    </w:rPr>
                    <w:t>万兆Web应用防火墙</w:t>
                  </w:r>
                  <w:r>
                    <w:rPr>
                      <w:rFonts w:hint="eastAsia" w:ascii="仿宋_GB2312" w:hAnsi="仿宋_GB2312" w:eastAsia="仿宋_GB2312" w:cs="仿宋_GB2312"/>
                      <w:b/>
                      <w:bCs/>
                      <w:highlight w:val="none"/>
                      <w:lang w:val="en-US" w:eastAsia="zh-CN"/>
                    </w:rPr>
                    <w:t>（核心产品）</w:t>
                  </w:r>
                </w:p>
              </w:tc>
              <w:tc>
                <w:tcPr>
                  <w:tcW w:w="3684" w:type="pct"/>
                </w:tcPr>
                <w:p w14:paraId="1921E632">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硬件参数：</w:t>
                  </w:r>
                </w:p>
                <w:p w14:paraId="74D4D08A">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1.网络层吞吐≥10Gbps;HTTP应用层吞吐量≥8Gbps;HTTP最大新建数≥30000个;HTTP最大并发数≥1000000个。</w:t>
                  </w:r>
                </w:p>
                <w:p w14:paraId="23514455">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2.▲标准机架式设备，冗余电源，千兆电口≥6个(含2对BYPASS)，千兆光口≥4个，万兆光口≥4个（含光模块）。提供3年特征库、威胁情报升级服务。</w:t>
                  </w:r>
                </w:p>
                <w:p w14:paraId="0D986EEA">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功能要求：</w:t>
                  </w:r>
                </w:p>
                <w:p w14:paraId="2BE3B610">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支持透明串接、反向代理、旁路镜像、路由牵引、嵌入式部署等多种部署模式部署。能够针对单个接口配置IP地址池、反代模式下后端连接使用IP地址池中的IP作为源地址进行轮询，支持不同目的的网络配置不同网关的策略路由。提供相关证明截图。</w:t>
                  </w:r>
                </w:p>
                <w:p w14:paraId="59CC6059">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2.支持4层和7层服务器健康状态检查， 7层健康检查支持检测时间间隔配置、支持检测状态码选择（包括2XX、3XX、4XX、5XX）、支持请求方法的配置（GET/OPTION）、支持健康检查路径及检查次数阀值的配置。</w:t>
                  </w:r>
                </w:p>
                <w:p w14:paraId="10991CB0">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3.▲可对保护站点的安全性基于</w:t>
                  </w:r>
                  <w:r>
                    <w:rPr>
                      <w:rFonts w:hint="eastAsia" w:ascii="仿宋_GB2312" w:hAnsi="仿宋_GB2312" w:eastAsia="仿宋_GB2312" w:cs="仿宋_GB2312"/>
                      <w:highlight w:val="none"/>
                      <w:lang w:val="en-US" w:eastAsia="zh-CN"/>
                    </w:rPr>
                    <w:t>PCI DSS标准</w:t>
                  </w:r>
                  <w:r>
                    <w:rPr>
                      <w:rFonts w:hint="eastAsia" w:ascii="仿宋_GB2312" w:hAnsi="仿宋_GB2312" w:eastAsia="仿宋_GB2312" w:cs="仿宋_GB2312"/>
                      <w:lang w:val="en-US" w:eastAsia="zh-CN"/>
                    </w:rPr>
                    <w:t>进行在线评估，根据评估的结果建议进行相应调整，可在线查看满足情况。并可对评估结果进行导出，导出格式支持DOC、HTML、PDF。提供相关证明截图。</w:t>
                  </w:r>
                </w:p>
                <w:p w14:paraId="5CEE440F">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支持自动发现网络环境中存在的Web服务器，包括HTTP业务、HTTPS业务。可记录服务器的IP、端口、协议、IP类型域名等信息。并且针对HTTP业务，可设置侦测后的自动部署，自动部署时，可选择防护模板、处理方式以及可选择开启阻断或观察模式。提供相关证明截图。</w:t>
                  </w:r>
                </w:p>
                <w:p w14:paraId="48D93E52">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5.能够针对每个站点，设置对应防护规则下URL白名单，即当针对某条规则设置URL白名单后，该规则将不对此URL进行检测。并支持对URL白名单进行报表形式的导出。</w:t>
                  </w:r>
                </w:p>
                <w:p w14:paraId="5138B53E">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6.支持信息泄露防护，应包括防护文件目录信息泄露、服务器信息泄露、数据库信息泄露、源码信息泄露、SVN/Git信息泄露、常见备份文件信息泄露、Office信息泄露、统计信息泄露等。</w:t>
                  </w:r>
                </w:p>
                <w:p w14:paraId="078DE31E">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7.支持语义分析能力，可对SQL注入、XSS、代码注入等攻击行为进行防护。</w:t>
                  </w:r>
                </w:p>
                <w:p w14:paraId="694EB656">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8.支持对HTTP请求进行限制，应包括对请求内容处理出错进行检查验证、对同名参数请求进行检查验证。</w:t>
                  </w:r>
                </w:p>
                <w:p w14:paraId="0BB5E32D">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9.支持客户端安全防护，能够通过WAF向服务器返回信息插入特殊的HTTP报头</w:t>
                  </w:r>
                  <w:r>
                    <w:rPr>
                      <w:rFonts w:hint="eastAsia" w:ascii="仿宋_GB2312" w:hAnsi="仿宋_GB2312" w:eastAsia="仿宋_GB2312" w:cs="仿宋_GB2312"/>
                      <w:color w:val="auto"/>
                      <w:highlight w:val="none"/>
                      <w:lang w:val="en-US" w:eastAsia="zh-CN"/>
                    </w:rPr>
                    <w:t>（包括X-Frame-Options、X-Content-Type-Options、Content-Security-Policy等）</w:t>
                  </w:r>
                  <w:r>
                    <w:rPr>
                      <w:rFonts w:hint="eastAsia" w:ascii="仿宋_GB2312" w:hAnsi="仿宋_GB2312" w:eastAsia="仿宋_GB2312" w:cs="仿宋_GB2312"/>
                      <w:color w:val="auto"/>
                      <w:lang w:val="en-US" w:eastAsia="zh-CN"/>
                    </w:rPr>
                    <w:t>，以客</w:t>
                  </w:r>
                  <w:r>
                    <w:rPr>
                      <w:rFonts w:hint="eastAsia" w:ascii="仿宋_GB2312" w:hAnsi="仿宋_GB2312" w:eastAsia="仿宋_GB2312" w:cs="仿宋_GB2312"/>
                      <w:lang w:val="en-US" w:eastAsia="zh-CN"/>
                    </w:rPr>
                    <w:t>户端免受相应攻击。提供相关证明截图。</w:t>
                  </w:r>
                </w:p>
                <w:p w14:paraId="2DBBBD8E">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10.对于检测内容的字段，匹配的动作应涵盖：包含、不包含、完全匹配、不匹配、正则匹配、正则不匹配等。</w:t>
                  </w:r>
                </w:p>
                <w:p w14:paraId="1663C0E9">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11.支持对CC攻击进行检测和防护，能够配置URL参数、请求头部字段、目的IP、请求方法、地理位置组成的匹配条件；能够对请求速率、请求集中度、请求离散度进行检测。提供相关证明截图。</w:t>
                  </w:r>
                </w:p>
                <w:p w14:paraId="0BEC79B3">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12.支持记录应用防护日志、网络防护日志、访问日志、慢攻击日志、防篡改日志、系统操作日志。</w:t>
                  </w:r>
                </w:p>
                <w:p w14:paraId="0A056D58">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13.能够根据产生的安全日志进行智能分析，展示触发客户端数、触发概率、结论等，帮助提高人工分析效率，减小规则误判概率。</w:t>
                  </w:r>
                </w:p>
                <w:p w14:paraId="1FD5D06B">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14.支持实时、定时报表。可选择内置报表模板或自定义报表模板，以日报/周报/月报的形式进行邮件发送。发送格式支持选择HTML/WORD/PDF。诊断工具支持在线抓包、ping、curl、Traceroute、tcping、在线查看设备路由表、邻居表。</w:t>
                  </w:r>
                </w:p>
              </w:tc>
            </w:tr>
            <w:tr w14:paraId="787DA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382" w:type="pct"/>
                  <w:vAlign w:val="center"/>
                </w:tcPr>
                <w:p w14:paraId="2239D3F4">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933" w:type="pct"/>
                  <w:vAlign w:val="center"/>
                </w:tcPr>
                <w:p w14:paraId="7429F867">
                  <w:pPr>
                    <w:pStyle w:val="3"/>
                    <w:keepNext w:val="0"/>
                    <w:keepLines w:val="0"/>
                    <w:pageBreakBefore w:val="0"/>
                    <w:widowControl w:val="0"/>
                    <w:kinsoku/>
                    <w:wordWrap/>
                    <w:overflowPunct/>
                    <w:topLinePunct w:val="0"/>
                    <w:autoSpaceDE/>
                    <w:autoSpaceDN/>
                    <w:bidi w:val="0"/>
                    <w:adjustRightInd/>
                    <w:snapToGrid/>
                    <w:spacing w:before="40" w:after="40" w:line="440" w:lineRule="exact"/>
                    <w:jc w:val="center"/>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负载均衡出口链路负载授权</w:t>
                  </w:r>
                </w:p>
              </w:tc>
              <w:tc>
                <w:tcPr>
                  <w:tcW w:w="3684" w:type="pct"/>
                </w:tcPr>
                <w:p w14:paraId="7FFD74FF">
                  <w:pPr>
                    <w:pStyle w:val="3"/>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提供现有互联网出口负载均衡增加不少于5条链路负载授权。授权采用终生授权，永久使用，无时间限制。</w:t>
                  </w:r>
                </w:p>
                <w:p w14:paraId="59D723ED">
                  <w:pPr>
                    <w:pStyle w:val="2"/>
                    <w:rPr>
                      <w:rFonts w:hint="eastAsia" w:ascii="仿宋_GB2312" w:hAnsi="仿宋_GB2312" w:eastAsia="仿宋_GB2312" w:cs="仿宋_GB2312"/>
                      <w:highlight w:val="none"/>
                      <w:lang w:val="en-US" w:eastAsia="zh-CN"/>
                    </w:rPr>
                  </w:pPr>
                  <w:r>
                    <w:rPr>
                      <w:rFonts w:hint="eastAsia" w:ascii="仿宋_GB2312" w:hAnsi="仿宋_GB2312" w:eastAsia="仿宋_GB2312" w:cs="仿宋_GB2312"/>
                      <w:kern w:val="2"/>
                      <w:sz w:val="21"/>
                      <w:szCs w:val="24"/>
                      <w:highlight w:val="none"/>
                      <w:lang w:val="en-US" w:eastAsia="zh-CN" w:bidi="ar-SA"/>
                    </w:rPr>
                    <w:t>注：现有出口负载设备为深信服负载均衡设备，型号：AD-1000-RC3130，软件本本：7.0.26R2</w:t>
                  </w:r>
                </w:p>
              </w:tc>
            </w:tr>
          </w:tbl>
          <w:p w14:paraId="058B5C41">
            <w:pPr>
              <w:pStyle w:val="7"/>
              <w:rPr>
                <w:rFonts w:hint="default"/>
                <w:lang w:val="en-US" w:eastAsia="zh-CN"/>
              </w:rPr>
            </w:pPr>
          </w:p>
        </w:tc>
      </w:tr>
      <w:tr w14:paraId="612888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79" w:hRule="atLeast"/>
        </w:trPr>
        <w:tc>
          <w:tcPr>
            <w:tcW w:w="748" w:type="dxa"/>
            <w:vAlign w:val="center"/>
          </w:tcPr>
          <w:p w14:paraId="17799FEF">
            <w:pPr>
              <w:pStyle w:val="7"/>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7</w:t>
            </w:r>
          </w:p>
        </w:tc>
        <w:tc>
          <w:tcPr>
            <w:tcW w:w="847" w:type="dxa"/>
          </w:tcPr>
          <w:p w14:paraId="373493A5"/>
        </w:tc>
        <w:tc>
          <w:tcPr>
            <w:tcW w:w="6927" w:type="dxa"/>
          </w:tcPr>
          <w:p w14:paraId="5F0EDDB4">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七、产品要求</w:t>
            </w:r>
          </w:p>
          <w:p w14:paraId="64B19216">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1.所投产品应为成熟、稳定的产品，具备合法来源和完整授权，不接受停产、淘汰或已停止技术支持的产品。</w:t>
            </w:r>
          </w:p>
          <w:p w14:paraId="3EB57526">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2.投标人应承诺所投产品与学校现有环境兼容。因兼容性问题导致无法实现项目目标的，由投标人负责整改并承担相关费用。</w:t>
            </w:r>
          </w:p>
          <w:p w14:paraId="498ED185">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3.本项目组织现场踏勘，投标人在投标文件中需对于项目实施方案有具体描述；涉及网络调整、业务切换和策略变更的操作，须经学校确认后实施。</w:t>
            </w:r>
          </w:p>
          <w:p w14:paraId="23833983">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4.项目实施不得影响学校现有业务正常运行。确需中断业务的，应提前制定切换和回退方案，并按学校批准的时间窗口实施。</w:t>
            </w:r>
          </w:p>
          <w:p w14:paraId="1EADD4D5">
            <w:pPr>
              <w:pStyle w:val="7"/>
              <w:rPr>
                <w:rFonts w:hint="default"/>
                <w:lang w:val="en-US" w:eastAsia="zh-CN"/>
              </w:rPr>
            </w:pPr>
            <w:r>
              <w:rPr>
                <w:rFonts w:hint="eastAsia" w:ascii="仿宋_GB2312" w:hAnsi="仿宋_GB2312" w:eastAsia="仿宋_GB2312" w:cs="仿宋_GB2312"/>
                <w:kern w:val="2"/>
                <w:sz w:val="21"/>
                <w:szCs w:val="24"/>
                <w:lang w:val="en-US" w:eastAsia="zh-CN" w:bidi="ar-SA"/>
              </w:rPr>
              <w:t>5.投标人应完成系统安装、调试、策略优化、试运行和文档交付，并配合学校完成验收。</w:t>
            </w:r>
          </w:p>
        </w:tc>
      </w:tr>
      <w:tr w14:paraId="2553B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46" w:hRule="atLeast"/>
        </w:trPr>
        <w:tc>
          <w:tcPr>
            <w:tcW w:w="748" w:type="dxa"/>
            <w:vAlign w:val="center"/>
          </w:tcPr>
          <w:p w14:paraId="3B49C1F9">
            <w:pPr>
              <w:pStyle w:val="7"/>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8</w:t>
            </w:r>
          </w:p>
        </w:tc>
        <w:tc>
          <w:tcPr>
            <w:tcW w:w="847" w:type="dxa"/>
          </w:tcPr>
          <w:p w14:paraId="2D3FD709"/>
        </w:tc>
        <w:tc>
          <w:tcPr>
            <w:tcW w:w="6927" w:type="dxa"/>
          </w:tcPr>
          <w:p w14:paraId="7C7CBD1C">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八、售后服务要求</w:t>
            </w:r>
          </w:p>
          <w:p w14:paraId="06C539EE">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1</w:t>
            </w:r>
            <w:r>
              <w:rPr>
                <w:rFonts w:hint="default" w:ascii="仿宋_GB2312" w:hAnsi="仿宋_GB2312" w:eastAsia="仿宋_GB2312" w:cs="仿宋_GB2312"/>
                <w:kern w:val="2"/>
                <w:sz w:val="21"/>
                <w:szCs w:val="24"/>
                <w:lang w:val="en-US" w:eastAsia="zh-CN" w:bidi="ar-SA"/>
              </w:rPr>
              <w:t>.售后响应：提供7×24小时故障受理服务；接到故障通知后2小时内响应。一般故障应在24小时内解决；重大故障无法远程解决时，应在48小时内到达现场，并采取应急措施保障业务运行。</w:t>
            </w:r>
          </w:p>
          <w:p w14:paraId="434AA2EF">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2</w:t>
            </w:r>
            <w:r>
              <w:rPr>
                <w:rFonts w:hint="default" w:ascii="仿宋_GB2312" w:hAnsi="仿宋_GB2312" w:eastAsia="仿宋_GB2312" w:cs="仿宋_GB2312"/>
                <w:kern w:val="2"/>
                <w:sz w:val="21"/>
                <w:szCs w:val="24"/>
                <w:lang w:val="en-US" w:eastAsia="zh-CN" w:bidi="ar-SA"/>
              </w:rPr>
              <w:t>.培训要求：提供不少于2次现场技术培训，内容包括系统架构、日常操作、策略配置、日志分析、故障处理和日常维护等。</w:t>
            </w:r>
          </w:p>
          <w:p w14:paraId="2B03FF4E">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3</w:t>
            </w:r>
            <w:r>
              <w:rPr>
                <w:rFonts w:hint="default" w:ascii="仿宋_GB2312" w:hAnsi="仿宋_GB2312" w:eastAsia="仿宋_GB2312" w:cs="仿宋_GB2312"/>
                <w:kern w:val="2"/>
                <w:sz w:val="21"/>
                <w:szCs w:val="24"/>
                <w:lang w:val="en-US" w:eastAsia="zh-CN" w:bidi="ar-SA"/>
              </w:rPr>
              <w:t>.文档要求：提交项目实施方案、部署拓扑、设备及授权清单、配置文档、测试报告、试运行报告、培训材料、用户手册、运维手册和验收材料等。</w:t>
            </w:r>
          </w:p>
        </w:tc>
      </w:tr>
      <w:tr w14:paraId="79825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46" w:hRule="atLeast"/>
        </w:trPr>
        <w:tc>
          <w:tcPr>
            <w:tcW w:w="748" w:type="dxa"/>
            <w:vAlign w:val="center"/>
          </w:tcPr>
          <w:p w14:paraId="58FD8835">
            <w:pPr>
              <w:pStyle w:val="7"/>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9</w:t>
            </w:r>
          </w:p>
        </w:tc>
        <w:tc>
          <w:tcPr>
            <w:tcW w:w="847" w:type="dxa"/>
          </w:tcPr>
          <w:p w14:paraId="4123E95A"/>
        </w:tc>
        <w:tc>
          <w:tcPr>
            <w:tcW w:w="6927" w:type="dxa"/>
          </w:tcPr>
          <w:p w14:paraId="30AC11FD">
            <w:pPr>
              <w:pStyle w:val="7"/>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九、其他要求</w:t>
            </w:r>
          </w:p>
          <w:p w14:paraId="32D62599">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1.★</w:t>
            </w:r>
            <w:r>
              <w:rPr>
                <w:rFonts w:hint="default" w:ascii="仿宋_GB2312" w:hAnsi="仿宋_GB2312" w:eastAsia="仿宋_GB2312" w:cs="仿宋_GB2312"/>
                <w:kern w:val="2"/>
                <w:sz w:val="21"/>
                <w:szCs w:val="24"/>
                <w:lang w:val="en-US" w:eastAsia="zh-CN" w:bidi="ar-SA"/>
              </w:rPr>
              <w:t>所投产品如属于国家规定的网络安全专用产品目录范围，应提供有效的网络安全专用产品安全认证或安全检测证明材料。</w:t>
            </w:r>
          </w:p>
          <w:p w14:paraId="57E3C2AD">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2</w:t>
            </w:r>
            <w:r>
              <w:rPr>
                <w:rFonts w:hint="default" w:ascii="仿宋_GB2312" w:hAnsi="仿宋_GB2312" w:eastAsia="仿宋_GB2312" w:cs="仿宋_GB2312"/>
                <w:kern w:val="2"/>
                <w:sz w:val="21"/>
                <w:szCs w:val="24"/>
                <w:lang w:val="en-US" w:eastAsia="zh-CN" w:bidi="ar-SA"/>
              </w:rPr>
              <w:t>.所投产品及项目实施应符合《中华人民共和国网络安全法》《中华人民共和国数据安全法》《中华人民共和国个人信息保护法》等法律法规的相关要求。</w:t>
            </w:r>
          </w:p>
          <w:p w14:paraId="346B2389">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3</w:t>
            </w:r>
            <w:r>
              <w:rPr>
                <w:rFonts w:hint="default" w:ascii="仿宋_GB2312" w:hAnsi="仿宋_GB2312" w:eastAsia="仿宋_GB2312" w:cs="仿宋_GB2312"/>
                <w:kern w:val="2"/>
                <w:sz w:val="21"/>
                <w:szCs w:val="24"/>
                <w:lang w:val="en-US" w:eastAsia="zh-CN" w:bidi="ar-SA"/>
              </w:rPr>
              <w:t>.所投产品及服务应符合国家网络安全等级保护制度及现行相关国家标准要求。</w:t>
            </w:r>
          </w:p>
          <w:p w14:paraId="6D2DB824">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4</w:t>
            </w:r>
            <w:r>
              <w:rPr>
                <w:rFonts w:hint="default" w:ascii="仿宋_GB2312" w:hAnsi="仿宋_GB2312" w:eastAsia="仿宋_GB2312" w:cs="仿宋_GB2312"/>
                <w:kern w:val="2"/>
                <w:sz w:val="21"/>
                <w:szCs w:val="24"/>
                <w:lang w:val="en-US" w:eastAsia="zh-CN" w:bidi="ar-SA"/>
              </w:rPr>
              <w:t>.项目实施人员应遵守学校网络安全、数据保密和现场管理制度。未经学校书面许可，不得复制、留存、泄露或向第三方提供项目实施过程中接触的网络配置、系统信息、日志及其他数据。</w:t>
            </w:r>
          </w:p>
          <w:p w14:paraId="025C5480">
            <w:pPr>
              <w:pStyle w:val="7"/>
              <w:rPr>
                <w:rFonts w:hint="default"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2"/>
                <w:sz w:val="21"/>
                <w:szCs w:val="24"/>
                <w:lang w:val="en-US" w:eastAsia="zh-CN" w:bidi="ar-SA"/>
              </w:rPr>
              <w:t>5</w:t>
            </w:r>
            <w:r>
              <w:rPr>
                <w:rFonts w:hint="default" w:ascii="仿宋_GB2312" w:hAnsi="仿宋_GB2312" w:eastAsia="仿宋_GB2312" w:cs="仿宋_GB2312"/>
                <w:kern w:val="2"/>
                <w:sz w:val="21"/>
                <w:szCs w:val="24"/>
                <w:lang w:val="en-US" w:eastAsia="zh-CN" w:bidi="ar-SA"/>
              </w:rPr>
              <w:t>.所投软硬件产品应为正版产品，不得存在恶意功能、未声明的远程控制功能或危害学校网络和数据安全的安全隐患</w:t>
            </w:r>
            <w:r>
              <w:rPr>
                <w:rFonts w:hint="eastAsia" w:ascii="仿宋_GB2312" w:hAnsi="仿宋_GB2312" w:eastAsia="仿宋_GB2312" w:cs="仿宋_GB2312"/>
                <w:kern w:val="2"/>
                <w:sz w:val="21"/>
                <w:szCs w:val="24"/>
                <w:lang w:val="en-US" w:eastAsia="zh-CN" w:bidi="ar-SA"/>
              </w:rPr>
              <w:t>。中标人应出具所投产品不存在已知未修复高危漏洞、未声明后门和恶意功能的书面承诺函。</w:t>
            </w:r>
          </w:p>
        </w:tc>
      </w:tr>
    </w:tbl>
    <w:p w14:paraId="75F1FBE2">
      <w:pPr>
        <w:jc w:val="center"/>
        <w:rPr>
          <w:rFonts w:hint="eastAsia"/>
          <w:b/>
          <w:bCs/>
          <w:sz w:val="28"/>
          <w:szCs w:val="28"/>
          <w:lang w:val="en-US" w:eastAsia="zh-CN"/>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D6029B"/>
    <w:rsid w:val="5DD60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pPr>
  </w:style>
  <w:style w:type="table" w:styleId="5">
    <w:name w:val="Table Grid"/>
    <w:basedOn w:val="4"/>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null3"/>
    <w:hidden/>
    <w:qFormat/>
    <w:uiPriority w:val="0"/>
    <w:rPr>
      <w:rFonts w:hint="eastAsia" w:asciiTheme="minorHAnsi" w:hAnsiTheme="minorHAnsi" w:eastAsiaTheme="minorEastAsia" w:cstheme="minorBidi"/>
      <w:lang w:val="en-US" w:eastAsia="zh-Hans"/>
    </w:rPr>
  </w:style>
  <w:style w:type="table" w:customStyle="1" w:styleId="8">
    <w:name w:val="Table"/>
    <w:semiHidden/>
    <w:unhideWhenUsed/>
    <w:qFormat/>
    <w:uiPriority w:val="0"/>
    <w:pPr>
      <w:spacing w:after="200"/>
    </w:pPr>
    <w:rPr>
      <w:sz w:val="24"/>
      <w:szCs w:val="24"/>
    </w:rPr>
    <w:tblPr>
      <w:tblCellMar>
        <w:top w:w="0" w:type="dxa"/>
        <w:left w:w="108" w:type="dxa"/>
        <w:bottom w:w="0" w:type="dxa"/>
        <w:right w:w="108" w:type="dxa"/>
      </w:tblCellMar>
    </w:tblPr>
    <w:tblStylePr w:type="firstRow">
      <w:tcPr>
        <w:tcBorders>
          <w:bottom w:val="single" w:color="auto" w:sz="0" w:space="0"/>
        </w:tcBorders>
        <w:vAlign w:val="bottom"/>
      </w:tcPr>
    </w:tblStyle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2026-09-18T10:32:00Z</dcterms:created>
  <dc:creator>123</dc:creator>
  <cp:lastModifiedBy>123</cp:lastModifiedBy>
  <dcterms:modified xsi:type="dcterms:W3CDTF">2026-09-18T10:33:53Z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184331437CF44008A8C3D8E9B1FF35B0_11</vt:lpwstr>
  </property>
  <property fmtid="{D5CDD505-2E9C-101B-9397-08002B2CF9AE}" pid="4" name="KSOTemplateDocerSaveRecord">
    <vt:lpwstr>eyJoZGlkIjoiOTEzYTE1NjhmYmI0MDkxYmE1ZjVkMjkwNjA2M2Q0ZDUiLCJ1c2VySWQiOiI0NTE5NDQwNTQifQ==</vt:lpwstr>
  </property>
</Properties>
</file>