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67F914">
      <w:pPr>
        <w:spacing w:before="62" w:line="220" w:lineRule="auto"/>
        <w:ind w:left="2893"/>
        <w:outlineLvl w:val="1"/>
        <w:rPr>
          <w:rFonts w:ascii="宋体" w:hAnsi="宋体" w:cs="宋体"/>
          <w:b/>
          <w:bCs/>
          <w:color w:val="auto"/>
          <w:sz w:val="31"/>
          <w:szCs w:val="31"/>
          <w:highlight w:val="none"/>
        </w:rPr>
      </w:pPr>
      <w:r>
        <w:rPr>
          <w:rFonts w:ascii="宋体" w:hAnsi="宋体" w:cs="宋体"/>
          <w:b/>
          <w:bCs/>
          <w:color w:val="auto"/>
          <w:spacing w:val="7"/>
          <w:sz w:val="31"/>
          <w:szCs w:val="31"/>
          <w:highlight w:val="none"/>
        </w:rPr>
        <w:t>拟签订采购合同文本</w:t>
      </w:r>
    </w:p>
    <w:p w14:paraId="798326FF">
      <w:pPr>
        <w:spacing w:line="480" w:lineRule="auto"/>
        <w:ind w:firstLine="480" w:firstLineChars="200"/>
        <w:jc w:val="center"/>
        <w:rPr>
          <w:rFonts w:hint="eastAsia" w:ascii="宋体" w:hAnsi="宋体" w:cs="宋体"/>
          <w:color w:val="auto"/>
          <w:highlight w:val="none"/>
        </w:rPr>
      </w:pPr>
      <w:r>
        <w:rPr>
          <w:rFonts w:hint="eastAsia" w:ascii="宋体" w:hAnsi="宋体" w:cs="宋体"/>
          <w:color w:val="auto"/>
          <w:sz w:val="24"/>
          <w:szCs w:val="24"/>
          <w:highlight w:val="none"/>
        </w:rPr>
        <w:t>（本合同为合同样稿，最终稿由双方协商后确定）</w:t>
      </w:r>
    </w:p>
    <w:p w14:paraId="6ECDC75C">
      <w:pPr>
        <w:autoSpaceDE w:val="0"/>
        <w:autoSpaceDN w:val="0"/>
        <w:adjustRightInd w:val="0"/>
        <w:snapToGrid w:val="0"/>
        <w:spacing w:line="360" w:lineRule="auto"/>
        <w:ind w:firstLine="470" w:firstLineChars="196"/>
        <w:rPr>
          <w:rFonts w:hint="eastAsia" w:ascii="宋体" w:hAnsi="宋体" w:cs="宋体"/>
          <w:color w:val="auto"/>
          <w:sz w:val="24"/>
          <w:szCs w:val="24"/>
          <w:highlight w:val="none"/>
          <w:u w:val="single"/>
          <w:lang w:val="zh-CN"/>
        </w:rPr>
      </w:pPr>
      <w:bookmarkStart w:id="0" w:name="_Hlt503233640"/>
      <w:bookmarkEnd w:id="0"/>
      <w:r>
        <w:rPr>
          <w:rFonts w:hint="eastAsia" w:ascii="宋体" w:hAnsi="宋体" w:cs="宋体"/>
          <w:color w:val="auto"/>
          <w:sz w:val="24"/>
          <w:szCs w:val="24"/>
          <w:highlight w:val="none"/>
          <w:lang w:val="zh-CN"/>
        </w:rPr>
        <w:t>甲方：</w:t>
      </w:r>
    </w:p>
    <w:p w14:paraId="7E3C8558">
      <w:pPr>
        <w:autoSpaceDE w:val="0"/>
        <w:autoSpaceDN w:val="0"/>
        <w:adjustRightInd w:val="0"/>
        <w:snapToGrid w:val="0"/>
        <w:spacing w:line="360" w:lineRule="auto"/>
        <w:ind w:firstLine="470" w:firstLineChars="196"/>
        <w:rPr>
          <w:rFonts w:hint="eastAsia" w:ascii="宋体" w:hAnsi="宋体" w:cs="宋体"/>
          <w:color w:val="auto"/>
          <w:sz w:val="24"/>
          <w:szCs w:val="24"/>
          <w:highlight w:val="none"/>
          <w:lang w:val="zh-CN"/>
        </w:rPr>
      </w:pPr>
      <w:r>
        <w:rPr>
          <w:rFonts w:hint="eastAsia" w:ascii="宋体" w:hAnsi="宋体" w:cs="宋体"/>
          <w:color w:val="auto"/>
          <w:sz w:val="24"/>
          <w:szCs w:val="24"/>
          <w:highlight w:val="none"/>
          <w:lang w:val="zh-CN"/>
        </w:rPr>
        <w:t>乙方：</w:t>
      </w:r>
    </w:p>
    <w:p w14:paraId="041CC14D">
      <w:pPr>
        <w:numPr>
          <w:ilvl w:val="0"/>
          <w:numId w:val="1"/>
        </w:numPr>
        <w:tabs>
          <w:tab w:val="left" w:pos="735"/>
        </w:tabs>
        <w:autoSpaceDE w:val="0"/>
        <w:autoSpaceDN w:val="0"/>
        <w:adjustRightInd w:val="0"/>
        <w:snapToGrid w:val="0"/>
        <w:spacing w:line="360" w:lineRule="auto"/>
        <w:ind w:firstLine="482" w:firstLineChars="200"/>
        <w:rPr>
          <w:rFonts w:hint="eastAsia" w:ascii="宋体" w:hAnsi="宋体" w:cs="宋体"/>
          <w:bCs/>
          <w:color w:val="auto"/>
          <w:sz w:val="24"/>
          <w:szCs w:val="24"/>
          <w:highlight w:val="none"/>
        </w:rPr>
      </w:pPr>
      <w:r>
        <w:rPr>
          <w:rFonts w:hint="eastAsia" w:ascii="宋体" w:hAnsi="宋体" w:cs="宋体"/>
          <w:b/>
          <w:color w:val="auto"/>
          <w:sz w:val="24"/>
          <w:szCs w:val="24"/>
          <w:highlight w:val="none"/>
        </w:rPr>
        <w:t>合同内容:</w:t>
      </w:r>
    </w:p>
    <w:p w14:paraId="6B4A9DBC">
      <w:pPr>
        <w:tabs>
          <w:tab w:val="left" w:pos="735"/>
        </w:tabs>
        <w:autoSpaceDE w:val="0"/>
        <w:autoSpaceDN w:val="0"/>
        <w:adjustRightInd w:val="0"/>
        <w:snapToGrid w:val="0"/>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二、合同价款：</w:t>
      </w:r>
    </w:p>
    <w:p w14:paraId="13788EFE">
      <w:pPr>
        <w:tabs>
          <w:tab w:val="left" w:pos="735"/>
        </w:tabs>
        <w:autoSpaceDE w:val="0"/>
        <w:autoSpaceDN w:val="0"/>
        <w:adjustRightInd w:val="0"/>
        <w:snapToGrid w:val="0"/>
        <w:spacing w:line="360" w:lineRule="auto"/>
        <w:ind w:firstLine="480" w:firstLineChars="200"/>
        <w:outlineLvl w:val="2"/>
        <w:rPr>
          <w:rFonts w:hint="eastAsia" w:ascii="宋体" w:hAnsi="宋体" w:cs="宋体"/>
          <w:b/>
          <w:color w:val="auto"/>
          <w:sz w:val="24"/>
          <w:szCs w:val="24"/>
          <w:highlight w:val="none"/>
          <w:u w:val="single"/>
        </w:rPr>
      </w:pPr>
      <w:r>
        <w:rPr>
          <w:rFonts w:hint="eastAsia" w:ascii="宋体" w:hAnsi="宋体" w:cs="宋体"/>
          <w:color w:val="auto"/>
          <w:sz w:val="24"/>
          <w:szCs w:val="24"/>
          <w:highlight w:val="none"/>
        </w:rPr>
        <w:t>1、合同总价：</w:t>
      </w:r>
    </w:p>
    <w:p w14:paraId="49FCC656">
      <w:pPr>
        <w:tabs>
          <w:tab w:val="left" w:pos="735"/>
        </w:tabs>
        <w:adjustRightInd w:val="0"/>
        <w:snapToGrid w:val="0"/>
        <w:spacing w:line="360" w:lineRule="auto"/>
        <w:ind w:firstLine="504" w:firstLineChars="210"/>
        <w:outlineLvl w:val="2"/>
        <w:rPr>
          <w:rFonts w:hint="eastAsia" w:ascii="宋体" w:hAnsi="宋体" w:cs="宋体"/>
          <w:color w:val="auto"/>
          <w:sz w:val="24"/>
          <w:szCs w:val="24"/>
          <w:highlight w:val="none"/>
        </w:rPr>
      </w:pPr>
      <w:r>
        <w:rPr>
          <w:rFonts w:hint="eastAsia" w:ascii="宋体" w:hAnsi="宋体" w:cs="宋体"/>
          <w:color w:val="auto"/>
          <w:sz w:val="24"/>
          <w:szCs w:val="24"/>
          <w:highlight w:val="none"/>
        </w:rPr>
        <w:t>2、合同总价包括：项目实施费及其他费用等从项目实施至验收合格等所有其他有关各项的含税费用。</w:t>
      </w:r>
    </w:p>
    <w:p w14:paraId="42D4F23B">
      <w:pPr>
        <w:tabs>
          <w:tab w:val="left" w:pos="735"/>
        </w:tabs>
        <w:adjustRightInd w:val="0"/>
        <w:snapToGrid w:val="0"/>
        <w:spacing w:line="360" w:lineRule="auto"/>
        <w:ind w:firstLine="504" w:firstLineChars="210"/>
        <w:outlineLvl w:val="2"/>
        <w:rPr>
          <w:rFonts w:hint="eastAsia" w:ascii="宋体" w:hAnsi="宋体" w:cs="宋体"/>
          <w:color w:val="auto"/>
          <w:sz w:val="24"/>
          <w:szCs w:val="24"/>
          <w:highlight w:val="none"/>
        </w:rPr>
      </w:pPr>
      <w:r>
        <w:rPr>
          <w:rFonts w:hint="eastAsia" w:ascii="宋体" w:hAnsi="宋体" w:cs="宋体"/>
          <w:color w:val="auto"/>
          <w:sz w:val="24"/>
          <w:szCs w:val="24"/>
          <w:highlight w:val="none"/>
        </w:rPr>
        <w:t>3、合同总价一次包死，不受市场价格、工作量变化等其它因素的影响。</w:t>
      </w:r>
    </w:p>
    <w:p w14:paraId="14F57AC3">
      <w:pPr>
        <w:tabs>
          <w:tab w:val="left" w:pos="735"/>
        </w:tabs>
        <w:adjustRightInd w:val="0"/>
        <w:snapToGrid w:val="0"/>
        <w:spacing w:line="360" w:lineRule="auto"/>
        <w:ind w:firstLine="506" w:firstLineChars="210"/>
        <w:rPr>
          <w:rFonts w:hint="eastAsia" w:ascii="宋体" w:hAnsi="宋体" w:cs="宋体"/>
          <w:b/>
          <w:color w:val="auto"/>
          <w:sz w:val="24"/>
          <w:szCs w:val="24"/>
          <w:highlight w:val="none"/>
        </w:rPr>
      </w:pPr>
      <w:r>
        <w:rPr>
          <w:rFonts w:hint="eastAsia" w:ascii="宋体" w:hAnsi="宋体" w:cs="宋体"/>
          <w:b/>
          <w:color w:val="auto"/>
          <w:sz w:val="24"/>
          <w:szCs w:val="24"/>
          <w:highlight w:val="none"/>
        </w:rPr>
        <w:t>三、款项结算：</w:t>
      </w:r>
    </w:p>
    <w:p w14:paraId="3131D8A8">
      <w:pPr>
        <w:autoSpaceDE w:val="0"/>
        <w:autoSpaceDN w:val="0"/>
        <w:adjustRightInd w:val="0"/>
        <w:spacing w:line="360" w:lineRule="auto"/>
        <w:ind w:firstLine="480" w:firstLineChars="200"/>
        <w:outlineLvl w:val="2"/>
        <w:rPr>
          <w:rFonts w:hint="eastAsia" w:ascii="宋体" w:hAnsi="宋体" w:cs="宋体"/>
          <w:bCs/>
          <w:color w:val="auto"/>
          <w:sz w:val="24"/>
          <w:szCs w:val="24"/>
          <w:highlight w:val="none"/>
        </w:rPr>
      </w:pPr>
      <w:r>
        <w:rPr>
          <w:rFonts w:hint="eastAsia" w:ascii="宋体" w:hAnsi="宋体" w:cs="宋体"/>
          <w:bCs/>
          <w:color w:val="auto"/>
          <w:sz w:val="24"/>
          <w:szCs w:val="24"/>
          <w:highlight w:val="none"/>
        </w:rPr>
        <w:t>1、付款方式：项目完成后一次性付清。</w:t>
      </w:r>
    </w:p>
    <w:p w14:paraId="35885F2A">
      <w:pPr>
        <w:autoSpaceDE w:val="0"/>
        <w:autoSpaceDN w:val="0"/>
        <w:adjustRightInd w:val="0"/>
        <w:spacing w:line="360" w:lineRule="auto"/>
        <w:ind w:firstLine="480" w:firstLineChars="200"/>
        <w:outlineLvl w:val="2"/>
        <w:rPr>
          <w:rFonts w:hint="eastAsia" w:ascii="宋体" w:hAnsi="宋体" w:cs="宋体"/>
          <w:bCs/>
          <w:color w:val="auto"/>
          <w:sz w:val="24"/>
          <w:szCs w:val="24"/>
          <w:highlight w:val="none"/>
        </w:rPr>
      </w:pPr>
      <w:r>
        <w:rPr>
          <w:rFonts w:hint="eastAsia" w:ascii="宋体" w:hAnsi="宋体" w:cs="宋体"/>
          <w:bCs/>
          <w:color w:val="auto"/>
          <w:sz w:val="24"/>
          <w:szCs w:val="24"/>
          <w:highlight w:val="none"/>
        </w:rPr>
        <w:t>2、结算方式：采购人与成交供应商直接结算，发票直开采购人。</w:t>
      </w:r>
    </w:p>
    <w:p w14:paraId="40314102">
      <w:pPr>
        <w:autoSpaceDE w:val="0"/>
        <w:autoSpaceDN w:val="0"/>
        <w:adjustRightInd w:val="0"/>
        <w:spacing w:line="360" w:lineRule="auto"/>
        <w:ind w:firstLine="480" w:firstLineChars="200"/>
        <w:outlineLvl w:val="2"/>
        <w:rPr>
          <w:rFonts w:hint="eastAsia" w:ascii="宋体" w:hAnsi="宋体" w:cs="宋体"/>
          <w:bCs/>
          <w:color w:val="auto"/>
          <w:sz w:val="24"/>
          <w:szCs w:val="24"/>
          <w:highlight w:val="none"/>
        </w:rPr>
      </w:pPr>
      <w:r>
        <w:rPr>
          <w:rFonts w:hint="eastAsia" w:ascii="宋体" w:hAnsi="宋体" w:cs="宋体"/>
          <w:bCs/>
          <w:color w:val="auto"/>
          <w:sz w:val="24"/>
          <w:szCs w:val="24"/>
          <w:highlight w:val="none"/>
        </w:rPr>
        <w:t>3、支付方式：银行转账。</w:t>
      </w:r>
    </w:p>
    <w:p w14:paraId="44D3A8A6">
      <w:pPr>
        <w:autoSpaceDE w:val="0"/>
        <w:autoSpaceDN w:val="0"/>
        <w:adjustRightInd w:val="0"/>
        <w:spacing w:line="360" w:lineRule="auto"/>
        <w:ind w:firstLine="482" w:firstLineChars="200"/>
        <w:rPr>
          <w:rFonts w:hint="eastAsia" w:ascii="宋体" w:hAnsi="宋体" w:cs="宋体"/>
          <w:b/>
          <w:bCs/>
          <w:color w:val="auto"/>
          <w:sz w:val="24"/>
          <w:szCs w:val="24"/>
          <w:highlight w:val="none"/>
          <w:lang w:val="zh-CN"/>
        </w:rPr>
      </w:pPr>
      <w:r>
        <w:rPr>
          <w:rFonts w:hint="eastAsia" w:ascii="宋体" w:hAnsi="宋体" w:cs="宋体"/>
          <w:b/>
          <w:bCs/>
          <w:color w:val="auto"/>
          <w:sz w:val="24"/>
          <w:szCs w:val="24"/>
          <w:highlight w:val="none"/>
          <w:lang w:val="zh-CN"/>
        </w:rPr>
        <w:t>四、</w:t>
      </w:r>
      <w:r>
        <w:rPr>
          <w:rFonts w:hint="eastAsia" w:ascii="宋体" w:hAnsi="宋体" w:cs="宋体"/>
          <w:b/>
          <w:bCs/>
          <w:color w:val="auto"/>
          <w:sz w:val="24"/>
          <w:szCs w:val="24"/>
          <w:highlight w:val="none"/>
        </w:rPr>
        <w:t>服务</w:t>
      </w:r>
      <w:r>
        <w:rPr>
          <w:rFonts w:hint="eastAsia" w:ascii="宋体" w:hAnsi="宋体" w:cs="宋体"/>
          <w:b/>
          <w:bCs/>
          <w:color w:val="auto"/>
          <w:sz w:val="24"/>
          <w:szCs w:val="24"/>
          <w:highlight w:val="none"/>
          <w:lang w:val="zh-CN"/>
        </w:rPr>
        <w:t>条件:</w:t>
      </w:r>
    </w:p>
    <w:p w14:paraId="52099902">
      <w:pPr>
        <w:tabs>
          <w:tab w:val="left" w:pos="735"/>
        </w:tabs>
        <w:autoSpaceDE w:val="0"/>
        <w:autoSpaceDN w:val="0"/>
        <w:adjustRightInd w:val="0"/>
        <w:snapToGrid w:val="0"/>
        <w:spacing w:line="360" w:lineRule="auto"/>
        <w:ind w:firstLine="480" w:firstLineChars="200"/>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1、服务地点：</w:t>
      </w:r>
    </w:p>
    <w:p w14:paraId="07E5F90E">
      <w:pPr>
        <w:tabs>
          <w:tab w:val="left" w:pos="735"/>
        </w:tabs>
        <w:autoSpaceDE w:val="0"/>
        <w:autoSpaceDN w:val="0"/>
        <w:adjustRightInd w:val="0"/>
        <w:snapToGrid w:val="0"/>
        <w:spacing w:line="360" w:lineRule="auto"/>
        <w:ind w:firstLine="480" w:firstLineChars="200"/>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2、服务期限：</w:t>
      </w:r>
    </w:p>
    <w:p w14:paraId="3D08FC7C">
      <w:pPr>
        <w:spacing w:line="360" w:lineRule="auto"/>
        <w:ind w:firstLine="482" w:firstLineChars="20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五</w:t>
      </w:r>
      <w:r>
        <w:rPr>
          <w:rFonts w:hint="eastAsia" w:ascii="宋体" w:hAnsi="宋体" w:cs="宋体"/>
          <w:b/>
          <w:bCs/>
          <w:color w:val="auto"/>
          <w:sz w:val="24"/>
          <w:szCs w:val="24"/>
          <w:highlight w:val="none"/>
          <w:lang w:val="zh-CN"/>
        </w:rPr>
        <w:t>、</w:t>
      </w:r>
      <w:r>
        <w:rPr>
          <w:rFonts w:hint="eastAsia" w:ascii="宋体" w:hAnsi="宋体" w:cs="宋体"/>
          <w:b/>
          <w:bCs/>
          <w:color w:val="auto"/>
          <w:sz w:val="24"/>
          <w:szCs w:val="24"/>
          <w:highlight w:val="none"/>
        </w:rPr>
        <w:t>质量保证：</w:t>
      </w:r>
    </w:p>
    <w:p w14:paraId="71119D08">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1、安全服务应符合国家有关规范。</w:t>
      </w:r>
    </w:p>
    <w:p w14:paraId="5D297AE4">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2、乙方提供相关数据、结论确保真实性、可靠性。</w:t>
      </w:r>
    </w:p>
    <w:p w14:paraId="57EEDBC7">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3.供应商可以根据项目实际情况提供高于市场平均档次的设备和设施。</w:t>
      </w:r>
    </w:p>
    <w:p w14:paraId="4DF282B3">
      <w:pPr>
        <w:autoSpaceDE w:val="0"/>
        <w:autoSpaceDN w:val="0"/>
        <w:adjustRightInd w:val="0"/>
        <w:spacing w:line="360" w:lineRule="auto"/>
        <w:ind w:firstLine="482" w:firstLineChars="200"/>
        <w:rPr>
          <w:rFonts w:hint="eastAsia" w:ascii="宋体" w:hAnsi="宋体" w:cs="宋体"/>
          <w:b/>
          <w:bCs/>
          <w:color w:val="auto"/>
          <w:sz w:val="24"/>
          <w:szCs w:val="24"/>
          <w:highlight w:val="none"/>
          <w:lang w:val="zh-CN"/>
        </w:rPr>
      </w:pPr>
      <w:r>
        <w:rPr>
          <w:rFonts w:hint="eastAsia" w:ascii="宋体" w:hAnsi="宋体" w:cs="宋体"/>
          <w:b/>
          <w:bCs/>
          <w:color w:val="auto"/>
          <w:sz w:val="24"/>
          <w:szCs w:val="24"/>
          <w:highlight w:val="none"/>
        </w:rPr>
        <w:t>七</w:t>
      </w:r>
      <w:r>
        <w:rPr>
          <w:rFonts w:hint="eastAsia" w:ascii="宋体" w:hAnsi="宋体" w:cs="宋体"/>
          <w:b/>
          <w:bCs/>
          <w:color w:val="auto"/>
          <w:sz w:val="24"/>
          <w:szCs w:val="24"/>
          <w:highlight w:val="none"/>
          <w:lang w:val="zh-CN"/>
        </w:rPr>
        <w:t>、违约责任</w:t>
      </w:r>
    </w:p>
    <w:p w14:paraId="0E7E22A6">
      <w:pPr>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1、按《民法典》中的相关条款执行。</w:t>
      </w:r>
    </w:p>
    <w:p w14:paraId="144833CF">
      <w:pPr>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2、乙方履约延误</w:t>
      </w:r>
    </w:p>
    <w:p w14:paraId="0CDB35CA">
      <w:pPr>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2-1、乙方违反其服务条款时，甲方有权要求乙方在 5 天内予以改正。</w:t>
      </w:r>
    </w:p>
    <w:p w14:paraId="16EB011C">
      <w:pPr>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2-2、因乙方行为违反法律规定产生引起的民事和刑事责任由乙方承担。</w:t>
      </w:r>
    </w:p>
    <w:p w14:paraId="6A8F0F67">
      <w:pPr>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2-3、因乙方行为侵害第三方权益的，责任和相关损失由乙方承担。</w:t>
      </w:r>
    </w:p>
    <w:p w14:paraId="3E418B97">
      <w:pPr>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2-4、乙方违反保密规定，全部责任由乙方承担，并需赔偿甲方由此引起的损失。</w:t>
      </w:r>
    </w:p>
    <w:p w14:paraId="7C0F5775">
      <w:pPr>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2-5、甲方应按合同规定完成项目进度验收合格后付款。</w:t>
      </w:r>
    </w:p>
    <w:p w14:paraId="0BDFB587">
      <w:pPr>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2-6、如乙方事先未征得甲方同意并得到甲方的同意而单方面延迟服务，将按违约终止合同。</w:t>
      </w:r>
    </w:p>
    <w:p w14:paraId="062FE626">
      <w:pPr>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2-7、违约终止合同：未按合同要求提供服务或不能满足项目技术要求，甲方有权终止合同，对乙方违约行为进行追究，同时按政府采购法的有关规定进行相应的处罚。</w:t>
      </w:r>
    </w:p>
    <w:p w14:paraId="6E0A8EE7">
      <w:pPr>
        <w:autoSpaceDE w:val="0"/>
        <w:autoSpaceDN w:val="0"/>
        <w:adjustRightInd w:val="0"/>
        <w:spacing w:line="360" w:lineRule="auto"/>
        <w:ind w:firstLine="482" w:firstLineChars="200"/>
        <w:rPr>
          <w:rFonts w:hint="eastAsia" w:ascii="宋体" w:hAnsi="宋体" w:cs="宋体"/>
          <w:b/>
          <w:bCs/>
          <w:color w:val="auto"/>
          <w:sz w:val="24"/>
          <w:szCs w:val="24"/>
          <w:highlight w:val="none"/>
          <w:lang w:val="zh-CN"/>
        </w:rPr>
      </w:pPr>
      <w:r>
        <w:rPr>
          <w:rFonts w:hint="eastAsia" w:ascii="宋体" w:hAnsi="宋体" w:cs="宋体"/>
          <w:b/>
          <w:bCs/>
          <w:color w:val="auto"/>
          <w:sz w:val="24"/>
          <w:szCs w:val="24"/>
          <w:highlight w:val="none"/>
        </w:rPr>
        <w:t>八</w:t>
      </w:r>
      <w:r>
        <w:rPr>
          <w:rFonts w:hint="eastAsia" w:ascii="宋体" w:hAnsi="宋体" w:cs="宋体"/>
          <w:b/>
          <w:bCs/>
          <w:color w:val="auto"/>
          <w:sz w:val="24"/>
          <w:szCs w:val="24"/>
          <w:highlight w:val="none"/>
          <w:lang w:val="zh-CN"/>
        </w:rPr>
        <w:t>、合同组成</w:t>
      </w:r>
    </w:p>
    <w:p w14:paraId="53FA7AB5">
      <w:pPr>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1、成交通知书</w:t>
      </w:r>
    </w:p>
    <w:p w14:paraId="1270FE84">
      <w:pPr>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2、合同文件</w:t>
      </w:r>
    </w:p>
    <w:p w14:paraId="4E8D4A56">
      <w:pPr>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3、国家相关规范及标准</w:t>
      </w:r>
    </w:p>
    <w:p w14:paraId="527E6AC9">
      <w:pPr>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4、竞争性磋商文件</w:t>
      </w:r>
    </w:p>
    <w:p w14:paraId="0F42FB08">
      <w:pPr>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5、磋商响应文件</w:t>
      </w:r>
    </w:p>
    <w:p w14:paraId="319D4B73">
      <w:pPr>
        <w:autoSpaceDE w:val="0"/>
        <w:autoSpaceDN w:val="0"/>
        <w:adjustRightInd w:val="0"/>
        <w:spacing w:line="360" w:lineRule="auto"/>
        <w:ind w:firstLine="482" w:firstLineChars="20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九</w:t>
      </w:r>
      <w:r>
        <w:rPr>
          <w:rFonts w:hint="eastAsia" w:ascii="宋体" w:hAnsi="宋体" w:cs="宋体"/>
          <w:b/>
          <w:bCs/>
          <w:color w:val="auto"/>
          <w:sz w:val="24"/>
          <w:szCs w:val="24"/>
          <w:highlight w:val="none"/>
          <w:lang w:val="zh-CN"/>
        </w:rPr>
        <w:t>、合同生效及其它</w:t>
      </w:r>
    </w:p>
    <w:p w14:paraId="3F41497A">
      <w:pPr>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1、合同未尽事宜、由甲、乙双方协商，作为合同补充，与原合同具有同等法律效力。</w:t>
      </w:r>
    </w:p>
    <w:p w14:paraId="58AA0B77">
      <w:pPr>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2、本合同正本一式</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份，甲方、乙方双方分别执</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份，备案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份。</w:t>
      </w:r>
    </w:p>
    <w:p w14:paraId="309093FB">
      <w:pPr>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3、合同经甲乙双方盖章、签字后生效，合同签订地点为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62AC171F">
      <w:pPr>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4、生效时间：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日</w:t>
      </w:r>
    </w:p>
    <w:p w14:paraId="72221ED3">
      <w:pPr>
        <w:adjustRightInd w:val="0"/>
        <w:snapToGrid w:val="0"/>
        <w:spacing w:line="460" w:lineRule="exact"/>
        <w:ind w:firstLine="480" w:firstLineChars="200"/>
        <w:rPr>
          <w:rFonts w:hint="eastAsia" w:ascii="宋体" w:hAnsi="宋体" w:cs="宋体"/>
          <w:color w:val="auto"/>
          <w:sz w:val="24"/>
          <w:szCs w:val="24"/>
          <w:highlight w:val="none"/>
        </w:rPr>
      </w:pPr>
    </w:p>
    <w:tbl>
      <w:tblPr>
        <w:tblStyle w:val="2"/>
        <w:tblW w:w="0" w:type="auto"/>
        <w:jc w:val="center"/>
        <w:tblLayout w:type="fixed"/>
        <w:tblCellMar>
          <w:top w:w="0" w:type="dxa"/>
          <w:left w:w="108" w:type="dxa"/>
          <w:bottom w:w="0" w:type="dxa"/>
          <w:right w:w="108" w:type="dxa"/>
        </w:tblCellMar>
      </w:tblPr>
      <w:tblGrid>
        <w:gridCol w:w="4643"/>
        <w:gridCol w:w="4643"/>
      </w:tblGrid>
      <w:tr w14:paraId="3EF9C78A">
        <w:tblPrEx>
          <w:tblCellMar>
            <w:top w:w="0" w:type="dxa"/>
            <w:left w:w="108" w:type="dxa"/>
            <w:bottom w:w="0" w:type="dxa"/>
            <w:right w:w="108" w:type="dxa"/>
          </w:tblCellMar>
        </w:tblPrEx>
        <w:trPr>
          <w:jc w:val="center"/>
        </w:trPr>
        <w:tc>
          <w:tcPr>
            <w:tcW w:w="4643" w:type="dxa"/>
            <w:noWrap w:val="0"/>
            <w:vAlign w:val="top"/>
          </w:tcPr>
          <w:p w14:paraId="79599DC7">
            <w:pPr>
              <w:adjustRightInd w:val="0"/>
              <w:snapToGrid w:val="0"/>
              <w:spacing w:line="360" w:lineRule="auto"/>
              <w:ind w:firstLine="645"/>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甲方名称（盖章）:</w:t>
            </w:r>
          </w:p>
          <w:p w14:paraId="0C1BD4CE">
            <w:pPr>
              <w:adjustRightInd w:val="0"/>
              <w:snapToGrid w:val="0"/>
              <w:spacing w:line="360" w:lineRule="auto"/>
              <w:ind w:firstLine="645"/>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地址：</w:t>
            </w:r>
          </w:p>
          <w:p w14:paraId="7E5965C4">
            <w:pPr>
              <w:adjustRightInd w:val="0"/>
              <w:snapToGrid w:val="0"/>
              <w:spacing w:line="360" w:lineRule="auto"/>
              <w:ind w:firstLine="645"/>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法定代表人或委托代理人（签字）：</w:t>
            </w:r>
          </w:p>
          <w:p w14:paraId="784BDF65">
            <w:pPr>
              <w:adjustRightInd w:val="0"/>
              <w:snapToGrid w:val="0"/>
              <w:spacing w:line="360" w:lineRule="auto"/>
              <w:ind w:firstLine="645"/>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电话：</w:t>
            </w:r>
          </w:p>
          <w:p w14:paraId="256C8198">
            <w:pPr>
              <w:adjustRightInd w:val="0"/>
              <w:snapToGrid w:val="0"/>
              <w:spacing w:line="360" w:lineRule="auto"/>
              <w:ind w:firstLine="645"/>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开户银行：</w:t>
            </w:r>
          </w:p>
          <w:p w14:paraId="23CAA2BD">
            <w:pPr>
              <w:adjustRightInd w:val="0"/>
              <w:snapToGrid w:val="0"/>
              <w:spacing w:line="360" w:lineRule="auto"/>
              <w:ind w:firstLine="645"/>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账号：</w:t>
            </w:r>
          </w:p>
        </w:tc>
        <w:tc>
          <w:tcPr>
            <w:tcW w:w="4643" w:type="dxa"/>
            <w:noWrap w:val="0"/>
            <w:vAlign w:val="top"/>
          </w:tcPr>
          <w:p w14:paraId="72253F09">
            <w:pPr>
              <w:adjustRightInd w:val="0"/>
              <w:snapToGrid w:val="0"/>
              <w:spacing w:line="360" w:lineRule="auto"/>
              <w:ind w:firstLine="645"/>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乙方名称（盖章）:</w:t>
            </w:r>
          </w:p>
          <w:p w14:paraId="04B0DF34">
            <w:pPr>
              <w:adjustRightInd w:val="0"/>
              <w:snapToGrid w:val="0"/>
              <w:spacing w:line="360" w:lineRule="auto"/>
              <w:ind w:firstLine="645"/>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地址：</w:t>
            </w:r>
          </w:p>
          <w:p w14:paraId="7C904E18">
            <w:pPr>
              <w:adjustRightInd w:val="0"/>
              <w:snapToGrid w:val="0"/>
              <w:spacing w:line="360" w:lineRule="auto"/>
              <w:ind w:firstLine="645"/>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法定代表人或委托代理人（签字）：</w:t>
            </w:r>
          </w:p>
          <w:p w14:paraId="451CA946">
            <w:pPr>
              <w:adjustRightInd w:val="0"/>
              <w:snapToGrid w:val="0"/>
              <w:spacing w:line="360" w:lineRule="auto"/>
              <w:ind w:firstLine="645"/>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电话：</w:t>
            </w:r>
          </w:p>
          <w:p w14:paraId="25F5A3A8">
            <w:pPr>
              <w:adjustRightInd w:val="0"/>
              <w:snapToGrid w:val="0"/>
              <w:spacing w:line="360" w:lineRule="auto"/>
              <w:ind w:firstLine="645"/>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开户银行：</w:t>
            </w:r>
          </w:p>
          <w:p w14:paraId="0BC25E2F">
            <w:pPr>
              <w:adjustRightInd w:val="0"/>
              <w:snapToGrid w:val="0"/>
              <w:spacing w:line="360" w:lineRule="auto"/>
              <w:ind w:firstLine="645"/>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账号：</w:t>
            </w:r>
          </w:p>
        </w:tc>
      </w:tr>
    </w:tbl>
    <w:p w14:paraId="72D239C6">
      <w:r>
        <w:rPr>
          <w:rFonts w:hint="eastAsia" w:ascii="宋体" w:hAnsi="宋体" w:cs="宋体"/>
          <w:b/>
          <w:bCs/>
          <w:color w:val="auto"/>
          <w:sz w:val="24"/>
          <w:szCs w:val="24"/>
          <w:highlight w:val="none"/>
        </w:rPr>
        <w:t>注：甲乙双方正式签订合</w:t>
      </w:r>
      <w:bookmarkStart w:id="1" w:name="_GoBack"/>
      <w:bookmarkEnd w:id="1"/>
      <w:r>
        <w:rPr>
          <w:rFonts w:hint="eastAsia" w:ascii="宋体" w:hAnsi="宋体" w:cs="宋体"/>
          <w:b/>
          <w:bCs/>
          <w:color w:val="auto"/>
          <w:sz w:val="24"/>
          <w:szCs w:val="24"/>
          <w:highlight w:val="none"/>
        </w:rPr>
        <w:t>同时根据协商完善相关内容</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3A1396"/>
    <w:multiLevelType w:val="singleLevel"/>
    <w:tmpl w:val="1A3A139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B741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2026-05-08T11:07:06Z</dcterms:created>
  <dc:creator>Administrator</dc:creator>
  <cp:lastModifiedBy>宋璟雯</cp:lastModifiedBy>
  <dcterms:modified xsi:type="dcterms:W3CDTF">2026-05-08T11:07:21Z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eyJoZGlkIjoiNjMzZmQ0ZDk5YzU0YjllNTdjMTBiZDMxYTg3ZmM2YmYiLCJ1c2VySWQiOiIxNDUxODIyODU0In0=</vt:lpwstr>
  </property>
  <property fmtid="{D5CDD505-2E9C-101B-9397-08002B2CF9AE}" pid="4" name="ICV">
    <vt:lpwstr>8C5C16DE909946C8A303BF3780EF2B8F_12</vt:lpwstr>
  </property>
</Properties>
</file>