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版本号：HRPDZB-202609010120260908002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2026年镇巴县长岭镇中坝村淫羊藿种植基地一期建设项目（一）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HRPDZB-2026090101</w:t>
      </w:r>
      <w:r>
        <w:br/>
      </w:r>
      <w:r>
        <w:br/>
      </w:r>
      <w:r>
        <w:br/>
      </w:r>
    </w:p>
    <w:p>
      <w:pPr>
        <w:pStyle w:val="null3"/>
        <w:jc w:val="center"/>
        <w:outlineLvl w:val="2"/>
      </w:pPr>
      <w:r>
        <w:rPr>
          <w:rFonts w:ascii="仿宋_GB2312" w:hAnsi="仿宋_GB2312" w:cs="仿宋_GB2312" w:eastAsia="仿宋_GB2312"/>
          <w:sz w:val="28"/>
          <w:b/>
        </w:rPr>
        <w:t>镇巴县长岭镇人民政府</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镇巴县长岭镇人民政府</w:t>
      </w:r>
      <w:r>
        <w:rPr>
          <w:rFonts w:ascii="仿宋_GB2312" w:hAnsi="仿宋_GB2312" w:cs="仿宋_GB2312" w:eastAsia="仿宋_GB2312"/>
        </w:rPr>
        <w:t>委托，拟对</w:t>
      </w:r>
      <w:r>
        <w:rPr>
          <w:rFonts w:ascii="仿宋_GB2312" w:hAnsi="仿宋_GB2312" w:cs="仿宋_GB2312" w:eastAsia="仿宋_GB2312"/>
        </w:rPr>
        <w:t>2026年镇巴县长岭镇中坝村淫羊藿种植基地一期建设项目（一）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HRPDZB-2026090101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2026年镇巴县长岭镇中坝村淫羊藿种植基地一期建设项目（一）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龙洞小组马家湾新建淫羊藿基地44.5亩，安装防护围栏0.5千米。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采购包1（2026年镇巴县长岭镇中坝村淫羊藿种植基地一期建设项目（一））：属于专门面向中小企业采购。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磋商承诺函：本项目不接受联合体磋商，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镇巴县长岭镇人民政府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镇巴县长岭镇花园社区街上</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15191655567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19916164724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开户名称：宏睿鹏达项目管理有限公司汉中分公司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银行账号：61050165910000000846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代理服务费收费标准：代理服务费参照《招标代理服务收费管理暂行办法》计价[2002]1980号和《国家发改委办公厅关于招标代理服务收费有关问题的通知》（发改办价格〔2003〕857号）文件服务类标准计算。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镇巴县长岭镇人民政府</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镇巴县长岭镇人民政府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镇巴县长岭镇人民政府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按照采购人要求完成种植等各项工作，验收标准按照淫羊藿种植技术标准验收。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联系人：马先生</w:t>
      </w:r>
    </w:p>
    <w:p>
      <w:pPr>
        <w:pStyle w:val="null3"/>
      </w:pPr>
      <w:r>
        <w:rPr>
          <w:rFonts w:ascii="仿宋_GB2312" w:hAnsi="仿宋_GB2312" w:cs="仿宋_GB2312" w:eastAsia="仿宋_GB2312"/>
        </w:rPr>
        <w:t>联系电话：19916164724</w:t>
      </w:r>
    </w:p>
    <w:p>
      <w:pPr>
        <w:pStyle w:val="null3"/>
      </w:pPr>
      <w:r>
        <w:rPr>
          <w:rFonts w:ascii="仿宋_GB2312" w:hAnsi="仿宋_GB2312" w:cs="仿宋_GB2312" w:eastAsia="仿宋_GB2312"/>
        </w:rPr>
        <w:t>地址：镇巴县泾洋街道办龙首融景城6号楼门面房202室</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龙洞小组马家湾新建淫羊藿基地44.5亩，安装防护围栏0.5千米。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2026年镇巴县长岭镇中坝村淫羊藿种植基地一期建设项目（一）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标的名称：2026年镇巴县长岭镇中坝村淫羊藿种植基地一期建设项目（一）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60"/>
              <w:ind w:left="135"/>
              <w:jc w:val="left"/>
            </w:pPr>
            <w:r>
              <w:rPr>
                <w:rFonts w:ascii="仿宋_GB2312" w:hAnsi="仿宋_GB2312" w:cs="仿宋_GB2312" w:eastAsia="仿宋_GB2312"/>
                <w:sz w:val="24"/>
                <w:color w:val="000000"/>
              </w:rPr>
              <w:t>工期</w:t>
            </w:r>
            <w:r>
              <w:rPr>
                <w:rFonts w:ascii="仿宋_GB2312" w:hAnsi="仿宋_GB2312" w:cs="仿宋_GB2312" w:eastAsia="仿宋_GB2312"/>
                <w:sz w:val="24"/>
                <w:color w:val="000000"/>
              </w:rPr>
              <w:t>12</w:t>
            </w:r>
            <w:r>
              <w:rPr>
                <w:rFonts w:ascii="仿宋_GB2312" w:hAnsi="仿宋_GB2312" w:cs="仿宋_GB2312" w:eastAsia="仿宋_GB2312"/>
                <w:sz w:val="24"/>
                <w:color w:val="000000"/>
              </w:rPr>
              <w:t>0日历天</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种苗</w:t>
            </w:r>
            <w:r>
              <w:rPr>
                <w:rFonts w:ascii="仿宋_GB2312" w:hAnsi="仿宋_GB2312" w:cs="仿宋_GB2312" w:eastAsia="仿宋_GB2312"/>
                <w:sz w:val="24"/>
                <w:color w:val="000000"/>
              </w:rPr>
              <w:t>成活率</w:t>
            </w:r>
            <w:r>
              <w:rPr>
                <w:rFonts w:ascii="仿宋_GB2312" w:hAnsi="仿宋_GB2312" w:cs="仿宋_GB2312" w:eastAsia="仿宋_GB2312"/>
                <w:sz w:val="24"/>
                <w:color w:val="000000"/>
              </w:rPr>
              <w:t>≥</w:t>
            </w:r>
            <w:r>
              <w:rPr>
                <w:rFonts w:ascii="仿宋_GB2312" w:hAnsi="仿宋_GB2312" w:cs="仿宋_GB2312" w:eastAsia="仿宋_GB2312"/>
                <w:sz w:val="24"/>
                <w:color w:val="000000"/>
              </w:rPr>
              <w:t>95</w:t>
            </w:r>
            <w:r>
              <w:rPr>
                <w:rFonts w:ascii="仿宋_GB2312" w:hAnsi="仿宋_GB2312" w:cs="仿宋_GB2312" w:eastAsia="仿宋_GB2312"/>
                <w:sz w:val="24"/>
                <w:color w:val="000000"/>
              </w:rPr>
              <w:t>%，符合国家及行业相关农业种植标准</w:t>
            </w:r>
            <w:r>
              <w:rPr>
                <w:rFonts w:ascii="仿宋_GB2312" w:hAnsi="仿宋_GB2312" w:cs="仿宋_GB2312" w:eastAsia="仿宋_GB2312"/>
                <w:sz w:val="24"/>
                <w:color w:val="000000"/>
              </w:rPr>
              <w:t>；</w:t>
            </w:r>
          </w:p>
          <w:p>
            <w:pPr>
              <w:pStyle w:val="null3"/>
              <w:spacing w:before="60"/>
              <w:ind w:left="135"/>
              <w:jc w:val="left"/>
            </w:pPr>
            <w:r>
              <w:rPr>
                <w:rFonts w:ascii="仿宋_GB2312" w:hAnsi="仿宋_GB2312" w:cs="仿宋_GB2312" w:eastAsia="仿宋_GB2312"/>
                <w:sz w:val="24"/>
                <w:color w:val="000000"/>
              </w:rPr>
              <w:t>种苗售后保障（</w:t>
            </w:r>
            <w:r>
              <w:rPr>
                <w:rFonts w:ascii="仿宋_GB2312" w:hAnsi="仿宋_GB2312" w:cs="仿宋_GB2312" w:eastAsia="仿宋_GB2312"/>
                <w:sz w:val="24"/>
                <w:color w:val="000000"/>
              </w:rPr>
              <w:t>3 个月质保期内， 若因种苗质量问题（品种、病虫害、成活率 不达标）免费更换、补齐）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159"/>
              <w:gridCol w:w="326"/>
              <w:gridCol w:w="1036"/>
              <w:gridCol w:w="185"/>
              <w:gridCol w:w="524"/>
              <w:gridCol w:w="315"/>
            </w:tblGrid>
            <w:tr>
              <w:tc>
                <w:tcPr>
                  <w:tcW w:type="dxa" w:w="1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序号</w:t>
                  </w:r>
                </w:p>
              </w:tc>
              <w:tc>
                <w:tcPr>
                  <w:tcW w:type="dxa" w:w="3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分项名称</w:t>
                  </w:r>
                </w:p>
                <w:p>
                  <w:pPr>
                    <w:pStyle w:val="null3"/>
                    <w:jc w:val="center"/>
                  </w:pPr>
                  <w:r>
                    <w:rPr>
                      <w:rFonts w:ascii="仿宋_GB2312" w:hAnsi="仿宋_GB2312" w:cs="仿宋_GB2312" w:eastAsia="仿宋_GB2312"/>
                      <w:sz w:val="24"/>
                      <w:color w:val="000000"/>
                    </w:rPr>
                    <w:t>1.淫羊藿种</w:t>
                  </w:r>
                  <w:r>
                    <w:rPr>
                      <w:rFonts w:ascii="仿宋_GB2312" w:hAnsi="仿宋_GB2312" w:cs="仿宋_GB2312" w:eastAsia="仿宋_GB2312"/>
                      <w:sz w:val="24"/>
                      <w:color w:val="000000"/>
                    </w:rPr>
                    <w:t>苗</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采</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购</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及</w:t>
                  </w:r>
                  <w:r>
                    <w:rPr>
                      <w:rFonts w:ascii="仿宋_GB2312" w:hAnsi="仿宋_GB2312" w:cs="仿宋_GB2312" w:eastAsia="仿宋_GB2312"/>
                      <w:sz w:val="24"/>
                      <w:color w:val="000000"/>
                    </w:rPr>
                    <w:t>种植</w:t>
                  </w:r>
                  <w:r>
                    <w:rPr>
                      <w:rFonts w:ascii="仿宋_GB2312" w:hAnsi="仿宋_GB2312" w:cs="仿宋_GB2312" w:eastAsia="仿宋_GB2312"/>
                      <w:sz w:val="24"/>
                      <w:color w:val="000000"/>
                    </w:rPr>
                    <w:t>44.5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亩</w:t>
                  </w:r>
                </w:p>
                <w:p>
                  <w:pPr>
                    <w:pStyle w:val="null3"/>
                    <w:spacing w:before="30"/>
                    <w:ind w:left="540"/>
                    <w:jc w:val="center"/>
                  </w:pPr>
                </w:p>
              </w:tc>
              <w:tc>
                <w:tcPr>
                  <w:tcW w:type="dxa" w:w="10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规格参数</w:t>
                  </w:r>
                </w:p>
              </w:tc>
              <w:tc>
                <w:tcPr>
                  <w:tcW w:type="dxa" w:w="1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10"/>
                    <w:jc w:val="center"/>
                  </w:pPr>
                  <w:r>
                    <w:rPr>
                      <w:rFonts w:ascii="仿宋_GB2312" w:hAnsi="仿宋_GB2312" w:cs="仿宋_GB2312" w:eastAsia="仿宋_GB2312"/>
                      <w:sz w:val="24"/>
                      <w:b/>
                      <w:color w:val="000000"/>
                    </w:rPr>
                    <w:t>单位</w:t>
                  </w:r>
                </w:p>
              </w:tc>
              <w:tc>
                <w:tcPr>
                  <w:tcW w:type="dxa" w:w="5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40"/>
                    <w:jc w:val="center"/>
                  </w:pPr>
                  <w:r>
                    <w:rPr>
                      <w:rFonts w:ascii="仿宋_GB2312" w:hAnsi="仿宋_GB2312" w:cs="仿宋_GB2312" w:eastAsia="仿宋_GB2312"/>
                      <w:sz w:val="24"/>
                      <w:b/>
                      <w:color w:val="000000"/>
                    </w:rPr>
                    <w:t>数量</w:t>
                  </w:r>
                </w:p>
              </w:tc>
              <w:tc>
                <w:tcPr>
                  <w:tcW w:type="dxa" w:w="3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10"/>
                    <w:jc w:val="center"/>
                  </w:pPr>
                  <w:r>
                    <w:rPr>
                      <w:rFonts w:ascii="仿宋_GB2312" w:hAnsi="仿宋_GB2312" w:cs="仿宋_GB2312" w:eastAsia="仿宋_GB2312"/>
                      <w:sz w:val="24"/>
                      <w:b/>
                      <w:color w:val="000000"/>
                    </w:rPr>
                    <w:t>备注</w:t>
                  </w: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40"/>
                    <w:jc w:val="center"/>
                  </w:pPr>
                  <w:r>
                    <w:rPr>
                      <w:rFonts w:ascii="仿宋_GB2312" w:hAnsi="仿宋_GB2312" w:cs="仿宋_GB2312" w:eastAsia="仿宋_GB2312"/>
                      <w:sz w:val="24"/>
                      <w:color w:val="000000"/>
                    </w:rPr>
                    <w:t>1.1</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45"/>
                    <w:jc w:val="center"/>
                  </w:pPr>
                  <w:r>
                    <w:rPr>
                      <w:rFonts w:ascii="仿宋_GB2312" w:hAnsi="仿宋_GB2312" w:cs="仿宋_GB2312" w:eastAsia="仿宋_GB2312"/>
                      <w:sz w:val="24"/>
                      <w:color w:val="000000"/>
                    </w:rPr>
                    <w:t>淫羊藿种</w:t>
                  </w:r>
                  <w:r>
                    <w:rPr>
                      <w:rFonts w:ascii="仿宋_GB2312" w:hAnsi="仿宋_GB2312" w:cs="仿宋_GB2312" w:eastAsia="仿宋_GB2312"/>
                      <w:sz w:val="24"/>
                      <w:color w:val="000000"/>
                    </w:rPr>
                    <w:t>苗</w:t>
                  </w:r>
                </w:p>
              </w:tc>
              <w:tc>
                <w:tcPr>
                  <w:tcW w:type="dxa" w:w="1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1）种苗为淫羊藿种子繁育的实生苗；</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2）每株高10cm以上，分支数3个以上，</w:t>
                  </w:r>
                  <w:r>
                    <w:rPr>
                      <w:rFonts w:ascii="仿宋_GB2312" w:hAnsi="仿宋_GB2312" w:cs="仿宋_GB2312" w:eastAsia="仿宋_GB2312"/>
                      <w:sz w:val="24"/>
                      <w:color w:val="000000"/>
                    </w:rPr>
                    <w:t>芽头</w:t>
                  </w:r>
                  <w:r>
                    <w:rPr>
                      <w:rFonts w:ascii="仿宋_GB2312" w:hAnsi="仿宋_GB2312" w:cs="仿宋_GB2312" w:eastAsia="仿宋_GB2312"/>
                      <w:sz w:val="24"/>
                      <w:color w:val="000000"/>
                    </w:rPr>
                    <w:t>1个以上</w:t>
                  </w:r>
                  <w:r>
                    <w:rPr>
                      <w:rFonts w:ascii="仿宋_GB2312" w:hAnsi="仿宋_GB2312" w:cs="仿宋_GB2312" w:eastAsia="仿宋_GB2312"/>
                      <w:sz w:val="24"/>
                      <w:color w:val="000000"/>
                    </w:rPr>
                    <w:t>；</w:t>
                  </w:r>
                </w:p>
                <w:p>
                  <w:pPr>
                    <w:pStyle w:val="null3"/>
                    <w:spacing w:before="270"/>
                    <w:ind w:left="15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3）无根腐病、锈病等病虫害；</w:t>
                  </w:r>
                </w:p>
              </w:tc>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15"/>
                    <w:jc w:val="center"/>
                  </w:pPr>
                  <w:r>
                    <w:rPr>
                      <w:rFonts w:ascii="仿宋_GB2312" w:hAnsi="仿宋_GB2312" w:cs="仿宋_GB2312" w:eastAsia="仿宋_GB2312"/>
                      <w:sz w:val="24"/>
                      <w:color w:val="000000"/>
                    </w:rPr>
                    <w:t>亩</w:t>
                  </w: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center"/>
                  </w:pPr>
                  <w:r>
                    <w:rPr>
                      <w:rFonts w:ascii="仿宋_GB2312" w:hAnsi="仿宋_GB2312" w:cs="仿宋_GB2312" w:eastAsia="仿宋_GB2312"/>
                      <w:sz w:val="24"/>
                      <w:color w:val="000000"/>
                    </w:rPr>
                    <w:t>按</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44.5</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亩</w:t>
                  </w:r>
                  <w:r>
                    <w:rPr>
                      <w:rFonts w:ascii="仿宋_GB2312" w:hAnsi="仿宋_GB2312" w:cs="仿宋_GB2312" w:eastAsia="仿宋_GB2312"/>
                      <w:sz w:val="24"/>
                      <w:color w:val="000000"/>
                    </w:rPr>
                    <w:t>种植密度核</w:t>
                  </w:r>
                  <w:r>
                    <w:rPr>
                      <w:rFonts w:ascii="仿宋_GB2312" w:hAnsi="仿宋_GB2312" w:cs="仿宋_GB2312" w:eastAsia="仿宋_GB2312"/>
                      <w:sz w:val="24"/>
                      <w:color w:val="000000"/>
                    </w:rPr>
                    <w:t>算（每亩</w:t>
                  </w:r>
                  <w:r>
                    <w:rPr>
                      <w:rFonts w:ascii="仿宋_GB2312" w:hAnsi="仿宋_GB2312" w:cs="仿宋_GB2312" w:eastAsia="仿宋_GB2312"/>
                      <w:sz w:val="24"/>
                      <w:color w:val="000000"/>
                    </w:rPr>
                    <w:t>≥</w:t>
                  </w:r>
                  <w:r>
                    <w:rPr>
                      <w:rFonts w:ascii="仿宋_GB2312" w:hAnsi="仿宋_GB2312" w:cs="仿宋_GB2312" w:eastAsia="仿宋_GB2312"/>
                      <w:sz w:val="24"/>
                      <w:color w:val="000000"/>
                    </w:rPr>
                    <w:t>3000</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株</w:t>
                  </w:r>
                  <w:r>
                    <w:rPr>
                      <w:rFonts w:ascii="仿宋_GB2312" w:hAnsi="仿宋_GB2312" w:cs="仿宋_GB2312" w:eastAsia="仿宋_GB2312"/>
                      <w:sz w:val="24"/>
                      <w:color w:val="000000"/>
                    </w:rPr>
                    <w:t>），</w:t>
                  </w:r>
                  <w:r>
                    <w:rPr>
                      <w:rFonts w:ascii="仿宋_GB2312" w:hAnsi="仿宋_GB2312" w:cs="仿宋_GB2312" w:eastAsia="仿宋_GB2312"/>
                      <w:sz w:val="24"/>
                      <w:color w:val="000000"/>
                    </w:rPr>
                    <w:t>总计</w:t>
                  </w:r>
                  <w:r>
                    <w:rPr>
                      <w:rFonts w:ascii="仿宋_GB2312" w:hAnsi="仿宋_GB2312" w:cs="仿宋_GB2312" w:eastAsia="仿宋_GB2312"/>
                      <w:sz w:val="24"/>
                      <w:color w:val="000000"/>
                    </w:rPr>
                    <w:t>≥</w:t>
                  </w:r>
                  <w:r>
                    <w:rPr>
                      <w:rFonts w:ascii="仿宋_GB2312" w:hAnsi="仿宋_GB2312" w:cs="仿宋_GB2312" w:eastAsia="仿宋_GB2312"/>
                      <w:sz w:val="24"/>
                      <w:color w:val="000000"/>
                    </w:rPr>
                    <w:t>133500</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株</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jc w:val="center"/>
                  </w:pPr>
                  <w:r>
                    <w:rPr>
                      <w:rFonts w:ascii="仿宋_GB2312" w:hAnsi="仿宋_GB2312" w:cs="仿宋_GB2312" w:eastAsia="仿宋_GB2312"/>
                      <w:sz w:val="24"/>
                      <w:color w:val="000000"/>
                    </w:rPr>
                    <w:t>含种苗采</w:t>
                  </w:r>
                  <w:r>
                    <w:rPr>
                      <w:rFonts w:ascii="仿宋_GB2312" w:hAnsi="仿宋_GB2312" w:cs="仿宋_GB2312" w:eastAsia="仿宋_GB2312"/>
                      <w:sz w:val="24"/>
                      <w:color w:val="000000"/>
                    </w:rPr>
                    <w:t>购、包装、</w:t>
                  </w:r>
                  <w:r>
                    <w:rPr>
                      <w:rFonts w:ascii="仿宋_GB2312" w:hAnsi="仿宋_GB2312" w:cs="仿宋_GB2312" w:eastAsia="仿宋_GB2312"/>
                      <w:sz w:val="24"/>
                      <w:color w:val="000000"/>
                    </w:rPr>
                    <w:t>运输至种植</w:t>
                  </w:r>
                  <w:r>
                    <w:rPr>
                      <w:rFonts w:ascii="仿宋_GB2312" w:hAnsi="仿宋_GB2312" w:cs="仿宋_GB2312" w:eastAsia="仿宋_GB2312"/>
                      <w:sz w:val="24"/>
                      <w:color w:val="000000"/>
                    </w:rPr>
                    <w:t>地块</w:t>
                  </w: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40"/>
                    <w:jc w:val="center"/>
                  </w:pPr>
                  <w:r>
                    <w:rPr>
                      <w:rFonts w:ascii="仿宋_GB2312" w:hAnsi="仿宋_GB2312" w:cs="仿宋_GB2312" w:eastAsia="仿宋_GB2312"/>
                      <w:sz w:val="24"/>
                      <w:color w:val="000000"/>
                    </w:rPr>
                    <w:t>1.2</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85" w:right="165"/>
                    <w:jc w:val="center"/>
                  </w:pPr>
                  <w:r>
                    <w:rPr>
                      <w:rFonts w:ascii="仿宋_GB2312" w:hAnsi="仿宋_GB2312" w:cs="仿宋_GB2312" w:eastAsia="仿宋_GB2312"/>
                      <w:sz w:val="24"/>
                      <w:color w:val="000000"/>
                    </w:rPr>
                    <w:t>种植人工及</w:t>
                  </w:r>
                  <w:r>
                    <w:rPr>
                      <w:rFonts w:ascii="仿宋_GB2312" w:hAnsi="仿宋_GB2312" w:cs="仿宋_GB2312" w:eastAsia="仿宋_GB2312"/>
                      <w:sz w:val="24"/>
                      <w:color w:val="000000"/>
                    </w:rPr>
                    <w:t>配套服务</w:t>
                  </w:r>
                </w:p>
              </w:tc>
              <w:tc>
                <w:tcPr>
                  <w:tcW w:type="dxa" w:w="1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35" w:right="45"/>
                    <w:jc w:val="left"/>
                  </w:pPr>
                  <w:r>
                    <w:rPr>
                      <w:rFonts w:ascii="仿宋_GB2312" w:hAnsi="仿宋_GB2312" w:cs="仿宋_GB2312" w:eastAsia="仿宋_GB2312"/>
                      <w:sz w:val="24"/>
                      <w:color w:val="000000"/>
                    </w:rPr>
                    <w:t>含种植密度把控、整地（含疏林）、定植、</w:t>
                  </w:r>
                  <w:r>
                    <w:rPr>
                      <w:rFonts w:ascii="仿宋_GB2312" w:hAnsi="仿宋_GB2312" w:cs="仿宋_GB2312" w:eastAsia="仿宋_GB2312"/>
                      <w:sz w:val="24"/>
                      <w:color w:val="000000"/>
                    </w:rPr>
                    <w:t>浇水、初期</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管护指导，种苗售后保障（</w:t>
                  </w:r>
                  <w:r>
                    <w:rPr>
                      <w:rFonts w:ascii="仿宋_GB2312" w:hAnsi="仿宋_GB2312" w:cs="仿宋_GB2312" w:eastAsia="仿宋_GB2312"/>
                      <w:sz w:val="24"/>
                      <w:color w:val="000000"/>
                    </w:rPr>
                    <w:t>3 个</w:t>
                  </w:r>
                  <w:r>
                    <w:rPr>
                      <w:rFonts w:ascii="仿宋_GB2312" w:hAnsi="仿宋_GB2312" w:cs="仿宋_GB2312" w:eastAsia="仿宋_GB2312"/>
                      <w:sz w:val="24"/>
                      <w:color w:val="000000"/>
                    </w:rPr>
                    <w:t>月质保期内，</w:t>
                  </w:r>
                  <w:r>
                    <w:rPr>
                      <w:rFonts w:ascii="仿宋_GB2312" w:hAnsi="仿宋_GB2312" w:cs="仿宋_GB2312" w:eastAsia="仿宋_GB2312"/>
                      <w:sz w:val="24"/>
                      <w:color w:val="000000"/>
                    </w:rPr>
                    <w:t>若因种苗质量问题（品种、病</w:t>
                  </w:r>
                  <w:r>
                    <w:rPr>
                      <w:rFonts w:ascii="仿宋_GB2312" w:hAnsi="仿宋_GB2312" w:cs="仿宋_GB2312" w:eastAsia="仿宋_GB2312"/>
                      <w:sz w:val="24"/>
                      <w:color w:val="000000"/>
                    </w:rPr>
                    <w:t>虫害、成活率</w:t>
                  </w:r>
                  <w:r>
                    <w:rPr>
                      <w:rFonts w:ascii="仿宋_GB2312" w:hAnsi="仿宋_GB2312" w:cs="仿宋_GB2312" w:eastAsia="仿宋_GB2312"/>
                      <w:sz w:val="24"/>
                      <w:color w:val="000000"/>
                    </w:rPr>
                    <w:t>不达标）免费更换、补齐）</w:t>
                  </w:r>
                </w:p>
                <w:p>
                  <w:pPr>
                    <w:pStyle w:val="null3"/>
                    <w:ind w:left="1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1）株距：20-30cm；行距：30-40cm；</w:t>
                  </w:r>
                </w:p>
                <w:p>
                  <w:pPr>
                    <w:pStyle w:val="null3"/>
                    <w:spacing w:before="105"/>
                    <w:ind w:left="1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2）穴规格：穴深</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10-15cm；</w:t>
                  </w:r>
                </w:p>
                <w:p>
                  <w:pPr>
                    <w:pStyle w:val="null3"/>
                    <w:spacing w:before="135"/>
                    <w:ind w:left="1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3）覆土深度：芽朝上，覆土</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3-5cm；</w:t>
                  </w:r>
                </w:p>
              </w:tc>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15"/>
                    <w:jc w:val="center"/>
                  </w:pPr>
                  <w:r>
                    <w:rPr>
                      <w:rFonts w:ascii="仿宋_GB2312" w:hAnsi="仿宋_GB2312" w:cs="仿宋_GB2312" w:eastAsia="仿宋_GB2312"/>
                      <w:sz w:val="24"/>
                      <w:color w:val="000000"/>
                    </w:rPr>
                    <w:t>亩</w:t>
                  </w: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00"/>
                    <w:jc w:val="center"/>
                  </w:pPr>
                  <w:r>
                    <w:rPr>
                      <w:rFonts w:ascii="仿宋_GB2312" w:hAnsi="仿宋_GB2312" w:cs="仿宋_GB2312" w:eastAsia="仿宋_GB2312"/>
                      <w:sz w:val="24"/>
                      <w:color w:val="000000"/>
                    </w:rPr>
                    <w:t>44.5</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right="135"/>
                    <w:jc w:val="center"/>
                  </w:pPr>
                  <w:r>
                    <w:rPr>
                      <w:rFonts w:ascii="仿宋_GB2312" w:hAnsi="仿宋_GB2312" w:cs="仿宋_GB2312" w:eastAsia="仿宋_GB2312"/>
                      <w:sz w:val="24"/>
                      <w:color w:val="000000"/>
                    </w:rPr>
                    <w:t>含种植工具</w:t>
                  </w:r>
                  <w:r>
                    <w:rPr>
                      <w:rFonts w:ascii="仿宋_GB2312" w:hAnsi="仿宋_GB2312" w:cs="仿宋_GB2312" w:eastAsia="仿宋_GB2312"/>
                      <w:sz w:val="24"/>
                      <w:color w:val="000000"/>
                    </w:rPr>
                    <w:t>使用、人工</w:t>
                  </w:r>
                  <w:r>
                    <w:rPr>
                      <w:rFonts w:ascii="仿宋_GB2312" w:hAnsi="仿宋_GB2312" w:cs="仿宋_GB2312" w:eastAsia="仿宋_GB2312"/>
                      <w:sz w:val="24"/>
                      <w:color w:val="000000"/>
                    </w:rPr>
                    <w:t>成本</w:t>
                  </w: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40"/>
                    <w:jc w:val="center"/>
                  </w:pPr>
                  <w:r>
                    <w:rPr>
                      <w:rFonts w:ascii="仿宋_GB2312" w:hAnsi="仿宋_GB2312" w:cs="仿宋_GB2312" w:eastAsia="仿宋_GB2312"/>
                      <w:sz w:val="24"/>
                      <w:color w:val="000000"/>
                    </w:rPr>
                    <w:t>1.3</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85" w:right="165"/>
                    <w:jc w:val="center"/>
                  </w:pPr>
                  <w:r>
                    <w:rPr>
                      <w:rFonts w:ascii="仿宋_GB2312" w:hAnsi="仿宋_GB2312" w:cs="仿宋_GB2312" w:eastAsia="仿宋_GB2312"/>
                      <w:sz w:val="24"/>
                      <w:color w:val="000000"/>
                    </w:rPr>
                    <w:t>肥料</w:t>
                  </w:r>
                </w:p>
              </w:tc>
              <w:tc>
                <w:tcPr>
                  <w:tcW w:type="dxa" w:w="1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生物有机肥</w:t>
                  </w:r>
                </w:p>
              </w:tc>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15"/>
                    <w:jc w:val="center"/>
                  </w:pPr>
                  <w:r>
                    <w:rPr>
                      <w:rFonts w:ascii="仿宋_GB2312" w:hAnsi="仿宋_GB2312" w:cs="仿宋_GB2312" w:eastAsia="仿宋_GB2312"/>
                      <w:sz w:val="24"/>
                      <w:color w:val="000000"/>
                    </w:rPr>
                    <w:t>亩</w:t>
                  </w: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color w:val="000000"/>
                    </w:rPr>
                    <w:t>44.5</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right="135"/>
                    <w:jc w:val="center"/>
                  </w:pP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60" w:right="165"/>
                    <w:jc w:val="center"/>
                  </w:pPr>
                  <w:r>
                    <w:rPr>
                      <w:rFonts w:ascii="仿宋_GB2312" w:hAnsi="仿宋_GB2312" w:cs="仿宋_GB2312" w:eastAsia="仿宋_GB2312"/>
                      <w:sz w:val="24"/>
                      <w:color w:val="000000"/>
                    </w:rPr>
                    <w:t>种植技术指</w:t>
                  </w:r>
                  <w:r>
                    <w:rPr>
                      <w:rFonts w:ascii="仿宋_GB2312" w:hAnsi="仿宋_GB2312" w:cs="仿宋_GB2312" w:eastAsia="仿宋_GB2312"/>
                      <w:sz w:val="24"/>
                      <w:color w:val="000000"/>
                    </w:rPr>
                    <w:t>导</w:t>
                  </w:r>
                </w:p>
              </w:tc>
              <w:tc>
                <w:tcPr>
                  <w:tcW w:type="dxa" w:w="1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135" w:right="345"/>
                    <w:jc w:val="left"/>
                  </w:pPr>
                  <w:r>
                    <w:rPr>
                      <w:rFonts w:ascii="仿宋_GB2312" w:hAnsi="仿宋_GB2312" w:cs="仿宋_GB2312" w:eastAsia="仿宋_GB2312"/>
                      <w:sz w:val="24"/>
                      <w:color w:val="000000"/>
                    </w:rPr>
                    <w:t>含种植前种植基地勘测、种植期间水肥管理指</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导、病虫害防治技术培训（不少于</w:t>
                  </w:r>
                  <w:r>
                    <w:rPr>
                      <w:rFonts w:ascii="仿宋_GB2312" w:hAnsi="仿宋_GB2312" w:cs="仿宋_GB2312" w:eastAsia="仿宋_GB2312"/>
                      <w:sz w:val="24"/>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次上</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门）</w:t>
                  </w:r>
                </w:p>
              </w:tc>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30"/>
                    <w:jc w:val="center"/>
                  </w:pPr>
                  <w:r>
                    <w:rPr>
                      <w:rFonts w:ascii="仿宋_GB2312" w:hAnsi="仿宋_GB2312" w:cs="仿宋_GB2312" w:eastAsia="仿宋_GB2312"/>
                      <w:sz w:val="24"/>
                      <w:color w:val="000000"/>
                    </w:rPr>
                    <w:t>项</w:t>
                  </w: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750"/>
                    <w:jc w:val="center"/>
                  </w:pPr>
                  <w:r>
                    <w:rPr>
                      <w:rFonts w:ascii="仿宋_GB2312" w:hAnsi="仿宋_GB2312" w:cs="仿宋_GB2312" w:eastAsia="仿宋_GB2312"/>
                      <w:sz w:val="24"/>
                      <w:color w:val="000000"/>
                    </w:rPr>
                    <w:t>1</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35"/>
                    <w:jc w:val="center"/>
                  </w:pPr>
                  <w:r>
                    <w:rPr>
                      <w:rFonts w:ascii="仿宋_GB2312" w:hAnsi="仿宋_GB2312" w:cs="仿宋_GB2312" w:eastAsia="仿宋_GB2312"/>
                      <w:sz w:val="24"/>
                      <w:color w:val="000000"/>
                    </w:rPr>
                    <w:t>含技术人员</w:t>
                  </w:r>
                </w:p>
                <w:p>
                  <w:pPr>
                    <w:pStyle w:val="null3"/>
                    <w:spacing w:before="135"/>
                    <w:ind w:left="165" w:right="135"/>
                    <w:jc w:val="center"/>
                  </w:pPr>
                  <w:r>
                    <w:rPr>
                      <w:rFonts w:ascii="仿宋_GB2312" w:hAnsi="仿宋_GB2312" w:cs="仿宋_GB2312" w:eastAsia="仿宋_GB2312"/>
                      <w:sz w:val="24"/>
                      <w:color w:val="000000"/>
                    </w:rPr>
                    <w:t>差旅、培训</w:t>
                  </w:r>
                  <w:r>
                    <w:rPr>
                      <w:rFonts w:ascii="仿宋_GB2312" w:hAnsi="仿宋_GB2312" w:cs="仿宋_GB2312" w:eastAsia="仿宋_GB2312"/>
                      <w:sz w:val="24"/>
                      <w:color w:val="000000"/>
                    </w:rPr>
                    <w:t>资料</w:t>
                  </w:r>
                </w:p>
              </w:tc>
            </w:tr>
            <w:tr>
              <w:tc>
                <w:tcPr>
                  <w:tcW w:type="dxa" w:w="1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50" w:right="120"/>
                    <w:jc w:val="center"/>
                  </w:pPr>
                  <w:r>
                    <w:rPr>
                      <w:rFonts w:ascii="仿宋_GB2312" w:hAnsi="仿宋_GB2312" w:cs="仿宋_GB2312" w:eastAsia="仿宋_GB2312"/>
                      <w:sz w:val="24"/>
                      <w:b/>
                      <w:color w:val="000000"/>
                    </w:rPr>
                    <w:t>分项</w:t>
                  </w:r>
                  <w:r>
                    <w:rPr>
                      <w:rFonts w:ascii="仿宋_GB2312" w:hAnsi="仿宋_GB2312" w:cs="仿宋_GB2312" w:eastAsia="仿宋_GB2312"/>
                      <w:sz w:val="24"/>
                      <w:b/>
                      <w:color w:val="000000"/>
                    </w:rPr>
                    <w:t>小计</w:t>
                  </w:r>
                </w:p>
              </w:tc>
              <w:tc>
                <w:tcPr>
                  <w:tcW w:type="dxa" w:w="3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center"/>
                  </w:pPr>
                  <w:r>
                    <w:rPr>
                      <w:rFonts w:ascii="仿宋_GB2312" w:hAnsi="仿宋_GB2312" w:cs="仿宋_GB2312" w:eastAsia="仿宋_GB2312"/>
                      <w:sz w:val="24"/>
                      <w:color w:val="000000"/>
                    </w:rPr>
                    <w:t>——</w:t>
                  </w:r>
                </w:p>
              </w:tc>
              <w:tc>
                <w:tcPr>
                  <w:tcW w:type="dxa" w:w="10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160"/>
                    <w:jc w:val="both"/>
                  </w:pPr>
                  <w:r>
                    <w:rPr>
                      <w:rFonts w:ascii="仿宋_GB2312" w:hAnsi="仿宋_GB2312" w:cs="仿宋_GB2312" w:eastAsia="仿宋_GB2312"/>
                      <w:sz w:val="24"/>
                      <w:color w:val="000000"/>
                    </w:rPr>
                    <w:t>——</w:t>
                  </w:r>
                </w:p>
              </w:tc>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w:t>
                  </w: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40"/>
                    <w:jc w:val="center"/>
                  </w:pPr>
                  <w:r>
                    <w:rPr>
                      <w:rFonts w:ascii="仿宋_GB2312" w:hAnsi="仿宋_GB2312" w:cs="仿宋_GB2312" w:eastAsia="仿宋_GB2312"/>
                      <w:sz w:val="24"/>
                      <w:color w:val="000000"/>
                    </w:rPr>
                    <w:t>——</w:t>
                  </w:r>
                </w:p>
              </w:tc>
              <w:tc>
                <w:tcPr>
                  <w:tcW w:type="dxa" w:w="3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10"/>
                    <w:jc w:val="both"/>
                  </w:pPr>
                  <w:r>
                    <w:rPr>
                      <w:rFonts w:ascii="仿宋_GB2312" w:hAnsi="仿宋_GB2312" w:cs="仿宋_GB2312" w:eastAsia="仿宋_GB2312"/>
                      <w:sz w:val="24"/>
                      <w:color w:val="000000"/>
                    </w:rPr>
                    <w:t>——</w:t>
                  </w:r>
                </w:p>
              </w:tc>
            </w:tr>
          </w:tbl>
          <w:tbl>
            <w:tblPr>
              <w:tblInd w:type="dxa" w:w="105"/>
              <w:tblBorders>
                <w:top w:val="none" w:color="000000" w:sz="4"/>
                <w:left w:val="none" w:color="000000" w:sz="4"/>
                <w:bottom w:val="none" w:color="000000" w:sz="4"/>
                <w:right w:val="none" w:color="000000" w:sz="4"/>
                <w:insideH w:val="none"/>
                <w:insideV w:val="none"/>
              </w:tblBorders>
            </w:tblPr>
            <w:tblGrid>
              <w:gridCol w:w="181"/>
              <w:gridCol w:w="265"/>
              <w:gridCol w:w="1082"/>
              <w:gridCol w:w="208"/>
              <w:gridCol w:w="349"/>
              <w:gridCol w:w="453"/>
            </w:tblGrid>
            <w:tr>
              <w:tc>
                <w:tcPr>
                  <w:tcW w:type="dxa" w:w="1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65"/>
                    <w:jc w:val="center"/>
                  </w:pPr>
                  <w:r>
                    <w:rPr>
                      <w:rFonts w:ascii="仿宋_GB2312" w:hAnsi="仿宋_GB2312" w:cs="仿宋_GB2312" w:eastAsia="仿宋_GB2312"/>
                      <w:sz w:val="24"/>
                      <w:b/>
                      <w:color w:val="000000"/>
                    </w:rPr>
                    <w:t>序号</w:t>
                  </w:r>
                </w:p>
              </w:tc>
              <w:tc>
                <w:tcPr>
                  <w:tcW w:type="dxa" w:w="2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b/>
                      <w:color w:val="000000"/>
                    </w:rPr>
                    <w:t>分项名称</w:t>
                  </w:r>
                </w:p>
                <w:p>
                  <w:pPr>
                    <w:pStyle w:val="null3"/>
                    <w:spacing w:before="105"/>
                    <w:jc w:val="center"/>
                  </w:pPr>
                  <w:r>
                    <w:rPr>
                      <w:rFonts w:ascii="仿宋_GB2312" w:hAnsi="仿宋_GB2312" w:cs="仿宋_GB2312" w:eastAsia="仿宋_GB2312"/>
                      <w:sz w:val="24"/>
                      <w:b/>
                      <w:color w:val="000000"/>
                    </w:rPr>
                    <w:t>2.</w:t>
                  </w:r>
                  <w:r>
                    <w:rPr>
                      <w:rFonts w:ascii="仿宋_GB2312" w:hAnsi="仿宋_GB2312" w:cs="仿宋_GB2312" w:eastAsia="仿宋_GB2312"/>
                      <w:sz w:val="24"/>
                      <w:color w:val="000000"/>
                    </w:rPr>
                    <w:t>0.5</w:t>
                  </w:r>
                  <w:r>
                    <w:rPr>
                      <w:rFonts w:ascii="仿宋_GB2312" w:hAnsi="仿宋_GB2312" w:cs="仿宋_GB2312" w:eastAsia="仿宋_GB2312"/>
                      <w:sz w:val="24"/>
                      <w:color w:val="000000"/>
                    </w:rPr>
                    <w:t>千米</w:t>
                  </w:r>
                  <w:r>
                    <w:rPr>
                      <w:rFonts w:ascii="仿宋_GB2312" w:hAnsi="仿宋_GB2312" w:cs="仿宋_GB2312" w:eastAsia="仿宋_GB2312"/>
                      <w:sz w:val="24"/>
                      <w:color w:val="000000"/>
                    </w:rPr>
                    <w:t>防护围</w:t>
                  </w:r>
                </w:p>
                <w:p>
                  <w:pPr>
                    <w:pStyle w:val="null3"/>
                    <w:ind w:left="225"/>
                    <w:jc w:val="center"/>
                  </w:pPr>
                  <w:r>
                    <w:rPr>
                      <w:rFonts w:ascii="仿宋_GB2312" w:hAnsi="仿宋_GB2312" w:cs="仿宋_GB2312" w:eastAsia="仿宋_GB2312"/>
                      <w:sz w:val="24"/>
                      <w:color w:val="000000"/>
                    </w:rPr>
                    <w:t>栏采购</w:t>
                  </w:r>
                </w:p>
                <w:p>
                  <w:pPr>
                    <w:pStyle w:val="null3"/>
                    <w:spacing w:before="120"/>
                    <w:ind w:left="225"/>
                    <w:jc w:val="center"/>
                  </w:pPr>
                  <w:r>
                    <w:rPr>
                      <w:rFonts w:ascii="仿宋_GB2312" w:hAnsi="仿宋_GB2312" w:cs="仿宋_GB2312" w:eastAsia="仿宋_GB2312"/>
                      <w:sz w:val="24"/>
                      <w:color w:val="000000"/>
                    </w:rPr>
                    <w:t>及安装</w:t>
                  </w:r>
                </w:p>
              </w:tc>
              <w:tc>
                <w:tcPr>
                  <w:tcW w:type="dxa" w:w="10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830"/>
                    <w:jc w:val="both"/>
                  </w:pPr>
                  <w:r>
                    <w:rPr>
                      <w:rFonts w:ascii="仿宋_GB2312" w:hAnsi="仿宋_GB2312" w:cs="仿宋_GB2312" w:eastAsia="仿宋_GB2312"/>
                      <w:sz w:val="24"/>
                      <w:b/>
                      <w:color w:val="000000"/>
                    </w:rPr>
                    <w:t>规格参数</w:t>
                  </w:r>
                </w:p>
              </w:tc>
              <w:tc>
                <w:tcPr>
                  <w:tcW w:type="dxa" w:w="2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jc w:val="center"/>
                  </w:pPr>
                  <w:r>
                    <w:rPr>
                      <w:rFonts w:ascii="仿宋_GB2312" w:hAnsi="仿宋_GB2312" w:cs="仿宋_GB2312" w:eastAsia="仿宋_GB2312"/>
                      <w:sz w:val="24"/>
                      <w:b/>
                      <w:color w:val="000000"/>
                    </w:rPr>
                    <w:t>单位</w:t>
                  </w:r>
                </w:p>
              </w:tc>
              <w:tc>
                <w:tcPr>
                  <w:tcW w:type="dxa" w:w="3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center"/>
                  </w:pPr>
                  <w:r>
                    <w:rPr>
                      <w:rFonts w:ascii="仿宋_GB2312" w:hAnsi="仿宋_GB2312" w:cs="仿宋_GB2312" w:eastAsia="仿宋_GB2312"/>
                      <w:sz w:val="24"/>
                      <w:b/>
                      <w:color w:val="000000"/>
                    </w:rPr>
                    <w:t>数量</w:t>
                  </w:r>
                </w:p>
              </w:tc>
              <w:tc>
                <w:tcPr>
                  <w:tcW w:type="dxa" w:w="4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b/>
                      <w:color w:val="000000"/>
                    </w:rPr>
                    <w:t>备注</w:t>
                  </w:r>
                </w:p>
              </w:tc>
            </w:tr>
            <w:tr>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jc w:val="center"/>
                  </w:pPr>
                  <w:r>
                    <w:rPr>
                      <w:rFonts w:ascii="仿宋_GB2312" w:hAnsi="仿宋_GB2312" w:cs="仿宋_GB2312" w:eastAsia="仿宋_GB2312"/>
                      <w:sz w:val="24"/>
                      <w:color w:val="000000"/>
                    </w:rPr>
                    <w:t>2.1</w:t>
                  </w:r>
                </w:p>
              </w:tc>
              <w:tc>
                <w:tcPr>
                  <w:tcW w:type="dxa" w:w="2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315"/>
                    <w:jc w:val="center"/>
                  </w:pPr>
                  <w:r>
                    <w:rPr>
                      <w:rFonts w:ascii="仿宋_GB2312" w:hAnsi="仿宋_GB2312" w:cs="仿宋_GB2312" w:eastAsia="仿宋_GB2312"/>
                      <w:sz w:val="24"/>
                      <w:color w:val="000000"/>
                    </w:rPr>
                    <w:t>围栏</w:t>
                  </w:r>
                  <w:r>
                    <w:rPr>
                      <w:rFonts w:ascii="仿宋_GB2312" w:hAnsi="仿宋_GB2312" w:cs="仿宋_GB2312" w:eastAsia="仿宋_GB2312"/>
                      <w:sz w:val="24"/>
                      <w:color w:val="000000"/>
                    </w:rPr>
                    <w:t>立柱</w:t>
                  </w:r>
                </w:p>
              </w:tc>
              <w:tc>
                <w:tcPr>
                  <w:tcW w:type="dxa" w:w="10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35" w:right="195" w:firstLine="21"/>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1）材质与规格：立柱：高 1.5m-1.8m；</w:t>
                  </w:r>
                  <w:r>
                    <w:rPr>
                      <w:rFonts w:ascii="仿宋_GB2312" w:hAnsi="仿宋_GB2312" w:cs="仿宋_GB2312" w:eastAsia="仿宋_GB2312"/>
                      <w:sz w:val="24"/>
                      <w:color w:val="000000"/>
                    </w:rPr>
                    <w:t>材质：木头</w:t>
                  </w:r>
                </w:p>
                <w:p>
                  <w:pPr>
                    <w:pStyle w:val="null3"/>
                    <w:spacing w:before="60"/>
                    <w:ind w:left="15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2）高度与埋深：立柱高度 =</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网高：</w:t>
                  </w:r>
                </w:p>
                <w:p>
                  <w:pPr>
                    <w:pStyle w:val="null3"/>
                    <w:spacing w:before="120"/>
                    <w:ind w:left="135" w:right="180" w:firstLine="30"/>
                    <w:jc w:val="left"/>
                  </w:pPr>
                  <w:r>
                    <w:rPr>
                      <w:rFonts w:ascii="仿宋_GB2312" w:hAnsi="仿宋_GB2312" w:cs="仿宋_GB2312" w:eastAsia="仿宋_GB2312"/>
                      <w:sz w:val="24"/>
                      <w:color w:val="000000"/>
                    </w:rPr>
                    <w:t>1.5-1.8m + 埋深（埋深： 黄土、黏土≥</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0.3m</w:t>
                  </w:r>
                  <w:r>
                    <w:rPr>
                      <w:rFonts w:ascii="仿宋_GB2312" w:hAnsi="仿宋_GB2312" w:cs="仿宋_GB2312" w:eastAsia="仿宋_GB2312"/>
                      <w:sz w:val="24"/>
                      <w:color w:val="000000"/>
                    </w:rPr>
                    <w:t>）；</w:t>
                  </w:r>
                </w:p>
                <w:p>
                  <w:pPr>
                    <w:pStyle w:val="null3"/>
                    <w:ind w:left="15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3）间距：≤3m；</w:t>
                  </w:r>
                </w:p>
                <w:p>
                  <w:pPr>
                    <w:pStyle w:val="null3"/>
                    <w:spacing w:before="90"/>
                    <w:ind w:left="15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4）抗风：</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≥0.5kN/m²</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(≥8 级风）</w:t>
                  </w:r>
                </w:p>
              </w:tc>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45"/>
                    <w:jc w:val="center"/>
                  </w:pPr>
                  <w:r>
                    <w:rPr>
                      <w:rFonts w:ascii="仿宋_GB2312" w:hAnsi="仿宋_GB2312" w:cs="仿宋_GB2312" w:eastAsia="仿宋_GB2312"/>
                      <w:sz w:val="24"/>
                      <w:color w:val="000000"/>
                    </w:rPr>
                    <w:t>根</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center"/>
                  </w:pPr>
                  <w:r>
                    <w:rPr>
                      <w:rFonts w:ascii="仿宋_GB2312" w:hAnsi="仿宋_GB2312" w:cs="仿宋_GB2312" w:eastAsia="仿宋_GB2312"/>
                      <w:sz w:val="24"/>
                      <w:color w:val="000000"/>
                    </w:rPr>
                    <w:t>160</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90"/>
                    <w:jc w:val="both"/>
                  </w:pPr>
                  <w:r>
                    <w:rPr>
                      <w:rFonts w:ascii="仿宋_GB2312" w:hAnsi="仿宋_GB2312" w:cs="仿宋_GB2312" w:eastAsia="仿宋_GB2312"/>
                      <w:sz w:val="24"/>
                      <w:color w:val="000000"/>
                    </w:rPr>
                    <w:t>含立柱加工</w:t>
                  </w:r>
                </w:p>
              </w:tc>
            </w:tr>
            <w:tr>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jc w:val="center"/>
                  </w:pPr>
                  <w:r>
                    <w:rPr>
                      <w:rFonts w:ascii="仿宋_GB2312" w:hAnsi="仿宋_GB2312" w:cs="仿宋_GB2312" w:eastAsia="仿宋_GB2312"/>
                      <w:sz w:val="24"/>
                      <w:color w:val="000000"/>
                    </w:rPr>
                    <w:t>2.2</w:t>
                  </w:r>
                </w:p>
              </w:tc>
              <w:tc>
                <w:tcPr>
                  <w:tcW w:type="dxa" w:w="2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70"/>
                    <w:jc w:val="center"/>
                  </w:pPr>
                  <w:r>
                    <w:rPr>
                      <w:rFonts w:ascii="仿宋_GB2312" w:hAnsi="仿宋_GB2312" w:cs="仿宋_GB2312" w:eastAsia="仿宋_GB2312"/>
                      <w:sz w:val="24"/>
                      <w:color w:val="000000"/>
                    </w:rPr>
                    <w:t>围栏网</w:t>
                  </w:r>
                </w:p>
              </w:tc>
              <w:tc>
                <w:tcPr>
                  <w:tcW w:type="dxa" w:w="10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5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1）材质：使用电子围栏专用线；</w:t>
                  </w:r>
                </w:p>
                <w:p>
                  <w:pPr>
                    <w:pStyle w:val="null3"/>
                    <w:spacing w:before="120"/>
                    <w:ind w:left="135" w:right="315" w:firstLine="1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2）电子围栏：三排拉线，上下距离≤</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300mm</w:t>
                  </w:r>
                </w:p>
              </w:tc>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45"/>
                    <w:jc w:val="center"/>
                  </w:pPr>
                  <w:r>
                    <w:rPr>
                      <w:rFonts w:ascii="仿宋_GB2312" w:hAnsi="仿宋_GB2312" w:cs="仿宋_GB2312" w:eastAsia="仿宋_GB2312"/>
                      <w:sz w:val="24"/>
                      <w:color w:val="000000"/>
                    </w:rPr>
                    <w:t>米</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65"/>
                    <w:jc w:val="center"/>
                  </w:pPr>
                  <w:r>
                    <w:rPr>
                      <w:rFonts w:ascii="仿宋_GB2312" w:hAnsi="仿宋_GB2312" w:cs="仿宋_GB2312" w:eastAsia="仿宋_GB2312"/>
                      <w:sz w:val="24"/>
                      <w:color w:val="000000"/>
                    </w:rPr>
                    <w:t>15</w:t>
                  </w:r>
                  <w:r>
                    <w:rPr>
                      <w:rFonts w:ascii="仿宋_GB2312" w:hAnsi="仿宋_GB2312" w:cs="仿宋_GB2312" w:eastAsia="仿宋_GB2312"/>
                      <w:sz w:val="24"/>
                      <w:color w:val="000000"/>
                    </w:rPr>
                    <w:t>00</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30" w:right="120"/>
                    <w:jc w:val="center"/>
                  </w:pPr>
                  <w:r>
                    <w:rPr>
                      <w:rFonts w:ascii="仿宋_GB2312" w:hAnsi="仿宋_GB2312" w:cs="仿宋_GB2312" w:eastAsia="仿宋_GB2312"/>
                      <w:sz w:val="24"/>
                      <w:color w:val="000000"/>
                    </w:rPr>
                    <w:t>含网面采购、防</w:t>
                  </w:r>
                  <w:r>
                    <w:rPr>
                      <w:rFonts w:ascii="仿宋_GB2312" w:hAnsi="仿宋_GB2312" w:cs="仿宋_GB2312" w:eastAsia="仿宋_GB2312"/>
                      <w:sz w:val="24"/>
                      <w:color w:val="000000"/>
                    </w:rPr>
                    <w:t>腐处理</w:t>
                  </w:r>
                </w:p>
              </w:tc>
            </w:tr>
            <w:tr>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jc w:val="center"/>
                  </w:pPr>
                  <w:r>
                    <w:rPr>
                      <w:rFonts w:ascii="仿宋_GB2312" w:hAnsi="仿宋_GB2312" w:cs="仿宋_GB2312" w:eastAsia="仿宋_GB2312"/>
                      <w:sz w:val="24"/>
                      <w:color w:val="000000"/>
                    </w:rPr>
                    <w:t>2.3</w:t>
                  </w:r>
                </w:p>
              </w:tc>
              <w:tc>
                <w:tcPr>
                  <w:tcW w:type="dxa" w:w="2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225" w:right="210" w:firstLine="4"/>
                    <w:jc w:val="center"/>
                  </w:pPr>
                  <w:r>
                    <w:rPr>
                      <w:rFonts w:ascii="仿宋_GB2312" w:hAnsi="仿宋_GB2312" w:cs="仿宋_GB2312" w:eastAsia="仿宋_GB2312"/>
                      <w:sz w:val="24"/>
                      <w:color w:val="000000"/>
                    </w:rPr>
                    <w:t>连接件及辅料</w:t>
                  </w:r>
                </w:p>
              </w:tc>
              <w:tc>
                <w:tcPr>
                  <w:tcW w:type="dxa" w:w="10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35" w:right="180"/>
                    <w:jc w:val="left"/>
                  </w:pPr>
                  <w:r>
                    <w:rPr>
                      <w:rFonts w:ascii="仿宋_GB2312" w:hAnsi="仿宋_GB2312" w:cs="仿宋_GB2312" w:eastAsia="仿宋_GB2312"/>
                      <w:sz w:val="24"/>
                      <w:color w:val="000000"/>
                    </w:rPr>
                    <w:t>含紧线器、绝缘钩、主机、太阳能板、电瓶等，用于立柱固定、围栏连接</w:t>
                  </w:r>
                </w:p>
              </w:tc>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45"/>
                    <w:jc w:val="center"/>
                  </w:pPr>
                  <w:r>
                    <w:rPr>
                      <w:rFonts w:ascii="仿宋_GB2312" w:hAnsi="仿宋_GB2312" w:cs="仿宋_GB2312" w:eastAsia="仿宋_GB2312"/>
                      <w:sz w:val="24"/>
                      <w:color w:val="000000"/>
                    </w:rPr>
                    <w:t>套</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705"/>
                    <w:jc w:val="center"/>
                  </w:pPr>
                  <w:r>
                    <w:rPr>
                      <w:rFonts w:ascii="仿宋_GB2312" w:hAnsi="仿宋_GB2312" w:cs="仿宋_GB2312" w:eastAsia="仿宋_GB2312"/>
                      <w:sz w:val="19"/>
                      <w:color w:val="000000"/>
                    </w:rPr>
                    <w:t>1</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495" w:right="240"/>
                    <w:jc w:val="center"/>
                  </w:pPr>
                  <w:r>
                    <w:rPr>
                      <w:rFonts w:ascii="仿宋_GB2312" w:hAnsi="仿宋_GB2312" w:cs="仿宋_GB2312" w:eastAsia="仿宋_GB2312"/>
                      <w:sz w:val="24"/>
                      <w:color w:val="000000"/>
                    </w:rPr>
                    <w:t>含所有辅材采购、加工</w:t>
                  </w:r>
                </w:p>
              </w:tc>
            </w:tr>
            <w:tr>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p>
              </w:tc>
              <w:tc>
                <w:tcPr>
                  <w:tcW w:type="dxa" w:w="2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25" w:right="210" w:firstLine="43"/>
                    <w:jc w:val="center"/>
                  </w:pPr>
                  <w:r>
                    <w:rPr>
                      <w:rFonts w:ascii="仿宋_GB2312" w:hAnsi="仿宋_GB2312" w:cs="仿宋_GB2312" w:eastAsia="仿宋_GB2312"/>
                      <w:sz w:val="24"/>
                      <w:color w:val="000000"/>
                    </w:rPr>
                    <w:t>围栏安</w:t>
                  </w:r>
                  <w:r>
                    <w:rPr>
                      <w:rFonts w:ascii="仿宋_GB2312" w:hAnsi="仿宋_GB2312" w:cs="仿宋_GB2312" w:eastAsia="仿宋_GB2312"/>
                      <w:sz w:val="24"/>
                      <w:color w:val="000000"/>
                    </w:rPr>
                    <w:t>装施工</w:t>
                  </w:r>
                </w:p>
              </w:tc>
              <w:tc>
                <w:tcPr>
                  <w:tcW w:type="dxa" w:w="10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right="360"/>
                    <w:jc w:val="left"/>
                  </w:pPr>
                  <w:r>
                    <w:rPr>
                      <w:rFonts w:ascii="仿宋_GB2312" w:hAnsi="仿宋_GB2312" w:cs="仿宋_GB2312" w:eastAsia="仿宋_GB2312"/>
                      <w:sz w:val="24"/>
                      <w:color w:val="000000"/>
                    </w:rPr>
                    <w:t>含立柱预埋、围栏网固定、调平校</w:t>
                  </w:r>
                  <w:r>
                    <w:rPr>
                      <w:rFonts w:ascii="仿宋_GB2312" w:hAnsi="仿宋_GB2312" w:cs="仿宋_GB2312" w:eastAsia="仿宋_GB2312"/>
                      <w:sz w:val="24"/>
                      <w:color w:val="000000"/>
                    </w:rPr>
                    <w:t>正，</w:t>
                  </w:r>
                  <w:r>
                    <w:rPr>
                      <w:rFonts w:ascii="仿宋_GB2312" w:hAnsi="仿宋_GB2312" w:cs="仿宋_GB2312" w:eastAsia="仿宋_GB2312"/>
                      <w:sz w:val="24"/>
                      <w:color w:val="000000"/>
                    </w:rPr>
                    <w:t>确保围栏垂直牢固、无倾斜</w:t>
                  </w:r>
                </w:p>
              </w:tc>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45"/>
                    <w:jc w:val="center"/>
                  </w:pPr>
                  <w:r>
                    <w:rPr>
                      <w:rFonts w:ascii="仿宋_GB2312" w:hAnsi="仿宋_GB2312" w:cs="仿宋_GB2312" w:eastAsia="仿宋_GB2312"/>
                      <w:sz w:val="24"/>
                      <w:color w:val="000000"/>
                    </w:rPr>
                    <w:t>米</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80"/>
                    <w:jc w:val="center"/>
                  </w:pPr>
                  <w:r>
                    <w:rPr>
                      <w:rFonts w:ascii="仿宋_GB2312" w:hAnsi="仿宋_GB2312" w:cs="仿宋_GB2312" w:eastAsia="仿宋_GB2312"/>
                      <w:sz w:val="24"/>
                      <w:color w:val="000000"/>
                    </w:rPr>
                    <w:t>1500</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35" w:right="120"/>
                    <w:jc w:val="center"/>
                  </w:pPr>
                  <w:r>
                    <w:rPr>
                      <w:rFonts w:ascii="仿宋_GB2312" w:hAnsi="仿宋_GB2312" w:cs="仿宋_GB2312" w:eastAsia="仿宋_GB2312"/>
                      <w:sz w:val="24"/>
                      <w:color w:val="000000"/>
                    </w:rPr>
                    <w:t>含施工人工、机械使用，质保期</w:t>
                  </w:r>
                  <w:r>
                    <w:rPr>
                      <w:rFonts w:ascii="仿宋_GB2312" w:hAnsi="仿宋_GB2312" w:cs="仿宋_GB2312" w:eastAsia="仿宋_GB2312"/>
                      <w:sz w:val="24"/>
                      <w:color w:val="000000"/>
                    </w:rPr>
                    <w:t>内无额外费用</w:t>
                  </w:r>
                </w:p>
              </w:tc>
            </w:tr>
            <w:tr>
              <w:tc>
                <w:tcPr>
                  <w:tcW w:type="dxa" w:w="1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80" w:right="135"/>
                    <w:jc w:val="center"/>
                  </w:pPr>
                  <w:r>
                    <w:rPr>
                      <w:rFonts w:ascii="仿宋_GB2312" w:hAnsi="仿宋_GB2312" w:cs="仿宋_GB2312" w:eastAsia="仿宋_GB2312"/>
                      <w:sz w:val="24"/>
                      <w:b/>
                      <w:color w:val="000000"/>
                    </w:rPr>
                    <w:t>分项</w:t>
                  </w:r>
                  <w:r>
                    <w:rPr>
                      <w:rFonts w:ascii="仿宋_GB2312" w:hAnsi="仿宋_GB2312" w:cs="仿宋_GB2312" w:eastAsia="仿宋_GB2312"/>
                      <w:sz w:val="24"/>
                      <w:b/>
                      <w:color w:val="000000"/>
                    </w:rPr>
                    <w:t>小计</w:t>
                  </w:r>
                </w:p>
              </w:tc>
              <w:tc>
                <w:tcPr>
                  <w:tcW w:type="dxa" w:w="2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center"/>
                  </w:pPr>
                  <w:r>
                    <w:rPr>
                      <w:rFonts w:ascii="仿宋_GB2312" w:hAnsi="仿宋_GB2312" w:cs="仿宋_GB2312" w:eastAsia="仿宋_GB2312"/>
                      <w:sz w:val="24"/>
                      <w:color w:val="000000"/>
                    </w:rPr>
                    <w:t>——</w:t>
                  </w:r>
                </w:p>
              </w:tc>
              <w:tc>
                <w:tcPr>
                  <w:tcW w:type="dxa" w:w="10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160"/>
                    <w:jc w:val="both"/>
                  </w:pPr>
                  <w:r>
                    <w:rPr>
                      <w:rFonts w:ascii="仿宋_GB2312" w:hAnsi="仿宋_GB2312" w:cs="仿宋_GB2312" w:eastAsia="仿宋_GB2312"/>
                      <w:sz w:val="24"/>
                      <w:color w:val="000000"/>
                    </w:rPr>
                    <w:t>——</w:t>
                  </w:r>
                </w:p>
              </w:tc>
              <w:tc>
                <w:tcPr>
                  <w:tcW w:type="dxa" w:w="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w:t>
                  </w:r>
                </w:p>
              </w:tc>
              <w:tc>
                <w:tcPr>
                  <w:tcW w:type="dxa" w:w="3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40"/>
                    <w:jc w:val="center"/>
                  </w:pPr>
                  <w:r>
                    <w:rPr>
                      <w:rFonts w:ascii="仿宋_GB2312" w:hAnsi="仿宋_GB2312" w:cs="仿宋_GB2312" w:eastAsia="仿宋_GB2312"/>
                      <w:sz w:val="24"/>
                      <w:color w:val="000000"/>
                    </w:rPr>
                    <w:t>——</w:t>
                  </w:r>
                </w:p>
              </w:tc>
              <w:tc>
                <w:tcPr>
                  <w:tcW w:type="dxa" w:w="4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10"/>
                    <w:jc w:val="both"/>
                  </w:pPr>
                  <w:r>
                    <w:rPr>
                      <w:rFonts w:ascii="仿宋_GB2312" w:hAnsi="仿宋_GB2312" w:cs="仿宋_GB2312" w:eastAsia="仿宋_GB2312"/>
                      <w:sz w:val="24"/>
                      <w:color w:val="000000"/>
                    </w:rPr>
                    <w:t>——</w:t>
                  </w:r>
                </w:p>
              </w:tc>
            </w:tr>
          </w:tbl>
          <w:p>
            <w:pPr>
              <w:pStyle w:val="null3"/>
              <w:spacing w:before="60"/>
              <w:ind w:left="135"/>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按照采购人要求完成种植等各项工作，验收标准按照淫羊藿种植技术标准验收。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进度款，供应商在合同规定的时间内按种植进度拨付下剩70%，达到付款条件起7个工作日内，支付合同总金额的70.0%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投标分项报价表.docx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磋商文件有法定代表人或授权委托人的签字或盖章并加盖投标供应商公章</w:t>
            </w:r>
          </w:p>
        </w:tc>
        <w:tc>
          <w:tcPr>
            <w:tcW w:type="dxa" w:w="1661"/>
          </w:tcPr>
          <w:p>
            <w:pPr>
              <w:pStyle w:val="null3"/>
            </w:pPr>
            <w:r>
              <w:rPr>
                <w:rFonts w:ascii="仿宋_GB2312" w:hAnsi="仿宋_GB2312" w:cs="仿宋_GB2312" w:eastAsia="仿宋_GB2312"/>
              </w:rPr>
              <w:t>中小企业声明函 服务内容及服务要求应答表 报价表 响应文件封面 投标分项报价表.docx 供应商应提交的相关资格证明材料.docx 残疾人福利性单位声明函 服务方案 标的清单 响应函 商务条款偏离表.docx 监狱企业的证明文件 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服务内容及服务要求应答表 报价表 响应文件封面 投标分项报价表.docx 供应商应提交的相关资格证明材料.docx 残疾人福利性单位声明函 服务方案 标的清单 响应函 商务条款偏离表.docx 监狱企业的证明文件 供应商认为需要补充的其他内容.pdf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针对本项目提供完整、合理、详细的实施方案，方案包含：①项目组织和人员安排；②服务人员组织管理制度；③采购运输；④质量保证措施；⑤供货计划与进度保障；⑥验收及交接计划。 二、赋分标准 每项内容分值2分，每缺⼀项内容扣2分，每项内容中每有⼀处缺陷扣1分，单项扣完为⽌。 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 品种适宜当地气候、土壤、种植情况，品种纯度、净度、水分指标、健康度，检疫性有害生物、产品健康检测、种传病害防控措施，检测机制，产品各批次检测、留样、追溯体系。包含：①品种适应性；②质量检测与控制；③产品质量指标；④包装、标识、储存方案；⑤检疫与安全性。 二、赋分标准 每项内容分值2分，每缺⼀项内容扣2分，每项内容中每有⼀处缺陷扣1分，单项扣完为⽌。 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种植日常维护和管理</w:t>
            </w:r>
          </w:p>
        </w:tc>
        <w:tc>
          <w:tcPr>
            <w:tcW w:type="dxa" w:w="2492"/>
          </w:tcPr>
          <w:p>
            <w:pPr>
              <w:pStyle w:val="null3"/>
            </w:pPr>
            <w:r>
              <w:rPr>
                <w:rFonts w:ascii="仿宋_GB2312" w:hAnsi="仿宋_GB2312" w:cs="仿宋_GB2312" w:eastAsia="仿宋_GB2312"/>
              </w:rPr>
              <w:t>一、评审内容 针对项目实际情况提出切实可行有具体措施的抚育质量保证方案及具体的管护措施：内容包括：①选地与整地；② 挖穴；③栽植要点；④中耕除草；⑤追肥；⑥病虫害防治；⑦采收。 二、赋分标准 每项内容分值1分，每缺⼀项内容扣1分，每项内容中每有⼀处缺陷扣0.5分，单项扣完为⽌。 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产品断供或缺货应急；②农时延误应急措施；③产品质量不合格处置；④产品病虫害携带应急措施；⑤运输与储存应急措施；⑥干旱、洪涝、低温、冻害、倒春寒措施。 二、赋分标准 每项内容分值1分，每缺⼀项内容扣1分，每项内容中每有⼀处缺陷扣0.5分，单项扣完为⽌。 注：缺陷具体是指对应单项中的内容缺失（不完整）、与对应单项的要求缺少重要节点（如仅有框架或标题、单项内容仅有复制招标内容的要求、涉及内容⽆重点）；单项⽅案中出现套⽤其他项⽬⽅案或内容、内容中出现前后描述不⼀致现象或语⾔描述出现有错误、内容涉及适⽤的规范及标准（⽅法）出现错误、项⽬名称或采购主体表述错误、实施地点区域错误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团队人员，每提供⼀个服务团队人员，得3分，最多得15分。评审依据：身份证、劳动合同。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供应商提供拟投入本项目的种植养护设备清单及对应权属证明（购置发票或租赁合同），每提供 1 类核心设备得 6 分，满分12分。 核心设备限定范围：①整地类（旋耕机、微耕机、播种机等）②植保类（病虫害防治喷雾器、杀虫灯）；同类别设备不重复计分。 评审依据：设备清单，购置发票或租赁合同（加盖供应商公章）。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评审标准：①书面承诺栽植后种苗成活率＞95%，且免费补植质保管护期不低于6个月的，得6分； ②书面承诺为采购方提供免费后期养护指导的，得6分； 两项可累计得分，未明确承诺对应内容不得分。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提供2023年1月1日至今供应商类似项目的业绩（中药材种植等农业相关业绩），响应文件中附业绩合同复印件，每份3分，满分6分。评审依据：以响应文件中提供的合同复印件为准。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在采购预算内且满足招标文件要求且投标报价最低的投标人的价格为基准价，其价格分为20分。各投标人的价格分统一按照下列公式计算：价格分=（基准价/投标响应报价）*20* 100% 。 注：本项目专门面向中小企业采购，评审时不再进行价格扣除。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详见附件：供应商认为需要补充的其他内容.pdf</w:t>
      </w:r>
    </w:p>
    <w:p>
      <w:pPr>
        <w:pStyle w:val="null3"/>
        <w:ind w:firstLine="960"/>
      </w:pPr>
      <w:r>
        <w:rPr>
          <w:rFonts w:ascii="仿宋_GB2312" w:hAnsi="仿宋_GB2312" w:cs="仿宋_GB2312" w:eastAsia="仿宋_GB2312"/>
        </w:rPr>
        <w:t>详见附件：投标分项报价表.docx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详见附件：种苗采购种植合同.docx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