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版本号：DLZCCS2026-820260605001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核磁共振维保服务采购项目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DLZCCS2026-8</w:t>
      </w:r>
      <w:r>
        <w:br/>
      </w:r>
      <w:r>
        <w:br/>
      </w:r>
      <w:r>
        <w:br/>
      </w:r>
    </w:p>
    <w:p>
      <w:pPr>
        <w:pStyle w:val="null3"/>
        <w:jc w:val="center"/>
        <w:outlineLvl w:val="2"/>
      </w:pPr>
      <w:r>
        <w:rPr>
          <w:rFonts w:ascii="仿宋_GB2312" w:hAnsi="仿宋_GB2312" w:cs="仿宋_GB2312" w:eastAsia="仿宋_GB2312"/>
          <w:sz w:val="28"/>
          <w:b/>
        </w:rPr>
        <w:t>大荔县医院</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大荔县医院</w:t>
      </w:r>
      <w:r>
        <w:rPr>
          <w:rFonts w:ascii="仿宋_GB2312" w:hAnsi="仿宋_GB2312" w:cs="仿宋_GB2312" w:eastAsia="仿宋_GB2312"/>
        </w:rPr>
        <w:t>委托，拟对</w:t>
      </w:r>
      <w:r>
        <w:rPr>
          <w:rFonts w:ascii="仿宋_GB2312" w:hAnsi="仿宋_GB2312" w:cs="仿宋_GB2312" w:eastAsia="仿宋_GB2312"/>
        </w:rPr>
        <w:t>核磁共振维保服务采购项目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核磁共振维保服务采购项目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核磁共振维修保养服务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采购包1（大荔县医院核磁共振维保采购项目）：属于专门面向小微企业采购。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1、主体资格：在中华人民共和国境内注册、具有独立民事责任能力的法人、其他组织或自然人，具备从事本采购项目的经营范围和能力，提供合法有效的企业营业执照、法人证书或登记证书。</w:t>
      </w:r>
    </w:p>
    <w:p>
      <w:pPr>
        <w:pStyle w:val="null3"/>
      </w:pPr>
      <w:r>
        <w:rPr>
          <w:rFonts w:ascii="仿宋_GB2312" w:hAnsi="仿宋_GB2312" w:cs="仿宋_GB2312" w:eastAsia="仿宋_GB2312"/>
        </w:rPr>
        <w:t>2、法人代表授权书：法定代表人授权委托书：法定代表人参加投标的，提供本人身份证复印件；法定代表人授权他人参加投标的，提供法定代表人授权委托书。</w:t>
      </w:r>
    </w:p>
    <w:p>
      <w:pPr>
        <w:pStyle w:val="null3"/>
      </w:pPr>
      <w:r>
        <w:rPr>
          <w:rFonts w:ascii="仿宋_GB2312" w:hAnsi="仿宋_GB2312" w:cs="仿宋_GB2312" w:eastAsia="仿宋_GB2312"/>
        </w:rPr>
        <w:t>3、经营许可证：经销商是代理商的须提供合法有效的医疗器械经营许可证或第二类医疗器械经营备案凭证；经销商是生产厂商须提供合法有效的医疗器械生产许可证或备案凭证</w:t>
      </w:r>
    </w:p>
    <w:p>
      <w:pPr>
        <w:pStyle w:val="null3"/>
      </w:pPr>
      <w:r>
        <w:rPr>
          <w:rFonts w:ascii="仿宋_GB2312" w:hAnsi="仿宋_GB2312" w:cs="仿宋_GB2312" w:eastAsia="仿宋_GB2312"/>
        </w:rPr>
        <w:t>4、信用记录及声明：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13325436558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大荔县西城街道洛滨大道中段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大荔县医院</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维保服务符合合同技术条款、国家医疗器械管理规范及临床使用安全要求，设备性能稳定与诊疗精度达标，设备运行正常，维保记录完整。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联系电话：0913-3256359</w:t>
      </w:r>
    </w:p>
    <w:p>
      <w:pPr>
        <w:pStyle w:val="null3"/>
      </w:pPr>
      <w:r>
        <w:rPr>
          <w:rFonts w:ascii="仿宋_GB2312" w:hAnsi="仿宋_GB2312" w:cs="仿宋_GB2312" w:eastAsia="仿宋_GB2312"/>
        </w:rPr>
        <w:t>地址：陕西省大荔县西城街道洛滨大道</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核磁共振维修保养服务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核磁共振维修保养服务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标的名称：核磁共振维修保养服务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color w:val="000000"/>
              </w:rPr>
              <w:t>1、保修对象：GE-BrivoMR355</w:t>
            </w:r>
          </w:p>
          <w:p>
            <w:pPr>
              <w:pStyle w:val="null3"/>
              <w:ind w:firstLine="560"/>
              <w:jc w:val="both"/>
            </w:pPr>
            <w:r>
              <w:rPr>
                <w:rFonts w:ascii="仿宋_GB2312" w:hAnsi="仿宋_GB2312" w:cs="仿宋_GB2312" w:eastAsia="仿宋_GB2312"/>
                <w:sz w:val="28"/>
                <w:b/>
                <w:color w:val="000000"/>
              </w:rPr>
              <w:t>2、保修内容：全套设备(含磁体、冷头、线圈、水冷机等第三方设备)</w:t>
            </w:r>
          </w:p>
          <w:p>
            <w:pPr>
              <w:pStyle w:val="null3"/>
              <w:ind w:firstLine="560"/>
              <w:jc w:val="both"/>
            </w:pPr>
            <w:r>
              <w:rPr>
                <w:rFonts w:ascii="仿宋_GB2312" w:hAnsi="仿宋_GB2312" w:cs="仿宋_GB2312" w:eastAsia="仿宋_GB2312"/>
                <w:sz w:val="28"/>
                <w:b/>
                <w:color w:val="000000"/>
              </w:rPr>
              <w:t>3、维修期限：1年</w:t>
            </w:r>
          </w:p>
          <w:p>
            <w:pPr>
              <w:pStyle w:val="null3"/>
              <w:ind w:firstLine="560"/>
              <w:jc w:val="both"/>
            </w:pPr>
            <w:r>
              <w:rPr>
                <w:rFonts w:ascii="仿宋_GB2312" w:hAnsi="仿宋_GB2312" w:cs="仿宋_GB2312" w:eastAsia="仿宋_GB2312"/>
                <w:sz w:val="28"/>
                <w:b/>
                <w:color w:val="000000"/>
              </w:rPr>
              <w:t>4、保修性质：全包（含所有配件及人工）</w:t>
            </w:r>
          </w:p>
          <w:p>
            <w:pPr>
              <w:pStyle w:val="null3"/>
              <w:ind w:firstLine="560"/>
              <w:jc w:val="both"/>
            </w:pPr>
            <w:r>
              <w:rPr>
                <w:rFonts w:ascii="仿宋_GB2312" w:hAnsi="仿宋_GB2312" w:cs="仿宋_GB2312" w:eastAsia="仿宋_GB2312"/>
                <w:sz w:val="28"/>
                <w:b/>
                <w:color w:val="000000"/>
              </w:rPr>
              <w:t>5、保修技术要求：</w:t>
            </w:r>
          </w:p>
          <w:p>
            <w:pPr>
              <w:pStyle w:val="null3"/>
              <w:ind w:firstLine="840"/>
              <w:jc w:val="both"/>
            </w:pPr>
            <w:r>
              <w:rPr>
                <w:rFonts w:ascii="仿宋_GB2312" w:hAnsi="仿宋_GB2312" w:cs="仿宋_GB2312" w:eastAsia="仿宋_GB2312"/>
                <w:sz w:val="28"/>
                <w:b/>
                <w:color w:val="000000"/>
              </w:rPr>
              <w:t>5.1、维修响应：接到通知后半小时内响应，8小时内到场。</w:t>
            </w:r>
          </w:p>
          <w:p>
            <w:pPr>
              <w:pStyle w:val="null3"/>
              <w:ind w:firstLine="840"/>
              <w:jc w:val="both"/>
            </w:pPr>
            <w:r>
              <w:rPr>
                <w:rFonts w:ascii="仿宋_GB2312" w:hAnsi="仿宋_GB2312" w:cs="仿宋_GB2312" w:eastAsia="仿宋_GB2312"/>
                <w:sz w:val="28"/>
                <w:b/>
                <w:color w:val="000000"/>
              </w:rPr>
              <w:t>5.2、开机率：保证开机率≥95％（全年按365天），全年宕机超18天，每超1天，保修期顺延3天；每单次宕机如超过72小时，每超1天，保修期顺延3天。</w:t>
            </w:r>
          </w:p>
          <w:p>
            <w:pPr>
              <w:pStyle w:val="null3"/>
              <w:ind w:firstLine="840"/>
              <w:jc w:val="both"/>
            </w:pPr>
            <w:r>
              <w:rPr>
                <w:rFonts w:ascii="仿宋_GB2312" w:hAnsi="仿宋_GB2312" w:cs="仿宋_GB2312" w:eastAsia="仿宋_GB2312"/>
                <w:sz w:val="28"/>
                <w:b/>
                <w:color w:val="000000"/>
              </w:rPr>
              <w:t>5.3、每年提供四次深度保养，并提供维护保养报告。</w:t>
            </w:r>
          </w:p>
          <w:p>
            <w:pPr>
              <w:pStyle w:val="null3"/>
              <w:ind w:firstLine="840"/>
              <w:jc w:val="both"/>
            </w:pPr>
            <w:r>
              <w:rPr>
                <w:rFonts w:ascii="仿宋_GB2312" w:hAnsi="仿宋_GB2312" w:cs="仿宋_GB2312" w:eastAsia="仿宋_GB2312"/>
                <w:sz w:val="28"/>
                <w:b/>
                <w:color w:val="000000"/>
              </w:rPr>
              <w:t>5.4、维修所更换的零部件必须是原厂全新同规格型号部件。（提供承诺函）</w:t>
            </w:r>
          </w:p>
          <w:p>
            <w:pPr>
              <w:pStyle w:val="null3"/>
              <w:ind w:firstLine="840"/>
              <w:jc w:val="both"/>
            </w:pPr>
            <w:r>
              <w:rPr>
                <w:rFonts w:ascii="仿宋_GB2312" w:hAnsi="仿宋_GB2312" w:cs="仿宋_GB2312" w:eastAsia="仿宋_GB2312"/>
                <w:sz w:val="28"/>
                <w:b/>
                <w:color w:val="000000"/>
              </w:rPr>
              <w:t>5.5、有专用维修热线电话。</w:t>
            </w:r>
          </w:p>
          <w:p>
            <w:pPr>
              <w:pStyle w:val="null3"/>
              <w:ind w:firstLine="840"/>
              <w:jc w:val="both"/>
            </w:pPr>
            <w:r>
              <w:rPr>
                <w:rFonts w:ascii="仿宋_GB2312" w:hAnsi="仿宋_GB2312" w:cs="仿宋_GB2312" w:eastAsia="仿宋_GB2312"/>
                <w:sz w:val="28"/>
                <w:b/>
                <w:color w:val="000000"/>
              </w:rPr>
              <w:t>5.6、配合第三方每年对该设备进行性能检测，保证设备达到设备性能合格标准</w:t>
            </w:r>
          </w:p>
          <w:p>
            <w:pPr>
              <w:pStyle w:val="null3"/>
              <w:ind w:firstLine="840"/>
              <w:jc w:val="both"/>
            </w:pPr>
            <w:r>
              <w:rPr>
                <w:rFonts w:ascii="仿宋_GB2312" w:hAnsi="仿宋_GB2312" w:cs="仿宋_GB2312" w:eastAsia="仿宋_GB2312"/>
                <w:sz w:val="28"/>
                <w:b/>
                <w:color w:val="000000"/>
              </w:rPr>
              <w:t>5.7、提供年度维修保养总结报告并装订成册。</w:t>
            </w:r>
          </w:p>
          <w:p>
            <w:pPr>
              <w:pStyle w:val="null3"/>
              <w:ind w:firstLine="8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验收标准：维保资料完整性、设备运行正常情况，需符合国家规范与医院要求。 验收方法：综合维保记录、校准证书等资料审核，现场查验设备外观、电缆管路、附件完整性及功能测试，确保结果精准全面并确认设备运行正常。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进度款，服务进行6个月后，设备高效运转，达到付款条件起20个工作日内，支付合同总金额的30.0%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进度款，服务完成验收合格后，达到付款条件起20个工作日内，支付合同总金额的20.0%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受托方未经得委托方同意和谅解单方面延迟服务期限，将按违约终止合同；受托方如遇到可能妨碍按时供货或者服务的情况，及时以书面形式通知委托方，委托方收到通知后与代理机构及时评估，酌情修改合同内容。解决方法：双方本着友好协商的原则解决争议，解决不成，可向采购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1.提供2024或2025年度完整审计报告，成立时间至提交响应文件截止时间不足1年或未审计的可提供开标前一个月内基本存款账户开户银行出具的资信证明。 2.提供已缴纳的2025年11月以来至少一个月的纳税证明或完税证明（任意税种），依法免税的供应商应提供相关证明材料。 3.提供已缴存的2025年11月以来至少一个月的社会保障资金缴存单据或社保机构开具的社会保险参保缴费情况证明。依法不需要缴纳社会保障资金的供应商应提供相关文件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一般性资格.docx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特定资格.docx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法定代表人授权委托书：法定代表人参加投标的，提供本人身份证复印件；法定代表人授权他人参加投标的，提供法定代表人授权委托书。</w:t>
            </w:r>
          </w:p>
        </w:tc>
        <w:tc>
          <w:tcPr>
            <w:tcW w:type="dxa" w:w="1661"/>
          </w:tcPr>
          <w:p>
            <w:pPr>
              <w:pStyle w:val="null3"/>
            </w:pPr>
            <w:r>
              <w:rPr>
                <w:rFonts w:ascii="仿宋_GB2312" w:hAnsi="仿宋_GB2312" w:cs="仿宋_GB2312" w:eastAsia="仿宋_GB2312"/>
              </w:rPr>
              <w:t>特定资格.docx 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经销商是代理商的须提供合法有效的医疗器械经营许可证或第二类医疗器械经营备案凭证；经销商是生产厂商须提供合法有效的医疗器械生产许可证或备案凭证</w:t>
            </w:r>
          </w:p>
        </w:tc>
        <w:tc>
          <w:tcPr>
            <w:tcW w:type="dxa" w:w="1661"/>
          </w:tcPr>
          <w:p>
            <w:pPr>
              <w:pStyle w:val="null3"/>
            </w:pPr>
            <w:r>
              <w:rPr>
                <w:rFonts w:ascii="仿宋_GB2312" w:hAnsi="仿宋_GB2312" w:cs="仿宋_GB2312" w:eastAsia="仿宋_GB2312"/>
              </w:rPr>
              <w:t>特定资格.docx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特定资格.docx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1.响应主体2.响应文件语言及有效期3.响应文件签署、盖章4.第一次磋商报价5.商务响应要求6.服务相应要求7.合同草案条款响应8.无其他磋商文件或法规明确规定响应无效的事项</w:t>
            </w:r>
          </w:p>
        </w:tc>
        <w:tc>
          <w:tcPr>
            <w:tcW w:type="dxa" w:w="3322"/>
          </w:tcPr>
          <w:p>
            <w:pPr>
              <w:pStyle w:val="null3"/>
            </w:pPr>
            <w:r>
              <w:rPr>
                <w:rFonts w:ascii="仿宋_GB2312" w:hAnsi="仿宋_GB2312" w:cs="仿宋_GB2312" w:eastAsia="仿宋_GB2312"/>
              </w:rPr>
              <w:t>1.磋商应文件落款、营业执照、公章与供应商名称完全一致。2.响应文件语言及有效期符合磋商文件要求。3.均按磋商文件要求签字、盖章（评分标准中要求提供的证明材料除外）。4.只能有一个有效报价，不接受选择性报价；第一次磋商报价表填写符合要求；计量单位、报价货币均符合磋商文件要求；第一次磋商报价未超出采购预算或磋商文件规定的最高限价；第一次磋商报价没有与市场偏差较大，低于成本、可能影响服务质量或不能诚信履约。5.服务期限、服务地点、支付方式等。6.服务要求。7.有完全理解并接受磋商文件合同草案条款要求的描述。8.响应文件中如含有采购人不能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特定资格.docx 一般性资格.docx 中小企业声明函 商务应答表 供应商应提交的相关资格证明材料 服务内容及服务要求应答表 报价表 业绩合同.docx 投入维修专用工具及检测仪器.docx 响应文件封面 分项报价表.docx 拟投入本项目人员力量配备.docx 残疾人福利性单位声明函 服务响应偏离表.docx 服务方案 标的清单 法定代表人证明书及法定代表人授权书.docx 响应函 服务方案.docx 监狱企业的证明文件 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 报价</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 ×100。5、磋商报价不完整的，不进入磋商基准价的计算，本项得0分。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根据项目特点提供整体维保方案。方案包括：1、全年保养分析；2、维护重点环节分析；3、机器清洁措施及安全检查措施；4、性能测试及校准运行监控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供应商提供质量保证方案。方案包括：1、服务质量标准及服务质量承诺；2、确保服务质量的措施；3 、未达到质量标准的处罚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安全保证方案</w:t>
            </w:r>
          </w:p>
        </w:tc>
        <w:tc>
          <w:tcPr>
            <w:tcW w:type="dxa" w:w="2492"/>
          </w:tcPr>
          <w:p>
            <w:pPr>
              <w:pStyle w:val="null3"/>
            </w:pPr>
            <w:r>
              <w:rPr>
                <w:rFonts w:ascii="仿宋_GB2312" w:hAnsi="仿宋_GB2312" w:cs="仿宋_GB2312" w:eastAsia="仿宋_GB2312"/>
              </w:rPr>
              <w:t>供应商提供安全保证方案。包括：1、安全保证体系；2、合理可行的安全保障措施；3、安全事故处罚措施等。每有一项缺项扣3分，每有一处内容存在缺陷，扣0.5分。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维修响应（包括工程师和配件）保证方案</w:t>
            </w:r>
          </w:p>
        </w:tc>
        <w:tc>
          <w:tcPr>
            <w:tcW w:type="dxa" w:w="2492"/>
          </w:tcPr>
          <w:p>
            <w:pPr>
              <w:pStyle w:val="null3"/>
            </w:pPr>
            <w:r>
              <w:rPr>
                <w:rFonts w:ascii="仿宋_GB2312" w:hAnsi="仿宋_GB2312" w:cs="仿宋_GB2312" w:eastAsia="仿宋_GB2312"/>
              </w:rPr>
              <w:t>供应商提供进度保证方案。包括：1、资源配置与协调（包括人力部署，物力调配等）；2、服务按时完成保障措施。每有一项缺项扣3分，每有一处内容存在缺陷，扣1 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投入维修专用工具及检测仪器.docx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突发情况应急方案。包括：1、应急预案；2、突发情况分析；3、突发事件处理措施；4、突发事件处理专班和责任人。每有一项缺项扣2分，每有一处内容存在缺陷，扣0.5分。备注：缺陷是指内容不合理、虽有内容但不完善、 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配件进货渠道正规，有维修设备厂家授权或协议得3分，未提供不得分；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质量控制： 1、质量控制方法和措施、流程，控制重点思路清晰明确得3分； 2、质量控制方法和措施内容简单、流程繁琐得2分； 3、质量控制方法和措施无针对性、有缺陷，得1分；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需配备5名及以上核磁工程师，要求（提供在职证明），并提供培训证等相关证件。以上要求全部满足得5分，每少提供一人扣1分，未提供不得分。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拟投入本项目人员力量配备.docx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供应商提供针对本项目人员组织安排。方案包括：1、工作组成员管理组织架构；2、工作职责划分；3 、业务管理流程等内容。 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拟投入本项目人员力量配备.docx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根据供应商提供专业的技术保障，方案包括：1、技术响应时效保障 ；2、常用易损备件包种类；3、远程服务能力；4、临床培训与技术支持。每有一项缺项扣2.5分，每有一处内容存在缺陷，扣0.5分。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供应商提供专业的技术培训方案，包括：1、培训方式及课题内容；2、培训时间计划安排；3、培训场次安排；4、培训目标等。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针对设备日常保养维护方法，能够提出有价值的合理化建议，且具体切实可行，有利于延长设备使用寿命得4分；2、设备日常保养维护方法完整，提供了合理化建议但缺乏针对性得3分；3、设备日常保养维护方法有缺陷，合理化建议内容简单得1分；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提供供应商2023年5月至今核磁类维保服务业绩合同（以合同签订日期为准），每个业绩得2分，满分4分。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业绩合同.docx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详见附件：补充说明的事宜.docx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详见附件：拟投入本项目人员力量配备.docx</w:t>
      </w:r>
    </w:p>
    <w:p>
      <w:pPr>
        <w:pStyle w:val="null3"/>
        <w:ind w:firstLine="960"/>
      </w:pPr>
      <w:r>
        <w:rPr>
          <w:rFonts w:ascii="仿宋_GB2312" w:hAnsi="仿宋_GB2312" w:cs="仿宋_GB2312" w:eastAsia="仿宋_GB2312"/>
        </w:rPr>
        <w:t>详见附件：特定资格.docx</w:t>
      </w:r>
    </w:p>
    <w:p>
      <w:pPr>
        <w:pStyle w:val="null3"/>
        <w:ind w:firstLine="960"/>
      </w:pPr>
      <w:r>
        <w:rPr>
          <w:rFonts w:ascii="仿宋_GB2312" w:hAnsi="仿宋_GB2312" w:cs="仿宋_GB2312" w:eastAsia="仿宋_GB2312"/>
        </w:rPr>
        <w:t>详见附件：投入维修专用工具及检测仪器.docx</w:t>
      </w:r>
    </w:p>
    <w:p>
      <w:pPr>
        <w:pStyle w:val="null3"/>
        <w:ind w:firstLine="960"/>
      </w:pPr>
      <w:r>
        <w:rPr>
          <w:rFonts w:ascii="仿宋_GB2312" w:hAnsi="仿宋_GB2312" w:cs="仿宋_GB2312" w:eastAsia="仿宋_GB2312"/>
        </w:rPr>
        <w:t>详见附件：一般性资格.docx</w:t>
      </w:r>
    </w:p>
    <w:p>
      <w:pPr>
        <w:pStyle w:val="null3"/>
        <w:ind w:firstLine="960"/>
      </w:pPr>
      <w:r>
        <w:rPr>
          <w:rFonts w:ascii="仿宋_GB2312" w:hAnsi="仿宋_GB2312" w:cs="仿宋_GB2312" w:eastAsia="仿宋_GB2312"/>
        </w:rPr>
        <w:t>详见附件：业绩合同.docx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