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版本号：ZJZBSX-260204-003720260429001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全波段高光谱成像仪采购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ZJZBSX-260204-0037</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全波段高光谱成像仪采购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ZJZBSX-260204-0037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全波段高光谱成像仪采购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全波段高光谱成像仪采购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响应招标并参加投标的合法注册的企业法人、事业法人或其他组织。企业法人应提供合法有效的标识有统一社会信用代码的营业执照；事业法人应提供事业单位法人证书；其他组织应提供合法登记证明文件。投标人需在项目电子化交易系统中按要求上传相应证明文件并进行电子签章</w:t>
      </w:r>
    </w:p>
    <w:p>
      <w:pPr>
        <w:pStyle w:val="null3"/>
      </w:pPr>
      <w:r>
        <w:rPr>
          <w:rFonts w:ascii="仿宋_GB2312" w:hAnsi="仿宋_GB2312" w:cs="仿宋_GB2312" w:eastAsia="仿宋_GB2312"/>
        </w:rPr>
        <w:t>2、授权委托：投标人应授权合法的人员参加投标全过程，其中法定代表人/负责人直接投标，须提交法定代表人/负责人身份证明书原件。法定代表人/负责人授权代表参加投标的，须出具法定代表人/负责人授权书原件。投标人需在项目电子化交易系统中按要求上传相应证明文件并进行电子签章。</w:t>
      </w:r>
    </w:p>
    <w:p>
      <w:pPr>
        <w:pStyle w:val="null3"/>
      </w:pPr>
      <w:r>
        <w:rPr>
          <w:rFonts w:ascii="仿宋_GB2312" w:hAnsi="仿宋_GB2312" w:cs="仿宋_GB2312" w:eastAsia="仿宋_GB2312"/>
        </w:rPr>
        <w:t>3、财务状况报告：投标人提供2024年度或2025年度经审计的完整财务审计报告（审计报告应当包含报告正文、资产负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投标人需在项目电子化交易系统中按要求上传相应证明文件并进行电子签章。</w:t>
      </w:r>
    </w:p>
    <w:p>
      <w:pPr>
        <w:pStyle w:val="null3"/>
      </w:pPr>
      <w:r>
        <w:rPr>
          <w:rFonts w:ascii="仿宋_GB2312" w:hAnsi="仿宋_GB2312" w:cs="仿宋_GB2312" w:eastAsia="仿宋_GB2312"/>
        </w:rPr>
        <w:t>4、社会保障资金缴纳证明：投标人提供2025年06月至投标文件递交截止日已缴存的任意一个月的社会保障资金缴存单据或社保机构开具的社会保险参保缴费情况证明，依法不需要缴纳社会保障资金的投标人应提供相关文件证明。投标人需在项目电子化交易系统中按要求上传相应证明文件并进行电子签章。</w:t>
      </w:r>
    </w:p>
    <w:p>
      <w:pPr>
        <w:pStyle w:val="null3"/>
      </w:pPr>
      <w:r>
        <w:rPr>
          <w:rFonts w:ascii="仿宋_GB2312" w:hAnsi="仿宋_GB2312" w:cs="仿宋_GB2312" w:eastAsia="仿宋_GB2312"/>
        </w:rPr>
        <w:t>5、税收缴纳证明：投标人提供2025年06月至投标文件递交截止日已缴存的任意一个月的纳税证明或完税证明，纳税证明或完税证明上应有代收机构或税务机关的公章，依法免税的投标人应提供相关文件证明。投标人需在项目电子化交易系统中按要求上传相应证明文件并进行电子签章。</w:t>
      </w:r>
    </w:p>
    <w:p>
      <w:pPr>
        <w:pStyle w:val="null3"/>
      </w:pPr>
      <w:r>
        <w:rPr>
          <w:rFonts w:ascii="仿宋_GB2312" w:hAnsi="仿宋_GB2312" w:cs="仿宋_GB2312" w:eastAsia="仿宋_GB2312"/>
        </w:rPr>
        <w:t>6、书面声明（信用记录）：参加本次采购活动前3年内在经营活动中没有重大违纪，以及未被列入失信被执行人、重大税收违法案件当事人名单、政府采购严重违法失信行为记录名单的书面声明原件。投标人需在项目电子化交易系统中按要求上传相应证明文件并进行电子签章。</w:t>
      </w:r>
    </w:p>
    <w:p>
      <w:pPr>
        <w:pStyle w:val="null3"/>
      </w:pPr>
      <w:r>
        <w:rPr>
          <w:rFonts w:ascii="仿宋_GB2312" w:hAnsi="仿宋_GB2312" w:cs="仿宋_GB2312" w:eastAsia="仿宋_GB2312"/>
        </w:rPr>
        <w:t>7、承诺书：提供具有履行合同所必需的设备和专业技术能力的承诺原件。投标人需在项目电子化交易系统中按要求上传相应证明文件并进行电子签章。</w:t>
      </w:r>
    </w:p>
    <w:p>
      <w:pPr>
        <w:pStyle w:val="null3"/>
      </w:pPr>
      <w:r>
        <w:rPr>
          <w:rFonts w:ascii="仿宋_GB2312" w:hAnsi="仿宋_GB2312" w:cs="仿宋_GB2312" w:eastAsia="仿宋_GB2312"/>
        </w:rPr>
        <w:t>8、授权书：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王佼、祝清江、张锦、郭燕妮、赵薇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“如有”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开户银行：中国工商银行股份有限公司西安大雁塔支行</w:t>
            </w:r>
          </w:p>
          <w:p>
            <w:pPr>
              <w:pStyle w:val="null3"/>
            </w:pPr>
            <w:r>
              <w:rPr>
                <w:rFonts w:ascii="仿宋_GB2312" w:hAnsi="仿宋_GB2312" w:cs="仿宋_GB2312" w:eastAsia="仿宋_GB2312"/>
              </w:rPr>
              <w:t>银行账号：3700022319200103385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代理服务费收费标准：招标代理服务费（即中标服务费）由中标单位支付，收费标准 按计价格[2002]1980号文件及发改办【2003】857号文件规定标准（50万元以下按标准的100%、50万元（含）以上按标准的80%）支付。具体以代理机构出具的发票为准。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西安邮电大学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所投产品及服务须满足国家、行业现行有效的强制性标准、规范及相关政策要求。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联系人：王佼</w:t>
      </w:r>
    </w:p>
    <w:p>
      <w:pPr>
        <w:pStyle w:val="null3"/>
      </w:pPr>
      <w:r>
        <w:rPr>
          <w:rFonts w:ascii="仿宋_GB2312" w:hAnsi="仿宋_GB2312" w:cs="仿宋_GB2312" w:eastAsia="仿宋_GB2312"/>
        </w:rPr>
        <w:t>联系电话：029-87888601-8002</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全波段高光谱成像仪采购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3,050,000.00</w:t>
      </w:r>
    </w:p>
    <w:p>
      <w:pPr>
        <w:pStyle w:val="null3"/>
      </w:pPr>
      <w:r>
        <w:rPr>
          <w:rFonts w:ascii="仿宋_GB2312" w:hAnsi="仿宋_GB2312" w:cs="仿宋_GB2312" w:eastAsia="仿宋_GB2312"/>
        </w:rPr>
        <w:t>采购包最高限价（元）: 3,050,000.00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全波段高光谱成像仪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3,050,000.00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标的名称：全波段高光谱成像仪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1.▲单一系统光谱覆盖范围：至少覆盖400～2500nm；</w:t>
            </w:r>
          </w:p>
          <w:p>
            <w:pPr>
              <w:pStyle w:val="null3"/>
            </w:pPr>
            <w:r>
              <w:rPr>
                <w:rFonts w:ascii="仿宋_GB2312" w:hAnsi="仿宋_GB2312" w:cs="仿宋_GB2312" w:eastAsia="仿宋_GB2312"/>
                <w:sz w:val="24"/>
              </w:rPr>
              <w:t>2.▲光谱分辨率：可见+近红外谱段VNIR 2nm；红外谱段5nm；短波红外谱段SWIR 10nm；</w:t>
            </w:r>
          </w:p>
          <w:p>
            <w:pPr>
              <w:pStyle w:val="null3"/>
            </w:pPr>
            <w:r>
              <w:rPr>
                <w:rFonts w:ascii="仿宋_GB2312" w:hAnsi="仿宋_GB2312" w:cs="仿宋_GB2312" w:eastAsia="仿宋_GB2312"/>
                <w:sz w:val="24"/>
              </w:rPr>
              <w:t>3.▲光谱波段数≥300个；</w:t>
            </w:r>
          </w:p>
          <w:p>
            <w:pPr>
              <w:pStyle w:val="null3"/>
            </w:pPr>
            <w:r>
              <w:rPr>
                <w:rFonts w:ascii="仿宋_GB2312" w:hAnsi="仿宋_GB2312" w:cs="仿宋_GB2312" w:eastAsia="仿宋_GB2312"/>
                <w:sz w:val="24"/>
              </w:rPr>
              <w:t>4.▲空间分辨率≥1920×1080；</w:t>
            </w:r>
          </w:p>
          <w:p>
            <w:pPr>
              <w:pStyle w:val="null3"/>
            </w:pPr>
            <w:r>
              <w:rPr>
                <w:rFonts w:ascii="仿宋_GB2312" w:hAnsi="仿宋_GB2312" w:cs="仿宋_GB2312" w:eastAsia="仿宋_GB2312"/>
                <w:sz w:val="24"/>
              </w:rPr>
              <w:t>5.最短工作距离≤150mm；</w:t>
            </w:r>
          </w:p>
          <w:p>
            <w:pPr>
              <w:pStyle w:val="null3"/>
            </w:pPr>
            <w:r>
              <w:rPr>
                <w:rFonts w:ascii="仿宋_GB2312" w:hAnsi="仿宋_GB2312" w:cs="仿宋_GB2312" w:eastAsia="仿宋_GB2312"/>
                <w:sz w:val="24"/>
              </w:rPr>
              <w:t>6.狭缝宽度：≤40um;</w:t>
            </w:r>
          </w:p>
          <w:p>
            <w:pPr>
              <w:pStyle w:val="null3"/>
            </w:pPr>
            <w:r>
              <w:rPr>
                <w:rFonts w:ascii="仿宋_GB2312" w:hAnsi="仿宋_GB2312" w:cs="仿宋_GB2312" w:eastAsia="仿宋_GB2312"/>
                <w:sz w:val="24"/>
              </w:rPr>
              <w:t>7.FPS≥25Hz;</w:t>
            </w:r>
          </w:p>
          <w:p>
            <w:pPr>
              <w:pStyle w:val="null3"/>
            </w:pPr>
            <w:r>
              <w:rPr>
                <w:rFonts w:ascii="仿宋_GB2312" w:hAnsi="仿宋_GB2312" w:cs="仿宋_GB2312" w:eastAsia="仿宋_GB2312"/>
                <w:sz w:val="24"/>
              </w:rPr>
              <w:t>8.探测器类型：制冷探测器；</w:t>
            </w:r>
          </w:p>
          <w:p>
            <w:pPr>
              <w:pStyle w:val="null3"/>
            </w:pPr>
            <w:r>
              <w:rPr>
                <w:rFonts w:ascii="仿宋_GB2312" w:hAnsi="仿宋_GB2312" w:cs="仿宋_GB2312" w:eastAsia="仿宋_GB2312"/>
                <w:sz w:val="24"/>
              </w:rPr>
              <w:t>9.扫描平台：集成电动扫描机构；</w:t>
            </w:r>
          </w:p>
          <w:p>
            <w:pPr>
              <w:pStyle w:val="null3"/>
            </w:pPr>
            <w:r>
              <w:rPr>
                <w:rFonts w:ascii="仿宋_GB2312" w:hAnsi="仿宋_GB2312" w:cs="仿宋_GB2312" w:eastAsia="仿宋_GB2312"/>
                <w:sz w:val="24"/>
              </w:rPr>
              <w:t>10.扫描范围：水平360°，垂直±20°;</w:t>
            </w:r>
          </w:p>
          <w:p>
            <w:pPr>
              <w:pStyle w:val="null3"/>
            </w:pPr>
            <w:r>
              <w:rPr>
                <w:rFonts w:ascii="仿宋_GB2312" w:hAnsi="仿宋_GB2312" w:cs="仿宋_GB2312" w:eastAsia="仿宋_GB2312"/>
                <w:sz w:val="24"/>
              </w:rPr>
              <w:t>11.扫描角度控制精度：≤0.015°；</w:t>
            </w:r>
          </w:p>
          <w:p>
            <w:pPr>
              <w:pStyle w:val="null3"/>
            </w:pPr>
            <w:r>
              <w:rPr>
                <w:rFonts w:ascii="仿宋_GB2312" w:hAnsi="仿宋_GB2312" w:cs="仿宋_GB2312" w:eastAsia="仿宋_GB2312"/>
                <w:sz w:val="24"/>
              </w:rPr>
              <w:t>12.杂散光≤0.5%；</w:t>
            </w:r>
          </w:p>
          <w:p>
            <w:pPr>
              <w:pStyle w:val="null3"/>
            </w:pPr>
            <w:r>
              <w:rPr>
                <w:rFonts w:ascii="仿宋_GB2312" w:hAnsi="仿宋_GB2312" w:cs="仿宋_GB2312" w:eastAsia="仿宋_GB2312"/>
                <w:sz w:val="24"/>
              </w:rPr>
              <w:t>13.数据输出格式：ENVI、ASCLL、BMP、PNG等标准格式；</w:t>
            </w:r>
          </w:p>
          <w:p>
            <w:pPr>
              <w:pStyle w:val="null3"/>
            </w:pPr>
            <w:r>
              <w:rPr>
                <w:rFonts w:ascii="仿宋_GB2312" w:hAnsi="仿宋_GB2312" w:cs="仿宋_GB2312" w:eastAsia="仿宋_GB2312"/>
                <w:sz w:val="24"/>
              </w:rPr>
              <w:t>14.体积≤500mm×450mm×300mm；</w:t>
            </w:r>
          </w:p>
          <w:p>
            <w:pPr>
              <w:pStyle w:val="null3"/>
            </w:pPr>
            <w:r>
              <w:rPr>
                <w:rFonts w:ascii="仿宋_GB2312" w:hAnsi="仿宋_GB2312" w:cs="仿宋_GB2312" w:eastAsia="仿宋_GB2312"/>
                <w:sz w:val="24"/>
              </w:rPr>
              <w:t>15.重量≤4kg。</w:t>
            </w:r>
          </w:p>
          <w:p>
            <w:pPr>
              <w:pStyle w:val="null3"/>
            </w:pPr>
            <w:r>
              <w:rPr>
                <w:rFonts w:ascii="仿宋_GB2312" w:hAnsi="仿宋_GB2312" w:cs="仿宋_GB2312" w:eastAsia="仿宋_GB2312"/>
                <w:sz w:val="24"/>
              </w:rPr>
              <w:t>16.软件配套：配套专用软件，支持定量分析；</w:t>
            </w:r>
          </w:p>
          <w:p>
            <w:pPr>
              <w:pStyle w:val="null3"/>
            </w:pPr>
            <w:r>
              <w:rPr>
                <w:rFonts w:ascii="仿宋_GB2312" w:hAnsi="仿宋_GB2312" w:cs="仿宋_GB2312" w:eastAsia="仿宋_GB2312"/>
                <w:sz w:val="24"/>
              </w:rPr>
              <w:t>以上技术参数与性能指标在技术应答时需提供必要的能力证明材料（如投标产品生产厂家公开发布的资料、说明书或国家认可的第三方检测机构出具的检测报告等资料），无证明材料或提供的证明材料不足以支撑技术参数的不得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rPr>
              <w:t>配置要求</w:t>
            </w:r>
          </w:p>
          <w:p>
            <w:pPr>
              <w:pStyle w:val="null3"/>
            </w:pPr>
            <w:r>
              <w:rPr>
                <w:rFonts w:ascii="仿宋_GB2312" w:hAnsi="仿宋_GB2312" w:cs="仿宋_GB2312" w:eastAsia="仿宋_GB2312"/>
                <w:sz w:val="24"/>
              </w:rPr>
              <w:t>包含安装支架、结构件、稳定台等；适配220V交流电源；提供配套软件及使用说明。</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b/>
              </w:rPr>
              <w:t>其他商务要求</w:t>
            </w:r>
          </w:p>
          <w:p>
            <w:pPr>
              <w:pStyle w:val="null3"/>
            </w:pPr>
            <w:r>
              <w:rPr>
                <w:rFonts w:ascii="仿宋_GB2312" w:hAnsi="仿宋_GB2312" w:cs="仿宋_GB2312" w:eastAsia="仿宋_GB2312"/>
                <w:sz w:val="24"/>
              </w:rPr>
              <w:t>1.售后服务响应与技术支持</w:t>
            </w:r>
          </w:p>
          <w:p>
            <w:pPr>
              <w:pStyle w:val="null3"/>
              <w:ind w:firstLine="420"/>
            </w:pPr>
            <w:r>
              <w:rPr>
                <w:rFonts w:ascii="仿宋_GB2312" w:hAnsi="仿宋_GB2312" w:cs="仿宋_GB2312" w:eastAsia="仿宋_GB2312"/>
                <w:sz w:val="24"/>
              </w:rPr>
              <w:t>乙方为甲方提供终身免费技术咨询与远程技术支持服务。对于可通过电话、邮件或远程方式解决的问题，乙方将在接到服务请求后及时响应并提供技术指导。如问题无法通过远程方式解决，乙方将在确认问题后96小时内派遣技术人员到达用户现场提供服务（不可抗力因素除外）。</w:t>
            </w:r>
          </w:p>
          <w:p>
            <w:pPr>
              <w:pStyle w:val="null3"/>
            </w:pPr>
            <w:r>
              <w:rPr>
                <w:rFonts w:ascii="仿宋_GB2312" w:hAnsi="仿宋_GB2312" w:cs="仿宋_GB2312" w:eastAsia="仿宋_GB2312"/>
                <w:sz w:val="24"/>
              </w:rPr>
              <w:t>2.安装调试、验收要求</w:t>
            </w:r>
          </w:p>
          <w:p>
            <w:pPr>
              <w:pStyle w:val="null3"/>
              <w:ind w:firstLine="420"/>
            </w:pPr>
            <w:r>
              <w:rPr>
                <w:rFonts w:ascii="仿宋_GB2312" w:hAnsi="仿宋_GB2312" w:cs="仿宋_GB2312" w:eastAsia="仿宋_GB2312"/>
                <w:sz w:val="24"/>
              </w:rPr>
              <w:t>（1）到货后，乙方应向甲方移交所供货物（设备）完整的使用说明书、合格证及相关资料。乙方将工作完成后，由甲方组织进行验收，自正式验收合格并交付给甲方之日起计算质保期。如果乙方提供的货物与合同不符，甲方有权拒绝接收，由此产生的一切费用由乙方承担。验收程序如下：</w:t>
            </w:r>
          </w:p>
          <w:p>
            <w:pPr>
              <w:pStyle w:val="null3"/>
              <w:ind w:firstLine="420"/>
            </w:pPr>
            <w:r>
              <w:rPr>
                <w:rFonts w:ascii="仿宋_GB2312" w:hAnsi="仿宋_GB2312" w:cs="仿宋_GB2312" w:eastAsia="仿宋_GB2312"/>
                <w:sz w:val="24"/>
              </w:rPr>
              <w:t>①到货验收：到货后检查仪器设备内外包装是否完好，有无破损、碰伤、浸湿、受潮、变形等情况。确认所验收货物件数与运输单据填写的件数一致。如发现上述问题，应做详细记录，并拍照留据。</w:t>
            </w:r>
          </w:p>
          <w:p>
            <w:pPr>
              <w:pStyle w:val="null3"/>
              <w:ind w:firstLine="420"/>
            </w:pPr>
            <w:r>
              <w:rPr>
                <w:rFonts w:ascii="仿宋_GB2312" w:hAnsi="仿宋_GB2312" w:cs="仿宋_GB2312" w:eastAsia="仿宋_GB2312"/>
                <w:sz w:val="24"/>
              </w:rPr>
              <w:t>②开箱验收：到货后开箱检查仪器设备及附件外表有无残损、锈蚀、碰伤等，检查随机资料是否齐全，如仪器说明书、操作规程、检修手册、产品检验合格证书等。以装箱单为依据，逐件核对检查主机、附件的规格、型号、配置及数量。以供货合同为依据与装箱单进行核对，做好货物开箱（设备）验收清单记录。</w:t>
            </w:r>
          </w:p>
          <w:p>
            <w:pPr>
              <w:pStyle w:val="null3"/>
              <w:ind w:firstLine="420"/>
            </w:pPr>
            <w:r>
              <w:rPr>
                <w:rFonts w:ascii="仿宋_GB2312" w:hAnsi="仿宋_GB2312" w:cs="仿宋_GB2312" w:eastAsia="仿宋_GB2312"/>
                <w:sz w:val="24"/>
              </w:rPr>
              <w:t>③质量验收：按照合同条款、货物（设备）使用说明书及操作手册的规定和程序进行安装、调试后进行质量验收，必要时可委托有资质的第三方(或政府主管部门)进行验收，所需费用由乙方承担。验收时对照货物（设备）使用说明书，进行各种技术参数测试，检查仪器的技术指标和性能是否达到要求，做好质量验收记录，验收结束出具验收报告。若仪器出现质量问题，应将详细情况书面通知供应商。</w:t>
            </w:r>
          </w:p>
          <w:p>
            <w:pPr>
              <w:pStyle w:val="null3"/>
            </w:pPr>
            <w:r>
              <w:rPr>
                <w:rFonts w:ascii="仿宋_GB2312" w:hAnsi="仿宋_GB2312" w:cs="仿宋_GB2312" w:eastAsia="仿宋_GB2312"/>
                <w:sz w:val="24"/>
              </w:rPr>
              <w:t>3.售后服务标准要求</w:t>
            </w:r>
          </w:p>
          <w:p>
            <w:pPr>
              <w:pStyle w:val="null3"/>
            </w:pPr>
            <w:r>
              <w:rPr>
                <w:rFonts w:ascii="仿宋_GB2312" w:hAnsi="仿宋_GB2312" w:cs="仿宋_GB2312" w:eastAsia="仿宋_GB2312"/>
                <w:sz w:val="24"/>
              </w:rPr>
              <w:t>（1）乙方通过提供技术说明书、操作手册、视频指导及必要的现场技术支持等方式，指导甲方完成设备的安装、调试和运行。乙方应积极配合甲方完成设备验收工作，直至设备验收合格。</w:t>
            </w:r>
          </w:p>
          <w:p>
            <w:pPr>
              <w:pStyle w:val="null3"/>
            </w:pPr>
            <w:r>
              <w:rPr>
                <w:rFonts w:ascii="仿宋_GB2312" w:hAnsi="仿宋_GB2312" w:cs="仿宋_GB2312" w:eastAsia="仿宋_GB2312"/>
                <w:sz w:val="24"/>
              </w:rPr>
              <w:t>（2）维修服务与费用说明</w:t>
            </w:r>
          </w:p>
          <w:p>
            <w:pPr>
              <w:pStyle w:val="null3"/>
              <w:ind w:firstLine="420"/>
            </w:pPr>
            <w:r>
              <w:rPr>
                <w:rFonts w:ascii="仿宋_GB2312" w:hAnsi="仿宋_GB2312" w:cs="仿宋_GB2312" w:eastAsia="仿宋_GB2312"/>
                <w:sz w:val="24"/>
              </w:rPr>
              <w:t>①在设备质量保证期内，如设备出现非人为因素导致的故障，乙方负责免费维修，并承担包括维修、备件更换及往返运输在内的全部费用。</w:t>
            </w:r>
          </w:p>
          <w:p>
            <w:pPr>
              <w:pStyle w:val="null3"/>
              <w:ind w:firstLine="420"/>
            </w:pPr>
            <w:r>
              <w:rPr>
                <w:rFonts w:ascii="仿宋_GB2312" w:hAnsi="仿宋_GB2312" w:cs="仿宋_GB2312" w:eastAsia="仿宋_GB2312"/>
                <w:sz w:val="24"/>
              </w:rPr>
              <w:t>②超出质量保证期后，根据实际服务内容酌情收取差旅费用，但不收取任何人工服务费用。</w:t>
            </w:r>
          </w:p>
          <w:p>
            <w:pPr>
              <w:pStyle w:val="null3"/>
              <w:ind w:firstLine="420"/>
            </w:pPr>
            <w:r>
              <w:rPr>
                <w:rFonts w:ascii="仿宋_GB2312" w:hAnsi="仿宋_GB2312" w:cs="仿宋_GB2312" w:eastAsia="仿宋_GB2312"/>
                <w:sz w:val="24"/>
              </w:rPr>
              <w:t>③因用户操作不当或人为因素造成的设备损坏，维修费用由双方另行协商解决。</w:t>
            </w:r>
          </w:p>
          <w:p>
            <w:pPr>
              <w:pStyle w:val="null3"/>
            </w:pPr>
            <w:r>
              <w:rPr>
                <w:rFonts w:ascii="仿宋_GB2312" w:hAnsi="仿宋_GB2312" w:cs="仿宋_GB2312" w:eastAsia="仿宋_GB2312"/>
                <w:sz w:val="24"/>
              </w:rPr>
              <w:t>（3）技术培训：乙方负责对甲方相关人员进行系统培训，培训方式包括用户所在地现场培训或网络视频培训，培训周期不少于1周。培训内容包括但不限于：设备工作原理、操作方法、数据采集与处理、日常维护及基本故障排查等。在设备验收完成后半年内，乙方可根据甲方需求，组织甲方不超过3人次参加乙方或其授权机构举办的相关应用培训或技术交流活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b/>
              </w:rPr>
              <w:t>异常低价处理办法</w:t>
            </w:r>
          </w:p>
          <w:p>
            <w:pPr>
              <w:pStyle w:val="null3"/>
              <w:ind w:firstLine="420"/>
            </w:pPr>
            <w:r>
              <w:rPr>
                <w:rFonts w:ascii="仿宋_GB2312" w:hAnsi="仿宋_GB2312" w:cs="仿宋_GB2312" w:eastAsia="仿宋_GB2312"/>
                <w:sz w:val="24"/>
              </w:rPr>
              <w:t>评审委员会认为供应商的报价存在异常低价情形的，应当根据财库〔2026〕2号文规定处理，具体要求如下：</w:t>
            </w:r>
          </w:p>
          <w:p>
            <w:pPr>
              <w:pStyle w:val="null3"/>
              <w:ind w:firstLine="420"/>
            </w:pPr>
            <w:r>
              <w:rPr>
                <w:rFonts w:ascii="仿宋_GB2312" w:hAnsi="仿宋_GB2312" w:cs="仿宋_GB2312" w:eastAsia="仿宋_GB2312"/>
                <w:sz w:val="24"/>
              </w:rPr>
              <w:t>（一）政府采购评审中出现下列情形之一的，评审委员会应当启动异常低价投标（响应）审查程序：</w:t>
            </w:r>
          </w:p>
          <w:p>
            <w:pPr>
              <w:pStyle w:val="null3"/>
              <w:ind w:firstLine="420"/>
            </w:pPr>
            <w:r>
              <w:rPr>
                <w:rFonts w:ascii="仿宋_GB2312" w:hAnsi="仿宋_GB2312" w:cs="仿宋_GB2312" w:eastAsia="仿宋_GB2312"/>
                <w:sz w:val="24"/>
              </w:rPr>
              <w:t>1.投标（响应）报价低于全部通过符合性审查供应商投标（响应）报价平均值50%的，即投标（响应）报价&lt;全部通过符合性审查供应商投标（响应）报价平均值×50%；</w:t>
            </w:r>
          </w:p>
          <w:p>
            <w:pPr>
              <w:pStyle w:val="null3"/>
              <w:ind w:firstLine="420"/>
            </w:pPr>
            <w:r>
              <w:rPr>
                <w:rFonts w:ascii="仿宋_GB2312" w:hAnsi="仿宋_GB2312" w:cs="仿宋_GB2312" w:eastAsia="仿宋_GB2312"/>
                <w:sz w:val="24"/>
              </w:rPr>
              <w:t>2.投标（响应）报价低于通过符合性审查的次低报价供应商投标（响应）报价50%的，即投标（响应）报价&lt;通过符合性审查的次低报价供应商投标（响应）报价×50%；</w:t>
            </w:r>
          </w:p>
          <w:p>
            <w:pPr>
              <w:pStyle w:val="null3"/>
              <w:ind w:firstLine="420"/>
            </w:pPr>
            <w:r>
              <w:rPr>
                <w:rFonts w:ascii="仿宋_GB2312" w:hAnsi="仿宋_GB2312" w:cs="仿宋_GB2312" w:eastAsia="仿宋_GB2312"/>
                <w:sz w:val="24"/>
              </w:rPr>
              <w:t>3.投标（响应）报价低于采购项目最高限价45%的，即投标（响应）报价&lt;采购项目最高限价×45%；</w:t>
            </w:r>
          </w:p>
          <w:p>
            <w:pPr>
              <w:pStyle w:val="null3"/>
              <w:ind w:firstLine="420"/>
            </w:pPr>
            <w:r>
              <w:rPr>
                <w:rFonts w:ascii="仿宋_GB2312" w:hAnsi="仿宋_GB2312" w:cs="仿宋_GB2312" w:eastAsia="仿宋_GB2312"/>
                <w:sz w:val="24"/>
              </w:rPr>
              <w:t>4.评审委员会基于专业判断，认为供应商报价过低，有可能影响产品质量或者不能诚信履约的其他情形。</w:t>
            </w:r>
          </w:p>
          <w:p>
            <w:pPr>
              <w:pStyle w:val="null3"/>
              <w:ind w:firstLine="420"/>
            </w:pPr>
            <w:r>
              <w:rPr>
                <w:rFonts w:ascii="仿宋_GB2312" w:hAnsi="仿宋_GB2312" w:cs="仿宋_GB2312" w:eastAsia="仿宋_GB2312"/>
                <w:sz w:val="24"/>
              </w:rPr>
              <w:t>采购人可以结合具体项目实际情况，提高上述第1项至第3项中启动异常低价投标（响应）审查的数值标准，但是最高不得超过65%。</w:t>
            </w:r>
          </w:p>
          <w:p>
            <w:pPr>
              <w:pStyle w:val="null3"/>
              <w:ind w:firstLine="420"/>
            </w:pPr>
            <w:r>
              <w:rPr>
                <w:rFonts w:ascii="仿宋_GB2312" w:hAnsi="仿宋_GB2312" w:cs="仿宋_GB2312" w:eastAsia="仿宋_GB2312"/>
                <w:sz w:val="24"/>
              </w:rPr>
              <w:t>相关法律法规对供应商报价有规定的，从其规定。</w:t>
            </w:r>
          </w:p>
          <w:p>
            <w:pPr>
              <w:pStyle w:val="null3"/>
              <w:ind w:firstLine="420"/>
            </w:pPr>
            <w:r>
              <w:rPr>
                <w:rFonts w:ascii="仿宋_GB2312" w:hAnsi="仿宋_GB2312" w:cs="仿宋_GB2312" w:eastAsia="仿宋_GB2312"/>
                <w:sz w:val="24"/>
              </w:rPr>
              <w:t>（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20"/>
            </w:pPr>
            <w:r>
              <w:rPr>
                <w:rFonts w:ascii="仿宋_GB2312" w:hAnsi="仿宋_GB2312" w:cs="仿宋_GB2312" w:eastAsia="仿宋_GB2312"/>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rFonts w:ascii="仿宋_GB2312" w:hAnsi="仿宋_GB2312" w:cs="仿宋_GB2312" w:eastAsia="仿宋_GB2312"/>
                <w:sz w:val="24"/>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落实政府采购政策《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pPr>
            <w:r>
              <w:rPr>
                <w:rFonts w:ascii="仿宋_GB2312" w:hAnsi="仿宋_GB2312" w:cs="仿宋_GB2312" w:eastAsia="仿宋_GB2312"/>
                <w:sz w:val="24"/>
              </w:rPr>
              <w:t>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pPr>
              <w:pStyle w:val="null3"/>
            </w:pPr>
            <w:r>
              <w:rPr>
                <w:rFonts w:ascii="仿宋_GB2312" w:hAnsi="仿宋_GB2312" w:cs="仿宋_GB2312" w:eastAsia="仿宋_GB2312"/>
                <w:sz w:val="24"/>
              </w:rPr>
              <w:t>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w:t>
            </w:r>
          </w:p>
          <w:p>
            <w:pPr>
              <w:pStyle w:val="null3"/>
            </w:pPr>
            <w:r>
              <w:rPr>
                <w:rFonts w:ascii="仿宋_GB2312" w:hAnsi="仿宋_GB2312" w:cs="仿宋_GB2312" w:eastAsia="仿宋_GB2312"/>
                <w:sz w:val="24"/>
              </w:rPr>
              <w:t>供应商应对其提供的产品出具《关于符合本国产品标准的声明函》。提供虚假《声明函》、虚假证明文件谋取中标、成交的，依照《政府采购法》等法律法规规定追究相应责任。</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项目说明：</w:t>
            </w:r>
          </w:p>
          <w:p>
            <w:pPr>
              <w:pStyle w:val="null3"/>
            </w:pPr>
            <w:r>
              <w:rPr>
                <w:rFonts w:ascii="仿宋_GB2312" w:hAnsi="仿宋_GB2312" w:cs="仿宋_GB2312" w:eastAsia="仿宋_GB2312"/>
                <w:sz w:val="24"/>
              </w:rPr>
              <w:t>1、本项目已通过进口产品论证，允许采购进口产品。 如果因信息不对称等原因，仍有满足需求的国内产品要求参与采购竞争的，采购人及其委托的采购代理机构不对其加以限制，按照公平竞争原则实施采购。</w:t>
            </w:r>
          </w:p>
          <w:p>
            <w:pPr>
              <w:pStyle w:val="null3"/>
            </w:pPr>
            <w:r>
              <w:rPr>
                <w:rFonts w:ascii="仿宋_GB2312" w:hAnsi="仿宋_GB2312" w:cs="仿宋_GB2312" w:eastAsia="仿宋_GB2312"/>
                <w:sz w:val="24"/>
              </w:rPr>
              <w:t>2、“进口产品”是指通过中国海关报关验放进入中国境内且产自关境外的产品。</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 xml:space="preserve">    因系统固化原因，本项目支付方式及约定以此为准：付款条件说明：国产产品：合同签订后，供应商开具合同金额80%银行保函，采购人收到银行保函正本后（银行保函有效期：自开具之日起6个月），达到付款条件起10日内，支付合同金额的80%。</w:t>
            </w:r>
          </w:p>
          <w:p>
            <w:pPr>
              <w:pStyle w:val="null3"/>
            </w:pPr>
            <w:r>
              <w:rPr>
                <w:rFonts w:ascii="仿宋_GB2312" w:hAnsi="仿宋_GB2312" w:cs="仿宋_GB2312" w:eastAsia="仿宋_GB2312"/>
                <w:sz w:val="24"/>
              </w:rPr>
              <w:t xml:space="preserve">   付款条件说明：货到安装调试完成后，达到付款条件起10日内，支付合同金额的10%。 付款条件说明：待验收合格后，采购人退还银行保函正本。凭成交供应商开具全额增值税专用发票，达到付救条件起10日内，支付合同金额的 10.00%。 进口产品：付款条件说明：合同生效后，采购人给进出口业务代理公司付全额货款，由进出口业务代理公司向中标人开出100%不可撤销即期信用证。待货物到货、安装调试、并经采购人组织验收合格后，凭采购人出具的验收报告通过银行解付全部涉外货款。达到付款条件起 10 日内，支付合同总金额的 100.00%。</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国产产品自合同签订之日起45日内完成交付、安装和测试；进口产品自合同签订之日起180日内完成交付、安装和测试；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国产产品：合同签订后，供应商开具合同金额80%银行保函，采购人收到银行保函正本后（银行保函有效期：自开具之日起6个月），达到付款条件起10日内，支付合同金额的80%。 付款条件说明：货到安装调试完成后，达到付款条件起10日内，支付合同金额的10%。 付款条件说明：待验收合格后，采购人退还银行保函正本。凭成交供应商开具全额增值税专用发票，达到付救条件起10日内，支付合同金额的 10.00%。 进口产品：付款条件说明：合同生效后，采购人给进出口业务代理公司付全额货款，由进出口业务代理公司向中标人开出100%不可撤销即期信用证。待货物到货、安装调试、并经采购人组织验收合格后，凭采购人出具的验收报告通过银行解付全部涉外货款。 达到付款条件起 10 日内，支付合同总金额的 100.00%。（后因系统固化生成内容，不可删除）</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详见其他商务要求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1）供应商必须保证提供的设备是通过正常渠道获得的、全新的、未使用过的合格产品；其有关知识产权、技术、专利、检 验、商务等均要符合中华人民共和国的有关法律、法规；中标人必须承担因所供设备而引起的全部法律责任。自设备通过最终验收之日起计算，整个项目质保期自验收之日起进口产品不得少于1年，国产产品不得少于3年，供应商承诺的质保时间超过上述要求的，按其承诺时间执行。质保期内中标人应提供维修服务及本项目中货物的维修所需零配件，质保期内维修或更换产生的材料费及人工费属于质保范畴不再单独收费；在质保期内，产品出现故障，供应商需要返厂维修或更换的，需要供应商承担设备流转所产生的费用，包括检验费、运费、保险费、仓储费和装卸费。质保期满后，中标人提供终身维修，货物维修更换的零部件只收取材料成本费用。 2）供应商须免费提供一次设备移机服务。 3）售后服务及培训要求： 1.中标人负责设备安装交付，保证设备在进行安装运行等过程中损坏的或有缺陷的部件可方便地得到修理和更换，质量保证期内的维护、修理及软件系统的维护升级，以及质量保证期后的维护指导和终身维修等； 2.采购人提出问题及维修要求后，保修期内，保证在4小时内做出答复，48小时到达现场进行维修服务，提供设备常规保养和维护的日程表，并对前2-3次的常规维护提供现场技术支持。 3.设备安装调试完毕后，中标人的技术人员必须对项目单位的设备使用人员进行操作应用、安全防护及维护保养方面的技能培训。培训指导承诺在设备交付使用后，中标单位应在用户处对用户的操作人员和维护人员进行培训，培训内容包括但不限于仪器结构介绍、仪器使用操作、基本制样方法、日常保养及维护等。培训人和时间安排可由采购人定，操作人员的基本培训在仪器的安装现场进行，如确实需外出培训的由中标人组织；培训期间，培训人员的所有费用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按照《中华人民共和国民法典》和《中华人民共和国政府采购法》中的相关条款执行。（2）未按合同要求的提供产品或质量不能满足技术要求，甲方有权终止合同，甚至对供方违约行为进行追究。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线下提交投标文件壹份，纸质投标文件建议A4纸双面打印，装订成册并编制目录和页码，密封并加盖公章。邮寄（仅接收顺丰快递，勿寄顺丰同城）或现场提交均可。若电子响应文件与纸质响应文件不一致的，以电子响应文件为准。供应商若提供电子保函的，开标前请将电子保函扫描件发送至邮箱18133978927@163.com。中标供应商与采购人签订合同后请及时将合同扫描件发送至邮箱18133978927@163.com。，以便及时办理保证金退还事宜。 2.本次进出口业务代理收费标准0.7%，请各公司在报价环节考虑相关费用。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响应招标并参加投标的合法注册的企业法人、事业法人或其他组织。企业法人应提供合法有效的标识有统一社会信用代码的营业执照；事业法人应提供事业单位法人证书；其他组织应提供合法登记证明文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投标人应授权合法的人员参加投标全过程，其中法定代表人/负责人直接投标，须提交法定代表人/负责人身份证明书原件。法定代表人/负责人授权代表参加投标的，须出具法定代表人/负责人授权书原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投标人提供2024年度或2025年度经审计的完整财务审计报告（审计报告应当包含报告正文、资产负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06月至投标文件递交截止日已缴存的任意一个月的社会保障资金缴存单据或社保机构开具的社会保险参保缴费情况证明，依法不需要缴纳社会保障资金的投标人应提供相关文件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06月至投标文件递交截止日已缴存的任意一个月的纳税证明或完税证明，纳税证明或完税证明上应有代收机构或税务机关的公章，依法免税的投标人应提供相关文件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采购活动前3年内在经营活动中没有重大违纪，以及未被列入失信被执行人、重大税收违法案件当事人名单、政府采购严重违法失信行为记录名单的书面声明原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5投标人应提交的相关资格证明材料.docx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评标小组认为供应商的报价存在异常低价情形的，应当根据财库〔2026〕2号文规定处理，具体要求如下：（一）政府采购评审中出现下列情形之一的，评审委员会应当启动异常低价投标（响应）审查程序：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开标一览表 标的清单 4报价明细.docx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 xml:space="preserve"> 投标人名称字章是否一致</w:t>
            </w:r>
          </w:p>
        </w:tc>
        <w:tc>
          <w:tcPr>
            <w:tcW w:type="dxa" w:w="1661"/>
          </w:tcPr>
          <w:p>
            <w:pPr>
              <w:pStyle w:val="null3"/>
            </w:pPr>
            <w:r>
              <w:rPr>
                <w:rFonts w:ascii="仿宋_GB2312" w:hAnsi="仿宋_GB2312" w:cs="仿宋_GB2312" w:eastAsia="仿宋_GB2312"/>
              </w:rPr>
              <w:t>6《符合本国产品标准的声明函》.docx 中小企业声明函 商务应答表 1供应商基本信息.docx 4报价明细.docx 5投标人应提交的相关资格证明材料.docx 3业绩部分.docx 投标函 残疾人福利性单位声明函 标的清单 投标文件封面 2技术响应表.docx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6《符合本国产品标准的声明函》.docx 中小企业声明函 商务应答表 1供应商基本信息.docx 4报价明细.docx 5投标人应提交的相关资格证明材料.docx 3业绩部分.docx 投标函 残疾人福利性单位声明函 标的清单 投标文件封面 2技术响应表.docx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投标有效期是否满足招标最低要求120天的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投标报价是否唯一有效或投标报价是否未超过采购预算的</w:t>
            </w:r>
          </w:p>
        </w:tc>
        <w:tc>
          <w:tcPr>
            <w:tcW w:type="dxa" w:w="1661"/>
          </w:tcPr>
          <w:p>
            <w:pPr>
              <w:pStyle w:val="null3"/>
            </w:pPr>
            <w:r>
              <w:rPr>
                <w:rFonts w:ascii="仿宋_GB2312" w:hAnsi="仿宋_GB2312" w:cs="仿宋_GB2312" w:eastAsia="仿宋_GB2312"/>
              </w:rPr>
              <w:t>标的清单 4报价明细.docx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技术、商务要求是否满足实质性要求</w:t>
            </w:r>
          </w:p>
        </w:tc>
        <w:tc>
          <w:tcPr>
            <w:tcW w:type="dxa" w:w="3322"/>
          </w:tcPr>
          <w:p>
            <w:pPr>
              <w:pStyle w:val="null3"/>
            </w:pPr>
            <w:r>
              <w:rPr>
                <w:rFonts w:ascii="仿宋_GB2312" w:hAnsi="仿宋_GB2312" w:cs="仿宋_GB2312" w:eastAsia="仿宋_GB2312"/>
              </w:rPr>
              <w:t>技术、商务要求是否满足实质性要求的（交货期限大于招标要求、质保期小于招标要求、付款方式不满足招标要求等）</w:t>
            </w:r>
          </w:p>
        </w:tc>
        <w:tc>
          <w:tcPr>
            <w:tcW w:type="dxa" w:w="1661"/>
          </w:tcPr>
          <w:p>
            <w:pPr>
              <w:pStyle w:val="null3"/>
            </w:pPr>
            <w:r>
              <w:rPr>
                <w:rFonts w:ascii="仿宋_GB2312" w:hAnsi="仿宋_GB2312" w:cs="仿宋_GB2312" w:eastAsia="仿宋_GB2312"/>
              </w:rPr>
              <w:t>商务应答表 2技术响应表.docx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 xml:space="preserve"> 其他不符合法律、规章、规范性文件和规定的</w:t>
            </w:r>
          </w:p>
        </w:tc>
        <w:tc>
          <w:tcPr>
            <w:tcW w:type="dxa" w:w="1661"/>
          </w:tcPr>
          <w:p>
            <w:pPr>
              <w:pStyle w:val="null3"/>
            </w:pPr>
            <w:r>
              <w:rPr>
                <w:rFonts w:ascii="仿宋_GB2312" w:hAnsi="仿宋_GB2312" w:cs="仿宋_GB2312" w:eastAsia="仿宋_GB2312"/>
              </w:rPr>
              <w:t>6《符合本国产品标准的声明函》.docx 中小企业声明函 商务应答表 1供应商基本信息.docx 4报价明细.docx 5投标人应提交的相关资格证明材料.docx 3业绩部分.docx 投标函 残疾人福利性单位声明函 标的清单 投标文件封面 2技术响应表.docx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1.重要参数评审：“▲”项参数条款响应得分=（投标人满足“▲”项技术参数条款的数量÷“▲”项技术参数条款的总数量）×12分；2、一般参数评审（除“▲”项）：其余参数条款 响应得分=（投标人满足的其余技 术参数条款的数量÷其余技术参数条款的总数量）×18分；3、技术要求总得分=重要参数评审得分+一般参数评审得分。 注：①参数条数计数以表格中“技术参数与性能指标”列的一级序号数字（如1、2、3、…）为一项（标题除外）；数字序号下有多级序号的，以最小级数字序号为一项。②标注“▲”号条款技术参数，供应商须提供相关佐证材料（如投标产品生产厂家公开发布的资料、说明书或国家认可的第三方检测机构出具的检测报告）等资料（若“技术要求”中对证明材料已有要求的，则按要求提供）；未提供的或提供内容不足以支撑“▲”号条款技术参数的则不得分。③一般参数条款技术参数，供应商须自主响应，未响应或的则不得分。④得分保留小数点后两位小数，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实施计划和保证措施</w:t>
            </w:r>
          </w:p>
        </w:tc>
        <w:tc>
          <w:tcPr>
            <w:tcW w:type="dxa" w:w="2492"/>
          </w:tcPr>
          <w:p>
            <w:pPr>
              <w:pStyle w:val="null3"/>
            </w:pPr>
            <w:r>
              <w:rPr>
                <w:rFonts w:ascii="仿宋_GB2312" w:hAnsi="仿宋_GB2312" w:cs="仿宋_GB2312" w:eastAsia="仿宋_GB2312"/>
              </w:rPr>
              <w:t>一、评审内容 供应商需提供科学、完整、合理、规范的实施方案及措施。内容包含：①组配计划方案；②进度保证措施；③人员配置方案；④供货安装、调试方案；⑤验收措施。 二、评审标准 1、完整性：方案须全面，对评审内容中的各项要求描述详细； 2、可实施性：切合本项目实际情况，实施步骤清晰、合理； 3、针对性：方案能够紧扣项目实际情况，内容科学合理。 三、赋分依据（满分15分） ①组配计划方案：每完全满足一个评审标准无瑕疵得1分，每存在1处瑕疵扣0.5分，满分3分； ②进度保证措施：每完全满足一个评审标准无瑕疵得1分，每存在1处瑕疵扣0.5分，满分3分； ③人员配置方案：每完全满足一个评审标准无瑕疵得1分，每存在1处瑕疵扣0.5分，满分3分； ④供货安装、调试方案：每完全满足一个评审标准无瑕疵得1分，每存在1处瑕疵扣0.5分，满分3分； ⑤验收措施：每完全满足一个评审标准无瑕疵得1分，每存在1处瑕疵扣0.5分，满分3分；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一、评审内容：投标人针对本项目提供详细的质量保障方案，包括但不限于：①质量保证制度②技术保障。 二、评审标准： 1、完整性：方案须全面，对评审内容中的各项要求描述详细； 2、可实施性：切合本项目实际情况，实施步骤清晰、合理； 3、针对性：方案能够紧扣项目实际情况，内容科学合理。 三、赋分依据（满分4.5分）： ①质量保证制度：每完全满足一个评审标准无瑕疵得0.5分，每存在1处瑕疵扣0.25分，满分1.5分； ②技术保障：每完全满足一个评审标准无瑕疵得1分，每存在1处瑕疵扣0.5分，满分3分；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培训方案，为采购人培训操作维护人员，以保障使用过程中能熟练操作、维护和正常使用，培训方案内容包含：①培训内容；②培训计划安排（包含不限于：对培训对象、培训时间做出计划，包括培训时间、地点、人次、方式、预计培训结果，保证采购人掌握仪器的基本操作和日常维护） 二、评审标准 1、完整性：切合本项目实际情况，方案内容齐全，对招标文件中各项要求有详细描述及其他内容的补充； 2、科学性：切合本项目实际情况，叙述清楚，符合客观实际情况； 3、合理性：方案内容符合项目实际特点，合理、恰当。 三、赋分标准（满分3分） ①培训内容：每完全满足一个评审标准无瑕疵得0.5分，每存在1处瑕疵扣0.25分，满分1.5分； ②培训计划安排（包含不限于：对培训对象、培训时间做出计划，包括培训时间、地点、人次、方式、预计培训结果，保证采购人人员掌握仪器的基本操作和日常维护。）：每完全满足一个评审标准无瑕疵得0.5分，每存在1处瑕疵扣0.25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根据项目实际需求提供售后服务方案。内容包含：①售后服务范围及保障措施；②故障处理及补救措施③响应时间等相关内容。 二、评审标准 1.完整性：方案须全面，对评审内容中的各项要求有详细描述； 2.可实施性：切合本项目实际情况，提出步骤清晰、合理的方案； 3.针对性：方案能够紧扣项目实际情况，内容科学合理。 三、赋分依据（满分9分） ①售后服务范围及保障措施：每完全满足一个评审标准无瑕疵得1.5分，每存在1处瑕疵扣0.5分，满分4.5分； ②故障处理及补救措施：每完全满足一个评审标准无瑕疵得1分，每存在1处瑕疵扣0.5分，满分3分； ③响应时间：：每完全满足一个评审标准无瑕疵得0.5分，每存在1处瑕疵扣0.25分，满分1.5分；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售后承诺</w:t>
            </w:r>
          </w:p>
        </w:tc>
        <w:tc>
          <w:tcPr>
            <w:tcW w:type="dxa" w:w="2492"/>
          </w:tcPr>
          <w:p>
            <w:pPr>
              <w:pStyle w:val="null3"/>
            </w:pPr>
            <w:r>
              <w:rPr>
                <w:rFonts w:ascii="仿宋_GB2312" w:hAnsi="仿宋_GB2312" w:cs="仿宋_GB2312" w:eastAsia="仿宋_GB2312"/>
              </w:rPr>
              <w:t>1.根据招标要求提供质保期结束后延保服务收费标准，提供收费标准计1分； 2.原厂维修配件明细表及报价单，根据明细表及报价单的完整性计1分； 3.配件供应承诺函：保证设备停产后配件的供应期不少于5年，计1分； 4.回访承诺：提供定期回访及维护的承诺函，根据承诺内容计0.5分。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提供自2023年5月1日起（以合同签订日为准）至今实施的类似产品业绩，每提供1个完整业绩合同得1分，最高得5分。 注：所提供的业绩证明材料不完整不得分。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3业绩部分.docx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以合格投标人有效投标总报价中的最低价为基准价，基准价为30分。投标报价得分＝（评标基准价/投标报价）×30%×100（小数点后保留2位小数）。 符合招标文件规定的小微企业、监狱企业、残疾人福利性单位优惠的供应商，价格给予10%的扣除；符合《关于在政府采购活动中实施本国产品标准及相关政策的通知》中的本国产品，投标人所投产品为本国产品或符合本国产品标准的产品成本之和占该投标人提供的全部产品成本之和的比例达到80%以上的，价格给予20%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4报价明细.docx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6《符合本国产品标准的声明函》.docx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4报价明细.docx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详见附件：1供应商基本信息.docx</w:t>
      </w:r>
    </w:p>
    <w:p>
      <w:pPr>
        <w:pStyle w:val="null3"/>
        <w:ind w:firstLine="960"/>
      </w:pPr>
      <w:r>
        <w:rPr>
          <w:rFonts w:ascii="仿宋_GB2312" w:hAnsi="仿宋_GB2312" w:cs="仿宋_GB2312" w:eastAsia="仿宋_GB2312"/>
        </w:rPr>
        <w:t>详见附件：2技术响应表.docx</w:t>
      </w:r>
    </w:p>
    <w:p>
      <w:pPr>
        <w:pStyle w:val="null3"/>
        <w:ind w:firstLine="960"/>
      </w:pPr>
      <w:r>
        <w:rPr>
          <w:rFonts w:ascii="仿宋_GB2312" w:hAnsi="仿宋_GB2312" w:cs="仿宋_GB2312" w:eastAsia="仿宋_GB2312"/>
        </w:rPr>
        <w:t>详见附件：3业绩部分.docx</w:t>
      </w:r>
    </w:p>
    <w:p>
      <w:pPr>
        <w:pStyle w:val="null3"/>
        <w:ind w:firstLine="960"/>
      </w:pPr>
      <w:r>
        <w:rPr>
          <w:rFonts w:ascii="仿宋_GB2312" w:hAnsi="仿宋_GB2312" w:cs="仿宋_GB2312" w:eastAsia="仿宋_GB2312"/>
        </w:rPr>
        <w:t>详见附件：4报价明细.docx</w:t>
      </w:r>
    </w:p>
    <w:p>
      <w:pPr>
        <w:pStyle w:val="null3"/>
        <w:ind w:firstLine="960"/>
      </w:pPr>
      <w:r>
        <w:rPr>
          <w:rFonts w:ascii="仿宋_GB2312" w:hAnsi="仿宋_GB2312" w:cs="仿宋_GB2312" w:eastAsia="仿宋_GB2312"/>
        </w:rPr>
        <w:t>详见附件：5投标人应提交的相关资格证明材料.docx</w:t>
      </w:r>
    </w:p>
    <w:p>
      <w:pPr>
        <w:pStyle w:val="null3"/>
        <w:ind w:firstLine="960"/>
      </w:pPr>
      <w:r>
        <w:rPr>
          <w:rFonts w:ascii="仿宋_GB2312" w:hAnsi="仿宋_GB2312" w:cs="仿宋_GB2312" w:eastAsia="仿宋_GB2312"/>
        </w:rPr>
        <w:t>详见附件：6《符合本国产品标准的声明函》.docx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详见附件：货物类合同模板（模板仅供参考，以实际签署合同为准）.docx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