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4494F1">
      <w:pPr>
        <w:jc w:val="center"/>
        <w:rPr>
          <w:rFonts w:hint="eastAsia"/>
          <w:color w:val="auto"/>
          <w:lang w:val="en-US" w:eastAsia="zh-CN"/>
        </w:rPr>
      </w:pPr>
      <w:r>
        <w:rPr>
          <w:rFonts w:hint="eastAsia"/>
          <w:color w:val="auto"/>
          <w:lang w:val="en-US" w:eastAsia="zh-CN"/>
        </w:rPr>
        <w:t>采购需求</w:t>
      </w:r>
    </w:p>
    <w:p w14:paraId="73F2CC95">
      <w:pPr>
        <w:pStyle w:val="3"/>
        <w:jc w:val="both"/>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一、项目概况</w:t>
      </w:r>
    </w:p>
    <w:p w14:paraId="5CD0028B">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金盾大厦位于西安市雁塔区大八六路北口，共有办公楼、宿合楼两栋。</w:t>
      </w:r>
    </w:p>
    <w:p w14:paraId="045F4B57">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办公楼建筑面积25690.88㎡，其中地上20366.1㎡，地下5324.78㎡，建筑层数:地上15层(裙楼局部5层)</w:t>
      </w:r>
      <w:r>
        <w:rPr>
          <w:rFonts w:hint="eastAsia" w:ascii="仿宋" w:hAnsi="仿宋" w:eastAsia="仿宋" w:cs="仿宋"/>
          <w:b w:val="0"/>
          <w:bCs w:val="0"/>
          <w:color w:val="auto"/>
          <w:sz w:val="24"/>
          <w:szCs w:val="40"/>
          <w:lang w:eastAsia="zh-CN"/>
        </w:rPr>
        <w:t>，</w:t>
      </w:r>
      <w:r>
        <w:rPr>
          <w:rFonts w:hint="eastAsia" w:ascii="仿宋" w:hAnsi="仿宋" w:eastAsia="仿宋" w:cs="仿宋"/>
          <w:b w:val="0"/>
          <w:bCs w:val="0"/>
          <w:color w:val="auto"/>
          <w:sz w:val="24"/>
          <w:szCs w:val="40"/>
        </w:rPr>
        <w:t>地下1层。</w:t>
      </w:r>
    </w:p>
    <w:p w14:paraId="4D751AB2">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宿舍楼建筑面积10734.68㎡，其中地上8423.24㎡，地下2311.44㎡。建筑层数:地上7层，局部2层，地下1层。</w:t>
      </w:r>
    </w:p>
    <w:p w14:paraId="68DAA958">
      <w:pPr>
        <w:pStyle w:val="3"/>
        <w:jc w:val="both"/>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二、人工配置及岗位要求</w:t>
      </w:r>
    </w:p>
    <w:p w14:paraId="21C69777">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总配置不少于50人，其中项目经理1人，会服4人，工程不少于7人，保洁不少于18人，保安不少于19人，绿化不少于1人</w:t>
      </w:r>
    </w:p>
    <w:p w14:paraId="6EB865B7">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所有岗位人员统一着装，提升服务形象，具体</w:t>
      </w:r>
      <w:r>
        <w:rPr>
          <w:rFonts w:hint="eastAsia" w:ascii="仿宋" w:hAnsi="仿宋" w:eastAsia="仿宋" w:cs="仿宋"/>
          <w:b w:val="0"/>
          <w:bCs w:val="0"/>
          <w:color w:val="auto"/>
          <w:sz w:val="24"/>
          <w:szCs w:val="40"/>
          <w:lang w:val="en-US" w:eastAsia="zh-CN"/>
        </w:rPr>
        <w:t>要求</w:t>
      </w:r>
      <w:r>
        <w:rPr>
          <w:rFonts w:hint="eastAsia" w:ascii="仿宋" w:hAnsi="仿宋" w:eastAsia="仿宋" w:cs="仿宋"/>
          <w:b w:val="0"/>
          <w:bCs w:val="0"/>
          <w:color w:val="auto"/>
          <w:sz w:val="24"/>
          <w:szCs w:val="40"/>
        </w:rPr>
        <w:t>如下：</w:t>
      </w:r>
    </w:p>
    <w:p w14:paraId="46C097CB">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保安人员：需按季节着西装、白衬衣等。</w:t>
      </w:r>
    </w:p>
    <w:p w14:paraId="6F564345">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会务人员：需按季节着会议服务服装。</w:t>
      </w:r>
    </w:p>
    <w:p w14:paraId="5D56F9E9">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工程人员、保洁人员需着统一工装。</w:t>
      </w:r>
    </w:p>
    <w:p w14:paraId="52582C30">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以上所有人员定岗定责，但若需统一调度</w:t>
      </w:r>
      <w:r>
        <w:rPr>
          <w:rFonts w:hint="eastAsia" w:ascii="仿宋" w:hAnsi="仿宋" w:eastAsia="仿宋" w:cs="仿宋"/>
          <w:b w:val="0"/>
          <w:bCs w:val="0"/>
          <w:color w:val="auto"/>
          <w:sz w:val="24"/>
          <w:szCs w:val="40"/>
          <w:lang w:val="en-US" w:eastAsia="zh-CN"/>
        </w:rPr>
        <w:t>时</w:t>
      </w:r>
      <w:r>
        <w:rPr>
          <w:rFonts w:hint="eastAsia" w:ascii="仿宋" w:hAnsi="仿宋" w:eastAsia="仿宋" w:cs="仿宋"/>
          <w:b w:val="0"/>
          <w:bCs w:val="0"/>
          <w:color w:val="auto"/>
          <w:sz w:val="24"/>
          <w:szCs w:val="40"/>
        </w:rPr>
        <w:t>必须服从安排。</w:t>
      </w:r>
    </w:p>
    <w:p w14:paraId="6A34D418">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具体岗位要求及人员标准详见附件一。</w:t>
      </w:r>
    </w:p>
    <w:p w14:paraId="79688B34">
      <w:pPr>
        <w:pStyle w:val="3"/>
        <w:jc w:val="both"/>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三、技术（服务）要求</w:t>
      </w:r>
    </w:p>
    <w:p w14:paraId="46920AFE">
      <w:pPr>
        <w:pStyle w:val="12"/>
        <w:ind w:firstLine="402"/>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（一）环境保洁服务</w:t>
      </w:r>
    </w:p>
    <w:p w14:paraId="584543AF">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服务内容：占地红线以内院落、办公楼公共区域、公共设备设施的日常清洁。包括所有露天区域、地下车库、公用房间、走廊、电梯、楼梯、大厅、卫生间、热水间、屋面、墙面、地面、顶棚、通风口、门窗、设备间、洗澡间、健康训练中心等，以及以上区域内的灯具、电器、控制开关、标志牌、指示牌、装饰性陈列物、消防设施和其它设施设备的卫生清洁工作；定期开展卫生消杀及除四害工作，应包括墙面、地面消毒、室内空气消毒、办公家具等设施设备的擦拭消毒、保洁用具的消毒（消灭“四害”（蚊子、苍蝇、老鼠和蟑螂）工作应按照市爱国卫生委员会有关标准执行，确保室内卫生达标）；日常办公垃圾做到垃圾分类处置、及时清运；年度1次机关大楼外立面玻璃幕墙清洗；楼内公共区域卫生间洗手液、卫生球、手纸、绿植和垃圾袋的配备；楼内公共会议室的保洁服务。</w:t>
      </w:r>
    </w:p>
    <w:p w14:paraId="3DC03C7F">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1、机关营区内外垃圾桶（包括日常垃圾分类“四类”垃圾桶、防疫垃圾桶、医疗垃圾口罩回收桶）、灭烟柱以及公共区域卫生间卫生卷纸、擦手纸巾、洗手液、卫生球、垃圾袋配备，防汛、融雪剂、防疫等物资应保证量足、完好、无损坏。以上均由供应商负责提供，所提供物品需采购人同意认可。</w:t>
      </w:r>
    </w:p>
    <w:p w14:paraId="7BA2C7A9">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2、卫生保洁所需的作业工具、机械设备、清洁物料由供应商自备。</w:t>
      </w:r>
    </w:p>
    <w:p w14:paraId="59D3AD83">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3、年度1次的机关大楼外立面玻璃幕墙清洗必须选取具备相关资质的企业及人员，严格执行相关操作规范，作业期间产生的一切纠纷与采购人无关。</w:t>
      </w:r>
    </w:p>
    <w:p w14:paraId="73A937DC">
      <w:pPr>
        <w:pStyle w:val="12"/>
        <w:ind w:firstLine="402"/>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（二）设施设备维护服务</w:t>
      </w:r>
    </w:p>
    <w:p w14:paraId="49FBA6D4">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服务内容：定期巡查机关大楼院落及建筑内配套设施设备现状，主动发现上报问题并做好维护服务，包括供电设施、上下水系统、消防设施、中央空调机组设施、化粪池、电梯系统、供暖系统、屋面建筑配套设施及房屋维护。（若需维修，维修所需耗材、配件等由采购人提供，供应商需提供耗材的规格和型号、数量等。特殊专业设备除外、如中央空调机组设备、电梯设备、消防设施设备维修等。）</w:t>
      </w:r>
    </w:p>
    <w:p w14:paraId="6DF81902">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1、供电系统：所有电力系统（自进楼总空开起）的维修及维护工作，包含高低压配电室、备用发电机、办公区域配电箱、用电线路、照明、插座等。（维修所需耗材等由采购人提供，供应商需提供耗材的规格和型号、数量等。）</w:t>
      </w:r>
    </w:p>
    <w:p w14:paraId="6374DB42">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2、上下水系统：上下水系统的维修及维护工作。包括户内外上下水管网的维修、维护及疏通（包含厨房下水及隔油池），设备设施的维修，按规定清洗水箱并提供合格的检测报告。</w:t>
      </w:r>
    </w:p>
    <w:p w14:paraId="60127A2E">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3、消防设施：烟感、喷淋、灭火器、消防栓、消防报警等消防设施设备的巡检及问题报告，报告需如实填写。</w:t>
      </w:r>
    </w:p>
    <w:p w14:paraId="1BF2F626">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4、中央空调设施：管道、主机、水泵、终端的巡查；过滤网、出风口清洗，由供应商负责。</w:t>
      </w:r>
    </w:p>
    <w:p w14:paraId="070970BC">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5、化粪池、隔油池：由供应商负责排瘀、清理，保证排水畅通。</w:t>
      </w:r>
    </w:p>
    <w:p w14:paraId="7F59C527">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6、电梯系统：由供应商负责电梯的年检、保险、检测等相关费用，发现问题第一时间向采购人报告，采购人协调相关维保单位进行维修。</w:t>
      </w:r>
    </w:p>
    <w:p w14:paraId="6075F28B">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7、供暖系统：负责供暖系统（自进楼总阀门起）的维修及维护工作，配合热力公司完成相关工作。</w:t>
      </w:r>
    </w:p>
    <w:p w14:paraId="6EB043E2">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8、屋面设施：负责避雷设施的检测；负责铁塔的巡查、维护、保养，确保安全牢固。</w:t>
      </w:r>
    </w:p>
    <w:p w14:paraId="320E1B24">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9、房屋维护：</w:t>
      </w:r>
    </w:p>
    <w:p w14:paraId="009AD825">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负责公共区域和各办公区域的屋顶、雨棚、墙面、地面、台阶、灯具、门窗、玻璃、窗帘、门锁、开关、水管、龙头、扶手、防护栏等维修及配件更换，维护过程中产生的耗材、配件经供应商申请，采购人审核同意后，由采购人</w:t>
      </w:r>
      <w:r>
        <w:rPr>
          <w:rFonts w:hint="eastAsia" w:ascii="仿宋" w:hAnsi="仿宋" w:eastAsia="仿宋" w:cs="仿宋"/>
          <w:b w:val="0"/>
          <w:bCs w:val="0"/>
          <w:color w:val="auto"/>
          <w:sz w:val="24"/>
          <w:szCs w:val="40"/>
          <w:lang w:val="en-US" w:eastAsia="zh-CN"/>
        </w:rPr>
        <w:t>提供</w:t>
      </w:r>
      <w:r>
        <w:rPr>
          <w:rFonts w:hint="eastAsia" w:ascii="仿宋" w:hAnsi="仿宋" w:eastAsia="仿宋" w:cs="仿宋"/>
          <w:b w:val="0"/>
          <w:bCs w:val="0"/>
          <w:color w:val="auto"/>
          <w:sz w:val="24"/>
          <w:szCs w:val="40"/>
        </w:rPr>
        <w:t>，供应商负责维修。</w:t>
      </w:r>
    </w:p>
    <w:p w14:paraId="22DDB2D3">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10、设备机房维护要求：</w:t>
      </w:r>
    </w:p>
    <w:p w14:paraId="7C7FD164">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1）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p>
    <w:p w14:paraId="558A75FA">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（2）设备机房门窗、锁具应当完好、有效。</w:t>
      </w:r>
    </w:p>
    <w:p w14:paraId="484424FB">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（3）每半月至少开展1次清洁，整洁有序、无杂物、无积尘、无鼠、无虫害，温湿度符合设备运行要求。</w:t>
      </w:r>
    </w:p>
    <w:p w14:paraId="44380E2C">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（4）按各设备机房国家标准规范规定维护消防、通风、应急照明，防止小动物进入。</w:t>
      </w:r>
    </w:p>
    <w:p w14:paraId="01814DD3">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（5）安全防护用具配置齐全，检验合格。</w:t>
      </w:r>
    </w:p>
    <w:p w14:paraId="5BF16988">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（6）应急设施设备用品应当齐全、完备，可随时启用。</w:t>
      </w:r>
    </w:p>
    <w:p w14:paraId="463448B1">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11、给排水系统：</w:t>
      </w:r>
    </w:p>
    <w:p w14:paraId="59145124">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（1）生活饮用水卫生符合《生活饮用水卫生标准》（GB5749）的相关要求，根据政策变化及时调整。</w:t>
      </w:r>
    </w:p>
    <w:p w14:paraId="64B11A3F">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（2）二次供水卫生符合《二次供水设施卫生规范》（GB17051）的相关要求，根据政策变化及时调整。</w:t>
      </w:r>
    </w:p>
    <w:p w14:paraId="79014C8E">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（3）设施设备、阀门、管道等运行正常，无跑、冒、滴、漏现象。</w:t>
      </w:r>
    </w:p>
    <w:p w14:paraId="602F9728">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（4）有水泵房、水箱间的，每日至少巡视1次。每年至少养护1次水泵。</w:t>
      </w:r>
    </w:p>
    <w:p w14:paraId="09941322">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（5）遇供水单位限水、停水，按规定时间通知甲方。</w:t>
      </w:r>
    </w:p>
    <w:p w14:paraId="26051445">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（6）每季度至少开展1次对排水管（包含厨房下水）进行疏通、清污，保证室内外排水系统通畅。</w:t>
      </w:r>
    </w:p>
    <w:p w14:paraId="680B2485">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12、照明服务：</w:t>
      </w:r>
    </w:p>
    <w:p w14:paraId="56111E70">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（1）外观整洁无缺损、无松落。</w:t>
      </w:r>
    </w:p>
    <w:p w14:paraId="3699E01E">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（2）更换的照明灯具应当选用节能环保产品。</w:t>
      </w:r>
    </w:p>
    <w:p w14:paraId="55C30A25">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（3）每月至少开展1次公共区域照明设备巡视。</w:t>
      </w:r>
    </w:p>
    <w:p w14:paraId="39CF88EA">
      <w:pPr>
        <w:pStyle w:val="12"/>
        <w:ind w:firstLine="402"/>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（三）秩序维护服务</w:t>
      </w:r>
    </w:p>
    <w:p w14:paraId="4D5A7D84">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服务内容：机关大楼内车辆、人员所有出入口、停车场、消防控制室的秩序维护以及内部防盗、防火、防汛和疫情防控等安全保卫工作。包括办公楼大厅24小时值守、验证、检查登记；车辆出入口24小时值守；办公楼内的巡视检查、警戒；办公楼内消防中控室值守及楼内末端消防设施巡检、维护。</w:t>
      </w:r>
    </w:p>
    <w:p w14:paraId="392DB2E0">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1、门岗管理</w:t>
      </w:r>
    </w:p>
    <w:p w14:paraId="3DC40905">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（1）对外来人员，建立询问登记和到访单位确认制度，做到礼貌用语、文明用语、温情服务。</w:t>
      </w:r>
    </w:p>
    <w:p w14:paraId="5CF54D72">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（2）杜绝闲杂人员进入。</w:t>
      </w:r>
    </w:p>
    <w:p w14:paraId="5508C2DF">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（3）遇有重大活动和重要礼宾接待时，做到精神饱满，举止得体。</w:t>
      </w:r>
    </w:p>
    <w:p w14:paraId="4D1BF9D5">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（4）在上下班等高峰期加强出入口秩序管理，确保内部秩序平稳安全。</w:t>
      </w:r>
    </w:p>
    <w:p w14:paraId="66BC5544">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（5）保证报警系统、</w:t>
      </w:r>
      <w:r>
        <w:rPr>
          <w:rFonts w:hint="eastAsia" w:ascii="仿宋" w:hAnsi="仿宋" w:eastAsia="仿宋" w:cs="仿宋"/>
          <w:b w:val="0"/>
          <w:bCs w:val="0"/>
          <w:color w:val="auto"/>
          <w:sz w:val="24"/>
          <w:szCs w:val="40"/>
          <w:lang w:val="en-US" w:eastAsia="zh-CN"/>
        </w:rPr>
        <w:t>视频</w:t>
      </w:r>
      <w:r>
        <w:rPr>
          <w:rFonts w:hint="eastAsia" w:ascii="仿宋" w:hAnsi="仿宋" w:eastAsia="仿宋" w:cs="仿宋"/>
          <w:b w:val="0"/>
          <w:bCs w:val="0"/>
          <w:color w:val="auto"/>
          <w:sz w:val="24"/>
          <w:szCs w:val="40"/>
        </w:rPr>
        <w:t>系统、门禁系统、对讲系统设备的正常运行。</w:t>
      </w:r>
    </w:p>
    <w:p w14:paraId="61D95865">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（6）与辖区交警建立联动机制，有效纠正机关大楼出入口违法停车、违法占道乱像，防范交通事故。</w:t>
      </w:r>
    </w:p>
    <w:p w14:paraId="7CF53210">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2、巡逻任务管理</w:t>
      </w:r>
    </w:p>
    <w:p w14:paraId="255ABAB3">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（1）做好管理区域的巡查，及时解决处理现场发现的安全隐患。</w:t>
      </w:r>
    </w:p>
    <w:p w14:paraId="05FC4C6D">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（2）维护办公楼内及公区内正常的治安秩序。</w:t>
      </w:r>
    </w:p>
    <w:p w14:paraId="368E76E3">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（3）保护区域内重点部位的安全。</w:t>
      </w:r>
    </w:p>
    <w:p w14:paraId="2869AFAC">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（4）协助公安部门处置违法犯罪活动。</w:t>
      </w:r>
    </w:p>
    <w:p w14:paraId="12CC2587">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（5）处理突发事件和意外事件，保护现场证据。</w:t>
      </w:r>
    </w:p>
    <w:p w14:paraId="4E35B919">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（6）及时驱散影响大楼秩序的乱停乱放、人员聚堆等占道现象。</w:t>
      </w:r>
    </w:p>
    <w:p w14:paraId="54FE1271">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3、监控中心管理</w:t>
      </w:r>
    </w:p>
    <w:p w14:paraId="0A3D703A">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（1）监控中心设备24小时运行，消防监控室实行24小时双人持证值班制度，严格按照法律法规履行职责。</w:t>
      </w:r>
    </w:p>
    <w:p w14:paraId="3544A091">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（2）监控中心列明监视系统摄像头布防的分布数量和部位。</w:t>
      </w:r>
    </w:p>
    <w:p w14:paraId="7CCE3D6A">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（3）监控录像储存时间符合国家相关要求。</w:t>
      </w:r>
    </w:p>
    <w:p w14:paraId="65864E3B">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（4）未经主管单位审批不得调取查看录像。</w:t>
      </w:r>
    </w:p>
    <w:p w14:paraId="666DF619">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（5）除值班人员和相关工作人员外，任何无关人员不得进入监控室。</w:t>
      </w:r>
    </w:p>
    <w:p w14:paraId="4029F4F4">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（6）每天按照规定对各类设备、软件系统进行检查、测试和维护，及时发现、报告、解决故障，确保室内监视柜、显示灯、信号灯、通讯、消防设施设备的正常运转。</w:t>
      </w:r>
    </w:p>
    <w:p w14:paraId="4496A28B">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（7）值班人员需做好防火、防静电、防潮、防尘、防热和防盗工作，严禁存放易燃易爆、易腐蚀、强磁性物品，禁止携带无关设备入内。</w:t>
      </w:r>
    </w:p>
    <w:p w14:paraId="2B529D87">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（8）严格遵守保密制度，妥善保管数据资料，严禁私自复制、下载和外借。违反规定的，将严肃追究责任人责任。</w:t>
      </w:r>
    </w:p>
    <w:p w14:paraId="0BCA8C05">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（9）保障通信联络畅通，发现突发事件、异常情况，立即上报秩序主管，及时启动应急预案。</w:t>
      </w:r>
    </w:p>
    <w:p w14:paraId="6751FB21">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4、停车管理</w:t>
      </w:r>
    </w:p>
    <w:p w14:paraId="484F819E">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（1）提供停车场24小时停车服务。</w:t>
      </w:r>
    </w:p>
    <w:p w14:paraId="1923D595">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（2）负责内部车辆及外来车辆停车的安全有序引导，实行分区停放，确保大楼内停车规范、整齐划一。</w:t>
      </w:r>
    </w:p>
    <w:p w14:paraId="5F430384">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（3）对违规停放、车容车貌差、车内（货箱）有垃圾的车辆，联系所属单位及时纠正。</w:t>
      </w:r>
    </w:p>
    <w:p w14:paraId="59A922B5">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（4）负责停车场设备设施的运行、维护和安全监管，对人为损坏设备设施的，及时固定证据并上报处理。</w:t>
      </w:r>
    </w:p>
    <w:p w14:paraId="4CEEC665">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（5）制订交通紧急情况、停车场突发事件应急预案，定期组织演练。</w:t>
      </w:r>
    </w:p>
    <w:p w14:paraId="1D98A63F">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（6）建立车辆进出牌证管理制度，确保车辆有序进出、安全停放。</w:t>
      </w:r>
    </w:p>
    <w:p w14:paraId="7D646F72">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5、秩序应急管理</w:t>
      </w:r>
    </w:p>
    <w:p w14:paraId="706688D4">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（1）制定突发事件安全责任书，明确突发事件责任人及应承担的安全责任。</w:t>
      </w:r>
    </w:p>
    <w:p w14:paraId="3EC3DB16">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（2）建立应急突发事件处置队伍，明确各自的职责。</w:t>
      </w:r>
    </w:p>
    <w:p w14:paraId="04AA37CB">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（3）识别、分析各种潜在风险，针对不同风险类型制定相应解决方案，并配备应急物资。</w:t>
      </w:r>
    </w:p>
    <w:p w14:paraId="1BF4726E">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（4）每半年至少开展1次突发事件应急演练，并有相应记录。</w:t>
      </w:r>
    </w:p>
    <w:p w14:paraId="542CEED9">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（5）发生意外事件时，及时采取应急措施，维护物业服务正常进行，保护人身财产安全。</w:t>
      </w:r>
    </w:p>
    <w:p w14:paraId="486D867D">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（6）物业服务应急预案终止实施后，积极采取措施，在尽可能短的时间内，消除事故带来的不良影响，妥善安置和慰问受害及受影响的人员和部门。</w:t>
      </w:r>
    </w:p>
    <w:p w14:paraId="7B945324">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（7）事故处理后，及时形成事故应急总结报告，完善应急救援工作方案。</w:t>
      </w:r>
    </w:p>
    <w:p w14:paraId="675A21A4">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6、大型活动秩序管理</w:t>
      </w:r>
    </w:p>
    <w:p w14:paraId="291D3522">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（1）制定相应的活动秩序维护方案，合理安排人员，并对场所的安全隐患进行排查。</w:t>
      </w:r>
    </w:p>
    <w:p w14:paraId="3DFB1866">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（2）应当保障通道、出入口、停车场等区域畅通。</w:t>
      </w:r>
    </w:p>
    <w:p w14:paraId="58476BDA">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（3）活动举办过程中，做好现场秩序的维护和突发事故的处置工作，确保活动正常进行。</w:t>
      </w:r>
    </w:p>
    <w:p w14:paraId="2A416D3E">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7、消防管理</w:t>
      </w:r>
    </w:p>
    <w:p w14:paraId="663BE0DF">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乙方每年组织最少两次（上、下半年各一次）消防安全知识培训演练；按照消防安全法律法规每2个月对机关大楼内各单位区域开展消防安全检查并向主管单位出具书面报告；每季度委托消防机构对机关大楼全区域开展消防安全检查并出具书面报告，确保相关消防安全制度和措施落实。</w:t>
      </w:r>
    </w:p>
    <w:p w14:paraId="295A5779">
      <w:pPr>
        <w:pStyle w:val="12"/>
        <w:ind w:firstLine="402"/>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（四）绿化服务</w:t>
      </w:r>
    </w:p>
    <w:p w14:paraId="7CC8E5E6">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服务内容：室外公共区域及大楼内公共区域绿植养护（大楼外绿化补栽、日常养护；楼内公共区域绿植，根据</w:t>
      </w:r>
      <w:r>
        <w:rPr>
          <w:rFonts w:hint="eastAsia" w:ascii="仿宋" w:hAnsi="仿宋" w:eastAsia="仿宋" w:cs="仿宋"/>
          <w:b w:val="0"/>
          <w:bCs w:val="0"/>
          <w:color w:val="auto"/>
          <w:sz w:val="24"/>
          <w:szCs w:val="40"/>
          <w:lang w:val="en-US" w:eastAsia="zh-CN"/>
        </w:rPr>
        <w:t>采购人</w:t>
      </w:r>
      <w:r>
        <w:rPr>
          <w:rFonts w:hint="eastAsia" w:ascii="仿宋" w:hAnsi="仿宋" w:eastAsia="仿宋" w:cs="仿宋"/>
          <w:b w:val="0"/>
          <w:bCs w:val="0"/>
          <w:color w:val="auto"/>
          <w:sz w:val="24"/>
          <w:szCs w:val="40"/>
        </w:rPr>
        <w:t>要求配备并加强日常养护；绿化养护所需的工具及物料由</w:t>
      </w:r>
      <w:r>
        <w:rPr>
          <w:rFonts w:hint="eastAsia" w:ascii="仿宋" w:hAnsi="仿宋" w:eastAsia="仿宋" w:cs="仿宋"/>
          <w:b w:val="0"/>
          <w:bCs w:val="0"/>
          <w:color w:val="auto"/>
          <w:sz w:val="24"/>
          <w:szCs w:val="40"/>
          <w:lang w:val="en-US" w:eastAsia="zh-CN"/>
        </w:rPr>
        <w:t>供应商</w:t>
      </w:r>
      <w:r>
        <w:rPr>
          <w:rFonts w:hint="eastAsia" w:ascii="仿宋" w:hAnsi="仿宋" w:eastAsia="仿宋" w:cs="仿宋"/>
          <w:b w:val="0"/>
          <w:bCs w:val="0"/>
          <w:color w:val="auto"/>
          <w:sz w:val="24"/>
          <w:szCs w:val="40"/>
        </w:rPr>
        <w:t>提供）。</w:t>
      </w:r>
    </w:p>
    <w:p w14:paraId="3B6B8015">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1、修剪</w:t>
      </w:r>
      <w:r>
        <w:rPr>
          <w:rFonts w:hint="eastAsia" w:ascii="仿宋" w:hAnsi="仿宋" w:eastAsia="仿宋" w:cs="仿宋"/>
          <w:b w:val="0"/>
          <w:bCs w:val="0"/>
          <w:color w:val="auto"/>
          <w:sz w:val="24"/>
          <w:szCs w:val="40"/>
          <w:lang w:eastAsia="zh-CN"/>
        </w:rPr>
        <w:t>：</w:t>
      </w:r>
      <w:r>
        <w:rPr>
          <w:rFonts w:hint="eastAsia" w:ascii="仿宋" w:hAnsi="仿宋" w:eastAsia="仿宋" w:cs="仿宋"/>
          <w:b w:val="0"/>
          <w:bCs w:val="0"/>
          <w:color w:val="auto"/>
          <w:sz w:val="24"/>
          <w:szCs w:val="40"/>
        </w:rPr>
        <w:t>根据各类植物的生长特点、立地环境、景观要求,按照操作规程适时进行，每月不少于2次；绿化修剪及时，层次分明，高低错落、有致，修剪富有艺术品质，苗木生长健壮，叶色浓绿，总体平整，近地部分不枯黄，草边修剪整齐，边缘交界处清晰平滑，界线分明，不长到路牙、绿篱处。</w:t>
      </w:r>
    </w:p>
    <w:p w14:paraId="667E9C8B">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2、浇水</w:t>
      </w:r>
    </w:p>
    <w:p w14:paraId="2CF39C62">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（1）根据植物生长特点、天气、气候状况浇水。</w:t>
      </w:r>
    </w:p>
    <w:p w14:paraId="58E6C288">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（2）用水龙头、喷灌、洒水车浇水；作业后自检。</w:t>
      </w:r>
    </w:p>
    <w:p w14:paraId="58A65AA5">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（3）浇水的标准：均匀、浇透、无遗漏。阳面多浇，阴面少浇。</w:t>
      </w:r>
    </w:p>
    <w:p w14:paraId="1E628816">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（4）根据植物种类进行浇水，草坪春、秋每月浇3</w:t>
      </w:r>
      <w:r>
        <w:rPr>
          <w:rFonts w:hint="eastAsia" w:ascii="仿宋" w:hAnsi="仿宋" w:eastAsia="仿宋" w:cs="仿宋"/>
          <w:b w:val="0"/>
          <w:bCs w:val="0"/>
          <w:color w:val="auto"/>
          <w:sz w:val="24"/>
          <w:szCs w:val="40"/>
          <w:lang w:val="en-US" w:eastAsia="zh-CN"/>
        </w:rPr>
        <w:t>-</w:t>
      </w:r>
      <w:r>
        <w:rPr>
          <w:rFonts w:hint="eastAsia" w:ascii="仿宋" w:hAnsi="仿宋" w:eastAsia="仿宋" w:cs="仿宋"/>
          <w:b w:val="0"/>
          <w:bCs w:val="0"/>
          <w:color w:val="auto"/>
          <w:sz w:val="24"/>
          <w:szCs w:val="40"/>
        </w:rPr>
        <w:t>4遍，夏季每周浇水5</w:t>
      </w:r>
      <w:r>
        <w:rPr>
          <w:rFonts w:hint="eastAsia" w:ascii="仿宋" w:hAnsi="仿宋" w:eastAsia="仿宋" w:cs="仿宋"/>
          <w:b w:val="0"/>
          <w:bCs w:val="0"/>
          <w:color w:val="auto"/>
          <w:sz w:val="24"/>
          <w:szCs w:val="40"/>
          <w:lang w:val="en-US" w:eastAsia="zh-CN"/>
        </w:rPr>
        <w:t>-</w:t>
      </w:r>
      <w:r>
        <w:rPr>
          <w:rFonts w:hint="eastAsia" w:ascii="仿宋" w:hAnsi="仿宋" w:eastAsia="仿宋" w:cs="仿宋"/>
          <w:b w:val="0"/>
          <w:bCs w:val="0"/>
          <w:color w:val="auto"/>
          <w:sz w:val="24"/>
          <w:szCs w:val="40"/>
        </w:rPr>
        <w:t>6遍，冬季冬灌1</w:t>
      </w:r>
      <w:r>
        <w:rPr>
          <w:rFonts w:hint="eastAsia" w:ascii="仿宋" w:hAnsi="仿宋" w:eastAsia="仿宋" w:cs="仿宋"/>
          <w:b w:val="0"/>
          <w:bCs w:val="0"/>
          <w:color w:val="auto"/>
          <w:sz w:val="24"/>
          <w:szCs w:val="40"/>
          <w:lang w:val="en-US" w:eastAsia="zh-CN"/>
        </w:rPr>
        <w:t>-</w:t>
      </w:r>
      <w:r>
        <w:rPr>
          <w:rFonts w:hint="eastAsia" w:ascii="仿宋" w:hAnsi="仿宋" w:eastAsia="仿宋" w:cs="仿宋"/>
          <w:b w:val="0"/>
          <w:bCs w:val="0"/>
          <w:color w:val="auto"/>
          <w:sz w:val="24"/>
          <w:szCs w:val="40"/>
        </w:rPr>
        <w:t>2次。草花夏季每日1次，春秋2天1次，冬季每周1</w:t>
      </w:r>
      <w:r>
        <w:rPr>
          <w:rFonts w:hint="eastAsia" w:ascii="仿宋" w:hAnsi="仿宋" w:eastAsia="仿宋" w:cs="仿宋"/>
          <w:b w:val="0"/>
          <w:bCs w:val="0"/>
          <w:color w:val="auto"/>
          <w:sz w:val="24"/>
          <w:szCs w:val="40"/>
          <w:lang w:val="en-US" w:eastAsia="zh-CN"/>
        </w:rPr>
        <w:t>-</w:t>
      </w:r>
      <w:r>
        <w:rPr>
          <w:rFonts w:hint="eastAsia" w:ascii="仿宋" w:hAnsi="仿宋" w:eastAsia="仿宋" w:cs="仿宋"/>
          <w:b w:val="0"/>
          <w:bCs w:val="0"/>
          <w:color w:val="auto"/>
          <w:sz w:val="24"/>
          <w:szCs w:val="40"/>
        </w:rPr>
        <w:t>2次。绿篱，花灌木、乔木在夏季长期无雨时节应及时浇水，冬季所有苗木应冬灌一次。</w:t>
      </w:r>
    </w:p>
    <w:p w14:paraId="7DCECC6C">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3、施肥:根据各类植物的生长特点及植物对肥料的需要,应均匀、适量、无遗漏，要求年施肥不得少于2次,春、秋季各施肥一次，氮肥、磷肥、钾肥的比例为2：1：1，亩用量不低于20kg，其他季节根据实际情况确定。新种植物视生长情况,适时适量进行施肥,以保持各类植物的生长旺盛达到一定景观效果。</w:t>
      </w:r>
    </w:p>
    <w:p w14:paraId="0226D64B">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4、除草</w:t>
      </w:r>
      <w:r>
        <w:rPr>
          <w:rFonts w:hint="eastAsia" w:ascii="仿宋" w:hAnsi="仿宋" w:eastAsia="仿宋" w:cs="仿宋"/>
          <w:b w:val="0"/>
          <w:bCs w:val="0"/>
          <w:color w:val="auto"/>
          <w:sz w:val="24"/>
          <w:szCs w:val="40"/>
          <w:lang w:eastAsia="zh-CN"/>
        </w:rPr>
        <w:t>：</w:t>
      </w:r>
      <w:r>
        <w:rPr>
          <w:rFonts w:hint="eastAsia" w:ascii="仿宋" w:hAnsi="仿宋" w:eastAsia="仿宋" w:cs="仿宋"/>
          <w:b w:val="0"/>
          <w:bCs w:val="0"/>
          <w:color w:val="auto"/>
          <w:sz w:val="24"/>
          <w:szCs w:val="40"/>
        </w:rPr>
        <w:t>各类绿地、树穴、绿带要结合松土及时清理各类杂草。</w:t>
      </w:r>
    </w:p>
    <w:p w14:paraId="75818201">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5、绿化补缺</w:t>
      </w:r>
    </w:p>
    <w:p w14:paraId="4A135439">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（1）补栽的方法是：清除杂物（死苗）</w:t>
      </w:r>
      <w:r>
        <w:rPr>
          <w:rFonts w:hint="eastAsia" w:ascii="仿宋" w:hAnsi="仿宋" w:eastAsia="仿宋" w:cs="仿宋"/>
          <w:b w:val="0"/>
          <w:bCs w:val="0"/>
          <w:color w:val="auto"/>
          <w:sz w:val="24"/>
          <w:szCs w:val="40"/>
          <w:lang w:eastAsia="zh-CN"/>
        </w:rPr>
        <w:t>、</w:t>
      </w:r>
      <w:r>
        <w:rPr>
          <w:rFonts w:hint="eastAsia" w:ascii="仿宋" w:hAnsi="仿宋" w:eastAsia="仿宋" w:cs="仿宋"/>
          <w:b w:val="0"/>
          <w:bCs w:val="0"/>
          <w:color w:val="auto"/>
          <w:sz w:val="24"/>
          <w:szCs w:val="40"/>
        </w:rPr>
        <w:t>整地</w:t>
      </w:r>
      <w:r>
        <w:rPr>
          <w:rFonts w:hint="eastAsia" w:ascii="仿宋" w:hAnsi="仿宋" w:eastAsia="仿宋" w:cs="仿宋"/>
          <w:b w:val="0"/>
          <w:bCs w:val="0"/>
          <w:color w:val="auto"/>
          <w:sz w:val="24"/>
          <w:szCs w:val="40"/>
          <w:lang w:eastAsia="zh-CN"/>
        </w:rPr>
        <w:t>、</w:t>
      </w:r>
      <w:r>
        <w:rPr>
          <w:rFonts w:hint="eastAsia" w:ascii="仿宋" w:hAnsi="仿宋" w:eastAsia="仿宋" w:cs="仿宋"/>
          <w:b w:val="0"/>
          <w:bCs w:val="0"/>
          <w:color w:val="auto"/>
          <w:sz w:val="24"/>
          <w:szCs w:val="40"/>
        </w:rPr>
        <w:t>补栽。</w:t>
      </w:r>
    </w:p>
    <w:p w14:paraId="68DBC282">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（2）对死亡绿植应及时补栽，确保绿化完整覆盖。</w:t>
      </w:r>
    </w:p>
    <w:p w14:paraId="4F595007">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（3）乔灌木补栽措施应在春秋季进行。</w:t>
      </w:r>
    </w:p>
    <w:p w14:paraId="34B4E878">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（4）石楠的补栽应该保证整齐美观、高度统一。</w:t>
      </w:r>
    </w:p>
    <w:p w14:paraId="67E1E86C">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6、病虫害防治</w:t>
      </w:r>
      <w:r>
        <w:rPr>
          <w:rFonts w:hint="eastAsia" w:ascii="仿宋" w:hAnsi="仿宋" w:eastAsia="仿宋" w:cs="仿宋"/>
          <w:b w:val="0"/>
          <w:bCs w:val="0"/>
          <w:color w:val="auto"/>
          <w:sz w:val="24"/>
          <w:szCs w:val="40"/>
          <w:lang w:eastAsia="zh-CN"/>
        </w:rPr>
        <w:t>：</w:t>
      </w:r>
      <w:r>
        <w:rPr>
          <w:rFonts w:hint="eastAsia" w:ascii="仿宋" w:hAnsi="仿宋" w:eastAsia="仿宋" w:cs="仿宋"/>
          <w:b w:val="0"/>
          <w:bCs w:val="0"/>
          <w:color w:val="auto"/>
          <w:sz w:val="24"/>
          <w:szCs w:val="40"/>
        </w:rPr>
        <w:t>对不同的品种和季节进行病虫害消杀，每月进行一次全面预防性消杀，并有完整的消杀记录，无明显病虫枝，病虫危害率不超过5%，单株受害率不超过5%。</w:t>
      </w:r>
    </w:p>
    <w:p w14:paraId="2EF94376">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7、巡查：保洁主管应每天进行巡查，发现的问题及时整改。</w:t>
      </w:r>
    </w:p>
    <w:p w14:paraId="6FEECCA8">
      <w:pPr>
        <w:pStyle w:val="12"/>
        <w:ind w:firstLine="402"/>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（五）特约服务</w:t>
      </w:r>
    </w:p>
    <w:p w14:paraId="2DDED6F5">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1、会议、活动保障服务，提供会前、会中、会后服务；宾客引导及相关讲解服务。</w:t>
      </w:r>
    </w:p>
    <w:p w14:paraId="095886FE">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2、报纸、函件代收代发等。</w:t>
      </w:r>
    </w:p>
    <w:p w14:paraId="34414CD4">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3、民警健康训练中心场地及健身器械日常清洁、归位，设施巡检；基础清洁护理用品的配备（清洁用品由</w:t>
      </w:r>
      <w:r>
        <w:rPr>
          <w:rFonts w:hint="eastAsia" w:ascii="仿宋" w:hAnsi="仿宋" w:eastAsia="仿宋" w:cs="仿宋"/>
          <w:b w:val="0"/>
          <w:bCs w:val="0"/>
          <w:color w:val="auto"/>
          <w:sz w:val="24"/>
          <w:szCs w:val="40"/>
          <w:lang w:val="en-US" w:eastAsia="zh-CN"/>
        </w:rPr>
        <w:t>供应商</w:t>
      </w:r>
      <w:r>
        <w:rPr>
          <w:rFonts w:hint="eastAsia" w:ascii="仿宋" w:hAnsi="仿宋" w:eastAsia="仿宋" w:cs="仿宋"/>
          <w:b w:val="0"/>
          <w:bCs w:val="0"/>
          <w:color w:val="auto"/>
          <w:sz w:val="24"/>
          <w:szCs w:val="40"/>
        </w:rPr>
        <w:t>提供）。</w:t>
      </w:r>
    </w:p>
    <w:p w14:paraId="2ED0081C">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4、所有公共卫生间及宿舍楼宿舍的、部分办公室、日常保洁服务。</w:t>
      </w:r>
    </w:p>
    <w:p w14:paraId="4028CC6F">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5、大楼拟开展工程施工的，涉及水、电、弱电、消防等部位改造碰口的施工方案进行审核，对施工人员进行备案，审核后报警警保科审批。</w:t>
      </w:r>
    </w:p>
    <w:p w14:paraId="3DFC57C0">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6、在重大节日期间做好机关营区内部装扮，方案</w:t>
      </w:r>
      <w:r>
        <w:rPr>
          <w:rFonts w:hint="eastAsia" w:ascii="仿宋" w:hAnsi="仿宋" w:eastAsia="仿宋" w:cs="仿宋"/>
          <w:b w:val="0"/>
          <w:bCs w:val="0"/>
          <w:color w:val="auto"/>
          <w:sz w:val="24"/>
          <w:szCs w:val="40"/>
          <w:lang w:val="en-US" w:eastAsia="zh-CN"/>
        </w:rPr>
        <w:t>应</w:t>
      </w:r>
      <w:r>
        <w:rPr>
          <w:rFonts w:hint="eastAsia" w:ascii="仿宋" w:hAnsi="仿宋" w:eastAsia="仿宋" w:cs="仿宋"/>
          <w:b w:val="0"/>
          <w:bCs w:val="0"/>
          <w:color w:val="auto"/>
          <w:sz w:val="24"/>
          <w:szCs w:val="40"/>
        </w:rPr>
        <w:t>报</w:t>
      </w:r>
      <w:r>
        <w:rPr>
          <w:rFonts w:hint="eastAsia" w:ascii="仿宋" w:hAnsi="仿宋" w:eastAsia="仿宋" w:cs="仿宋"/>
          <w:b w:val="0"/>
          <w:bCs w:val="0"/>
          <w:color w:val="auto"/>
          <w:sz w:val="24"/>
          <w:szCs w:val="40"/>
          <w:lang w:val="en-US" w:eastAsia="zh-CN"/>
        </w:rPr>
        <w:t>采购人</w:t>
      </w:r>
      <w:r>
        <w:rPr>
          <w:rFonts w:hint="eastAsia" w:ascii="仿宋" w:hAnsi="仿宋" w:eastAsia="仿宋" w:cs="仿宋"/>
          <w:b w:val="0"/>
          <w:bCs w:val="0"/>
          <w:color w:val="auto"/>
          <w:sz w:val="24"/>
          <w:szCs w:val="40"/>
        </w:rPr>
        <w:t>审核，所产生的费用由</w:t>
      </w:r>
      <w:r>
        <w:rPr>
          <w:rFonts w:hint="eastAsia" w:ascii="仿宋" w:hAnsi="仿宋" w:eastAsia="仿宋" w:cs="仿宋"/>
          <w:b w:val="0"/>
          <w:bCs w:val="0"/>
          <w:color w:val="auto"/>
          <w:sz w:val="24"/>
          <w:szCs w:val="40"/>
          <w:lang w:val="en-US" w:eastAsia="zh-CN"/>
        </w:rPr>
        <w:t>供应商</w:t>
      </w:r>
      <w:r>
        <w:rPr>
          <w:rFonts w:hint="eastAsia" w:ascii="仿宋" w:hAnsi="仿宋" w:eastAsia="仿宋" w:cs="仿宋"/>
          <w:b w:val="0"/>
          <w:bCs w:val="0"/>
          <w:color w:val="auto"/>
          <w:sz w:val="24"/>
          <w:szCs w:val="40"/>
        </w:rPr>
        <w:t>承担。</w:t>
      </w:r>
    </w:p>
    <w:p w14:paraId="59A9CF34">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7、按照采购人需要提供相应的物品搬运等服务工作。</w:t>
      </w:r>
    </w:p>
    <w:p w14:paraId="5D88B9D9">
      <w:pPr>
        <w:pStyle w:val="12"/>
        <w:ind w:firstLine="402"/>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（六）应急保障服务</w:t>
      </w:r>
    </w:p>
    <w:p w14:paraId="6605A276">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1、建立突发事件（如疫情、防风、防汛、防火、防盗等）24小时应急保障机制，并配备相应日常防疫、防汛、</w:t>
      </w:r>
      <w:r>
        <w:rPr>
          <w:rFonts w:hint="eastAsia" w:ascii="仿宋" w:hAnsi="仿宋" w:eastAsia="仿宋" w:cs="仿宋"/>
          <w:b w:val="0"/>
          <w:bCs w:val="0"/>
          <w:color w:val="auto"/>
          <w:sz w:val="24"/>
          <w:szCs w:val="40"/>
          <w:highlight w:val="none"/>
        </w:rPr>
        <w:t>安全（含棍、棒、叉、盾牌等）</w:t>
      </w:r>
      <w:r>
        <w:rPr>
          <w:rFonts w:hint="eastAsia" w:ascii="仿宋" w:hAnsi="仿宋" w:eastAsia="仿宋" w:cs="仿宋"/>
          <w:b w:val="0"/>
          <w:bCs w:val="0"/>
          <w:color w:val="auto"/>
          <w:sz w:val="24"/>
          <w:szCs w:val="40"/>
        </w:rPr>
        <w:t>必需物资。</w:t>
      </w:r>
    </w:p>
    <w:p w14:paraId="37DA0EFB">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2、对违法事件（防盗、打架斗殴、寻衅滋事等），以及配合与协调有关部门处理重大事故的，完成应急接待及各类应急检查。</w:t>
      </w:r>
    </w:p>
    <w:p w14:paraId="2942B97C">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3、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p>
    <w:p w14:paraId="2A08B837">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4、根据机关大楼隐患排查的结果和实际情况，制定专项预案，包括但不限于：火情火警紧急处理应急预案、紧急疏散应急预案、停水停电应急预案、有限空间救援应急预案、高空作业救援应急预案、恶劣天气应对应急预案等。</w:t>
      </w:r>
    </w:p>
    <w:p w14:paraId="594CD952">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5、应急预案定期培训和演练，组织相关岗位每半年至少开展一次专项应急预案演练；留存培训及演练记录和影像资料，并对预案进行评价，确保与实际情况相结合。</w:t>
      </w:r>
    </w:p>
    <w:p w14:paraId="043D766E">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6、根据需要建立清单或台账，并由专人定期对应急物资进行检查，如有应急物资不足，及时补全，确保能够随时正常使用。</w:t>
      </w:r>
    </w:p>
    <w:p w14:paraId="68B753B8">
      <w:pPr>
        <w:pStyle w:val="12"/>
        <w:ind w:firstLine="402"/>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（七）物业资料档案的管理</w:t>
      </w:r>
    </w:p>
    <w:p w14:paraId="51CA97E2">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1、建立物业信息，准确、及时地对文件资料和服务记录进行归档保存，并确保其物理安全。</w:t>
      </w:r>
    </w:p>
    <w:p w14:paraId="47F7471C">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2、档案和记录齐全，包括但不限于：①采购人建议与投诉等。教育培训和考核记录。保密、思想政治教育培训记录。②房屋维护服务：房屋台账、使用说明、房屋装修、维保记录等。③公用设施设备维护服务：设备台账、设备卡、使用说明、维保记录、巡查记录、设施设备安全运行、设施设备定期巡检、维护保养、维修档案等。④保安服务：监控记录、突发事件演习与处置记录等。⑤环境保洁服务：工作日志、清洁检查表、用品清单、客户反馈表等。⑥绿化服务：清洁整改记录、消杀记录等。⑦特约和其他服务：客户信息、财务明细、合同协议、信报信息登记、大件物品进出登记等。</w:t>
      </w:r>
    </w:p>
    <w:p w14:paraId="11B78167">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3、遵守采购人的信息、档案资料保密要求，未经许可，不得将建筑物平面图等资料转作其他用途或向其他单位、个人提供。</w:t>
      </w:r>
    </w:p>
    <w:p w14:paraId="4CAF4B4D">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4、履约结束后，相关资料交还采购人，采购人按政府采购相关规定存档。</w:t>
      </w:r>
    </w:p>
    <w:p w14:paraId="007F5305">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（1）各种竣工资料（蓝图）；</w:t>
      </w:r>
    </w:p>
    <w:p w14:paraId="6281A488">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（2）设备设施的安装、使用和维护保养等技术资料；</w:t>
      </w:r>
    </w:p>
    <w:p w14:paraId="6C0039D5">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（3）相关验收、接管资料（图、卡、册）；</w:t>
      </w:r>
    </w:p>
    <w:p w14:paraId="21C57158">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（4）物业运行、保养、维修记录；</w:t>
      </w:r>
    </w:p>
    <w:p w14:paraId="2E41CAC3">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（5）物业服务记录；</w:t>
      </w:r>
    </w:p>
    <w:p w14:paraId="480E06B9">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（6）供应商内部行政管理、工作流程及相关合同资料等；</w:t>
      </w:r>
    </w:p>
    <w:p w14:paraId="5F4857F5">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（7）对工程复杂、工程量较大的，在施工结束后，收集竣工图并按照物业资料档案管理要求整理归档。</w:t>
      </w:r>
    </w:p>
    <w:p w14:paraId="0FDAE57D">
      <w:pPr>
        <w:pStyle w:val="12"/>
        <w:ind w:firstLine="400"/>
        <w:rPr>
          <w:rFonts w:hint="eastAsia" w:ascii="仿宋" w:hAnsi="仿宋" w:eastAsia="仿宋" w:cs="仿宋"/>
          <w:b w:val="0"/>
          <w:bCs w:val="0"/>
          <w:color w:val="auto"/>
          <w:sz w:val="24"/>
          <w:szCs w:val="40"/>
        </w:rPr>
      </w:pPr>
      <w:r>
        <w:rPr>
          <w:rFonts w:hint="eastAsia" w:ascii="仿宋" w:hAnsi="仿宋" w:eastAsia="仿宋" w:cs="仿宋"/>
          <w:b w:val="0"/>
          <w:bCs w:val="0"/>
          <w:color w:val="auto"/>
          <w:sz w:val="24"/>
          <w:szCs w:val="40"/>
        </w:rPr>
        <w:t>（8）其他资料。</w:t>
      </w:r>
    </w:p>
    <w:p w14:paraId="57C6F796">
      <w:pPr>
        <w:pStyle w:val="13"/>
        <w:rPr>
          <w:rFonts w:hint="default" w:ascii="仿宋_GB2312" w:hAnsi="仿宋_GB2312" w:eastAsia="仿宋_GB2312" w:cs="仿宋_GB2312"/>
          <w:b w:val="0"/>
          <w:bCs w:val="0"/>
          <w:color w:val="auto"/>
          <w:lang w:eastAsia="zh-CN"/>
        </w:rPr>
      </w:pPr>
      <w:r>
        <w:rPr>
          <w:rFonts w:ascii="仿宋_GB2312" w:hAnsi="仿宋_GB2312" w:eastAsia="仿宋_GB2312" w:cs="仿宋_GB2312"/>
          <w:b w:val="0"/>
          <w:bCs w:val="0"/>
          <w:color w:val="auto"/>
          <w:lang w:eastAsia="zh-CN"/>
        </w:rPr>
        <w:t>附件一：</w:t>
      </w:r>
    </w:p>
    <w:tbl>
      <w:tblPr>
        <w:tblStyle w:val="8"/>
        <w:tblpPr w:leftFromText="180" w:rightFromText="180" w:vertAnchor="text" w:horzAnchor="page" w:tblpXSpec="center" w:tblpY="294"/>
        <w:tblOverlap w:val="never"/>
        <w:tblW w:w="0" w:type="auto"/>
        <w:jc w:val="center"/>
        <w:tblLayout w:type="fixed"/>
        <w:tblCellMar>
          <w:top w:w="0" w:type="dxa"/>
          <w:left w:w="108" w:type="dxa"/>
          <w:bottom w:w="0" w:type="dxa"/>
          <w:right w:w="108" w:type="dxa"/>
        </w:tblCellMar>
      </w:tblPr>
      <w:tblGrid>
        <w:gridCol w:w="761"/>
        <w:gridCol w:w="1028"/>
        <w:gridCol w:w="2154"/>
        <w:gridCol w:w="4495"/>
      </w:tblGrid>
      <w:tr w14:paraId="2DA1A8A5">
        <w:tblPrEx>
          <w:tblCellMar>
            <w:top w:w="0" w:type="dxa"/>
            <w:left w:w="108" w:type="dxa"/>
            <w:bottom w:w="0" w:type="dxa"/>
            <w:right w:w="108" w:type="dxa"/>
          </w:tblCellMar>
        </w:tblPrEx>
        <w:trPr>
          <w:trHeight w:val="634" w:hRule="atLeast"/>
          <w:jc w:val="center"/>
        </w:trPr>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69F2B">
            <w:pPr>
              <w:pStyle w:val="13"/>
              <w:jc w:val="center"/>
              <w:rPr>
                <w:rFonts w:hint="default" w:ascii="仿宋_GB2312" w:hAnsi="仿宋_GB2312" w:eastAsia="仿宋_GB2312" w:cs="仿宋_GB2312"/>
                <w:b/>
                <w:bCs/>
                <w:color w:val="auto"/>
                <w:lang w:eastAsia="zh-CN"/>
              </w:rPr>
            </w:pPr>
            <w:r>
              <w:rPr>
                <w:rFonts w:ascii="仿宋_GB2312" w:hAnsi="仿宋_GB2312" w:eastAsia="仿宋_GB2312" w:cs="仿宋_GB2312"/>
                <w:b/>
                <w:bCs/>
                <w:color w:val="auto"/>
                <w:lang w:eastAsia="zh-CN"/>
              </w:rPr>
              <w:t>序号</w:t>
            </w:r>
          </w:p>
        </w:tc>
        <w:tc>
          <w:tcPr>
            <w:tcW w:w="1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A7BD4">
            <w:pPr>
              <w:pStyle w:val="13"/>
              <w:jc w:val="center"/>
              <w:rPr>
                <w:rFonts w:hint="default" w:ascii="仿宋_GB2312" w:hAnsi="仿宋_GB2312" w:eastAsia="仿宋_GB2312" w:cs="仿宋_GB2312"/>
                <w:b/>
                <w:bCs/>
                <w:color w:val="auto"/>
                <w:lang w:eastAsia="zh-CN"/>
              </w:rPr>
            </w:pPr>
            <w:r>
              <w:rPr>
                <w:rFonts w:ascii="仿宋_GB2312" w:hAnsi="仿宋_GB2312" w:eastAsia="仿宋_GB2312" w:cs="仿宋_GB2312"/>
                <w:b/>
                <w:bCs/>
                <w:color w:val="auto"/>
                <w:lang w:eastAsia="zh-CN"/>
              </w:rPr>
              <w:t>岗位</w:t>
            </w:r>
          </w:p>
        </w:tc>
        <w:tc>
          <w:tcPr>
            <w:tcW w:w="21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E5944">
            <w:pPr>
              <w:pStyle w:val="13"/>
              <w:jc w:val="center"/>
              <w:rPr>
                <w:rFonts w:hint="default" w:ascii="仿宋_GB2312" w:hAnsi="仿宋_GB2312" w:eastAsia="仿宋_GB2312" w:cs="仿宋_GB2312"/>
                <w:b/>
                <w:bCs/>
                <w:color w:val="auto"/>
                <w:lang w:eastAsia="zh-CN"/>
              </w:rPr>
            </w:pPr>
            <w:r>
              <w:rPr>
                <w:rFonts w:ascii="仿宋_GB2312" w:hAnsi="仿宋_GB2312" w:eastAsia="仿宋_GB2312" w:cs="仿宋_GB2312"/>
                <w:b/>
                <w:bCs/>
                <w:color w:val="auto"/>
                <w:lang w:eastAsia="zh-CN"/>
              </w:rPr>
              <w:t>岗位要求</w:t>
            </w:r>
          </w:p>
        </w:tc>
        <w:tc>
          <w:tcPr>
            <w:tcW w:w="4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49825">
            <w:pPr>
              <w:pStyle w:val="13"/>
              <w:jc w:val="center"/>
              <w:rPr>
                <w:rFonts w:hint="default" w:ascii="仿宋_GB2312" w:hAnsi="仿宋_GB2312" w:eastAsia="仿宋_GB2312" w:cs="仿宋_GB2312"/>
                <w:b/>
                <w:bCs/>
                <w:color w:val="auto"/>
                <w:lang w:eastAsia="zh-CN"/>
              </w:rPr>
            </w:pPr>
            <w:r>
              <w:rPr>
                <w:rFonts w:ascii="仿宋_GB2312" w:hAnsi="仿宋_GB2312" w:eastAsia="仿宋_GB2312" w:cs="仿宋_GB2312"/>
                <w:b/>
                <w:bCs/>
                <w:color w:val="auto"/>
                <w:lang w:eastAsia="zh-CN"/>
              </w:rPr>
              <w:t>服务标准</w:t>
            </w:r>
          </w:p>
        </w:tc>
      </w:tr>
      <w:tr w14:paraId="2179CBEC">
        <w:tblPrEx>
          <w:tblCellMar>
            <w:top w:w="0" w:type="dxa"/>
            <w:left w:w="108" w:type="dxa"/>
            <w:bottom w:w="0" w:type="dxa"/>
            <w:right w:w="108" w:type="dxa"/>
          </w:tblCellMar>
        </w:tblPrEx>
        <w:trPr>
          <w:trHeight w:val="3134" w:hRule="atLeast"/>
          <w:jc w:val="center"/>
        </w:trPr>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17371">
            <w:pPr>
              <w:pStyle w:val="13"/>
              <w:rPr>
                <w:rFonts w:hint="default" w:ascii="仿宋_GB2312" w:hAnsi="仿宋_GB2312" w:eastAsia="仿宋_GB2312" w:cs="仿宋_GB2312"/>
                <w:color w:val="auto"/>
                <w:lang w:eastAsia="zh-CN"/>
              </w:rPr>
            </w:pPr>
            <w:r>
              <w:rPr>
                <w:rFonts w:ascii="仿宋_GB2312" w:hAnsi="仿宋_GB2312" w:eastAsia="仿宋_GB2312" w:cs="仿宋_GB2312"/>
                <w:color w:val="auto"/>
                <w:lang w:eastAsia="zh-CN"/>
              </w:rPr>
              <w:t>1</w:t>
            </w:r>
          </w:p>
        </w:tc>
        <w:tc>
          <w:tcPr>
            <w:tcW w:w="1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9A424">
            <w:pPr>
              <w:pStyle w:val="13"/>
              <w:jc w:val="center"/>
              <w:rPr>
                <w:rFonts w:hint="default" w:ascii="仿宋_GB2312" w:hAnsi="仿宋_GB2312" w:eastAsia="仿宋_GB2312" w:cs="仿宋_GB2312"/>
                <w:color w:val="auto"/>
                <w:lang w:eastAsia="zh-CN"/>
              </w:rPr>
            </w:pPr>
            <w:r>
              <w:rPr>
                <w:rFonts w:ascii="仿宋_GB2312" w:hAnsi="仿宋_GB2312" w:eastAsia="仿宋_GB2312" w:cs="仿宋_GB2312"/>
                <w:color w:val="auto"/>
                <w:lang w:eastAsia="zh-CN"/>
              </w:rPr>
              <w:t>项目经理</w:t>
            </w:r>
          </w:p>
        </w:tc>
        <w:tc>
          <w:tcPr>
            <w:tcW w:w="21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DDFEE">
            <w:pPr>
              <w:pStyle w:val="13"/>
              <w:rPr>
                <w:rFonts w:hint="default" w:ascii="仿宋_GB2312" w:hAnsi="仿宋_GB2312" w:eastAsia="仿宋_GB2312" w:cs="仿宋_GB2312"/>
                <w:color w:val="auto"/>
                <w:lang w:eastAsia="zh-CN"/>
              </w:rPr>
            </w:pPr>
            <w:r>
              <w:rPr>
                <w:rFonts w:ascii="仿宋_GB2312" w:hAnsi="仿宋_GB2312" w:eastAsia="仿宋_GB2312" w:cs="仿宋_GB2312"/>
                <w:color w:val="auto"/>
                <w:lang w:eastAsia="zh-CN"/>
              </w:rPr>
              <w:t>1</w:t>
            </w:r>
            <w:r>
              <w:rPr>
                <w:rFonts w:hint="eastAsia" w:ascii="仿宋_GB2312" w:hAnsi="仿宋_GB2312" w:eastAsia="仿宋_GB2312" w:cs="仿宋_GB2312"/>
                <w:color w:val="auto"/>
                <w:lang w:eastAsia="zh-CN"/>
              </w:rPr>
              <w:t>、</w:t>
            </w:r>
            <w:r>
              <w:rPr>
                <w:rFonts w:ascii="仿宋_GB2312" w:hAnsi="仿宋_GB2312" w:eastAsia="仿宋_GB2312" w:cs="仿宋_GB2312"/>
                <w:color w:val="auto"/>
                <w:lang w:eastAsia="zh-CN"/>
              </w:rPr>
              <w:t>本科及以上学历，年龄45周岁以下；</w:t>
            </w:r>
          </w:p>
          <w:p w14:paraId="7EDD9D6E">
            <w:pPr>
              <w:pStyle w:val="13"/>
              <w:rPr>
                <w:rFonts w:hint="default" w:ascii="仿宋_GB2312" w:hAnsi="仿宋_GB2312" w:eastAsia="仿宋_GB2312" w:cs="仿宋_GB2312"/>
                <w:color w:val="auto"/>
                <w:lang w:eastAsia="zh-CN"/>
              </w:rPr>
            </w:pPr>
            <w:r>
              <w:rPr>
                <w:rFonts w:ascii="仿宋_GB2312" w:hAnsi="仿宋_GB2312" w:eastAsia="仿宋_GB2312" w:cs="仿宋_GB2312"/>
                <w:color w:val="auto"/>
                <w:lang w:eastAsia="zh-CN"/>
              </w:rPr>
              <w:t>2</w:t>
            </w:r>
            <w:r>
              <w:rPr>
                <w:rFonts w:hint="eastAsia" w:ascii="仿宋_GB2312" w:hAnsi="仿宋_GB2312" w:eastAsia="仿宋_GB2312" w:cs="仿宋_GB2312"/>
                <w:color w:val="auto"/>
                <w:lang w:eastAsia="zh-CN"/>
              </w:rPr>
              <w:t>、</w:t>
            </w:r>
            <w:r>
              <w:rPr>
                <w:rFonts w:hint="eastAsia" w:ascii="仿宋_GB2312" w:hAnsi="仿宋_GB2312" w:eastAsia="仿宋_GB2312" w:cs="仿宋_GB2312"/>
                <w:color w:val="auto"/>
                <w:lang w:val="en-US" w:eastAsia="zh-CN"/>
              </w:rPr>
              <w:t>两</w:t>
            </w:r>
            <w:r>
              <w:rPr>
                <w:rFonts w:ascii="仿宋_GB2312" w:hAnsi="仿宋_GB2312" w:eastAsia="仿宋_GB2312" w:cs="仿宋_GB2312"/>
                <w:color w:val="auto"/>
                <w:lang w:eastAsia="zh-CN"/>
              </w:rPr>
              <w:t>年以上相关业务管理经验；</w:t>
            </w:r>
          </w:p>
          <w:p w14:paraId="0D55B71B">
            <w:pPr>
              <w:pStyle w:val="13"/>
              <w:rPr>
                <w:rFonts w:hint="default" w:ascii="仿宋_GB2312" w:hAnsi="仿宋_GB2312" w:eastAsia="仿宋_GB2312" w:cs="仿宋_GB2312"/>
                <w:color w:val="auto"/>
                <w:lang w:eastAsia="zh-CN"/>
              </w:rPr>
            </w:pPr>
            <w:r>
              <w:rPr>
                <w:rFonts w:ascii="仿宋_GB2312" w:hAnsi="仿宋_GB2312" w:eastAsia="仿宋_GB2312" w:cs="仿宋_GB2312"/>
                <w:color w:val="auto"/>
                <w:lang w:eastAsia="zh-CN"/>
              </w:rPr>
              <w:t>3</w:t>
            </w:r>
            <w:r>
              <w:rPr>
                <w:rFonts w:hint="eastAsia" w:ascii="仿宋_GB2312" w:hAnsi="仿宋_GB2312" w:eastAsia="仿宋_GB2312" w:cs="仿宋_GB2312"/>
                <w:color w:val="auto"/>
                <w:lang w:eastAsia="zh-CN"/>
              </w:rPr>
              <w:t>、</w:t>
            </w:r>
            <w:r>
              <w:rPr>
                <w:rFonts w:ascii="仿宋_GB2312" w:hAnsi="仿宋_GB2312" w:eastAsia="仿宋_GB2312" w:cs="仿宋_GB2312"/>
                <w:color w:val="auto"/>
                <w:lang w:eastAsia="zh-CN"/>
              </w:rPr>
              <w:t>有良好沟通能力；</w:t>
            </w:r>
          </w:p>
        </w:tc>
        <w:tc>
          <w:tcPr>
            <w:tcW w:w="4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EBDAF">
            <w:pPr>
              <w:pStyle w:val="13"/>
              <w:rPr>
                <w:rFonts w:hint="default" w:ascii="仿宋_GB2312" w:hAnsi="仿宋_GB2312" w:eastAsia="仿宋_GB2312" w:cs="仿宋_GB2312"/>
                <w:color w:val="auto"/>
                <w:lang w:eastAsia="zh-CN"/>
              </w:rPr>
            </w:pPr>
            <w:r>
              <w:rPr>
                <w:rFonts w:hint="eastAsia" w:ascii="仿宋_GB2312" w:hAnsi="仿宋_GB2312" w:eastAsia="仿宋_GB2312" w:cs="仿宋_GB2312"/>
                <w:color w:val="auto"/>
                <w:lang w:val="en-US" w:eastAsia="zh-CN"/>
              </w:rPr>
              <w:t>1、</w:t>
            </w:r>
            <w:r>
              <w:rPr>
                <w:rFonts w:ascii="仿宋_GB2312" w:hAnsi="仿宋_GB2312" w:eastAsia="仿宋_GB2312" w:cs="仿宋_GB2312"/>
                <w:color w:val="auto"/>
                <w:lang w:eastAsia="zh-CN"/>
              </w:rPr>
              <w:t>负责统筹项目整体物业管理工作，制定年度运营方案；对项目整体服务质量负责；</w:t>
            </w:r>
          </w:p>
          <w:p w14:paraId="2B80EB44">
            <w:pPr>
              <w:pStyle w:val="13"/>
              <w:rPr>
                <w:rFonts w:hint="default" w:ascii="仿宋_GB2312" w:hAnsi="仿宋_GB2312" w:eastAsia="仿宋_GB2312" w:cs="仿宋_GB2312"/>
                <w:color w:val="auto"/>
                <w:lang w:eastAsia="zh-CN"/>
              </w:rPr>
            </w:pPr>
            <w:r>
              <w:rPr>
                <w:rFonts w:ascii="仿宋_GB2312" w:hAnsi="仿宋_GB2312" w:eastAsia="仿宋_GB2312" w:cs="仿宋_GB2312"/>
                <w:color w:val="auto"/>
                <w:lang w:eastAsia="zh-CN"/>
              </w:rPr>
              <w:t>2</w:t>
            </w:r>
            <w:r>
              <w:rPr>
                <w:rFonts w:hint="eastAsia" w:ascii="仿宋_GB2312" w:hAnsi="仿宋_GB2312" w:eastAsia="仿宋_GB2312" w:cs="仿宋_GB2312"/>
                <w:color w:val="auto"/>
                <w:lang w:eastAsia="zh-CN"/>
              </w:rPr>
              <w:t>、</w:t>
            </w:r>
            <w:r>
              <w:rPr>
                <w:rFonts w:ascii="仿宋_GB2312" w:hAnsi="仿宋_GB2312" w:eastAsia="仿宋_GB2312" w:cs="仿宋_GB2312"/>
                <w:color w:val="auto"/>
                <w:lang w:eastAsia="zh-CN"/>
              </w:rPr>
              <w:t>对接甲方，定期汇报、响应需求、处理投诉，保障合同履约；</w:t>
            </w:r>
          </w:p>
          <w:p w14:paraId="535E5CAD">
            <w:pPr>
              <w:pStyle w:val="13"/>
              <w:rPr>
                <w:rFonts w:hint="default" w:ascii="仿宋_GB2312" w:hAnsi="仿宋_GB2312" w:eastAsia="仿宋_GB2312" w:cs="仿宋_GB2312"/>
                <w:color w:val="auto"/>
                <w:lang w:eastAsia="zh-CN"/>
              </w:rPr>
            </w:pPr>
            <w:r>
              <w:rPr>
                <w:rFonts w:ascii="仿宋_GB2312" w:hAnsi="仿宋_GB2312" w:eastAsia="仿宋_GB2312" w:cs="仿宋_GB2312"/>
                <w:color w:val="auto"/>
                <w:lang w:eastAsia="zh-CN"/>
              </w:rPr>
              <w:t>3</w:t>
            </w:r>
            <w:r>
              <w:rPr>
                <w:rFonts w:hint="eastAsia" w:ascii="仿宋_GB2312" w:hAnsi="仿宋_GB2312" w:eastAsia="仿宋_GB2312" w:cs="仿宋_GB2312"/>
                <w:color w:val="auto"/>
                <w:lang w:eastAsia="zh-CN"/>
              </w:rPr>
              <w:t>、</w:t>
            </w:r>
            <w:r>
              <w:rPr>
                <w:rFonts w:ascii="仿宋_GB2312" w:hAnsi="仿宋_GB2312" w:eastAsia="仿宋_GB2312" w:cs="仿宋_GB2312"/>
                <w:color w:val="auto"/>
                <w:lang w:eastAsia="zh-CN"/>
              </w:rPr>
              <w:t>安排项目各条线工作，指导保洁、工程、保安</w:t>
            </w:r>
            <w:r>
              <w:rPr>
                <w:rFonts w:hint="eastAsia" w:ascii="仿宋_GB2312" w:hAnsi="仿宋_GB2312" w:eastAsia="仿宋_GB2312" w:cs="仿宋_GB2312"/>
                <w:color w:val="auto"/>
                <w:lang w:val="en-US" w:eastAsia="zh-CN"/>
              </w:rPr>
              <w:t>制定</w:t>
            </w:r>
            <w:r>
              <w:rPr>
                <w:rFonts w:ascii="仿宋_GB2312" w:hAnsi="仿宋_GB2312" w:eastAsia="仿宋_GB2312" w:cs="仿宋_GB2312"/>
                <w:color w:val="auto"/>
                <w:lang w:eastAsia="zh-CN"/>
              </w:rPr>
              <w:t>年度工作计划并实施。</w:t>
            </w:r>
          </w:p>
          <w:p w14:paraId="2124E475">
            <w:pPr>
              <w:pStyle w:val="13"/>
              <w:rPr>
                <w:rFonts w:hint="default" w:ascii="仿宋_GB2312" w:hAnsi="仿宋_GB2312" w:eastAsia="仿宋_GB2312" w:cs="仿宋_GB2312"/>
                <w:color w:val="auto"/>
                <w:lang w:eastAsia="zh-CN"/>
              </w:rPr>
            </w:pPr>
            <w:r>
              <w:rPr>
                <w:rFonts w:ascii="仿宋_GB2312" w:hAnsi="仿宋_GB2312" w:eastAsia="仿宋_GB2312" w:cs="仿宋_GB2312"/>
                <w:color w:val="auto"/>
                <w:lang w:eastAsia="zh-CN"/>
              </w:rPr>
              <w:t>4</w:t>
            </w:r>
            <w:r>
              <w:rPr>
                <w:rFonts w:hint="eastAsia" w:ascii="仿宋_GB2312" w:hAnsi="仿宋_GB2312" w:eastAsia="仿宋_GB2312" w:cs="仿宋_GB2312"/>
                <w:color w:val="auto"/>
                <w:lang w:eastAsia="zh-CN"/>
              </w:rPr>
              <w:t>、</w:t>
            </w:r>
            <w:r>
              <w:rPr>
                <w:rFonts w:ascii="仿宋_GB2312" w:hAnsi="仿宋_GB2312" w:eastAsia="仿宋_GB2312" w:cs="仿宋_GB2312"/>
                <w:color w:val="auto"/>
                <w:lang w:eastAsia="zh-CN"/>
              </w:rPr>
              <w:t>应急处置：制定火灾、极端天气、设施故障等预案，快速响应并上报突发事件。</w:t>
            </w:r>
          </w:p>
        </w:tc>
      </w:tr>
      <w:tr w14:paraId="5C4706E8">
        <w:tblPrEx>
          <w:tblCellMar>
            <w:top w:w="0" w:type="dxa"/>
            <w:left w:w="108" w:type="dxa"/>
            <w:bottom w:w="0" w:type="dxa"/>
            <w:right w:w="108" w:type="dxa"/>
          </w:tblCellMar>
        </w:tblPrEx>
        <w:trPr>
          <w:trHeight w:val="5634" w:hRule="atLeast"/>
          <w:jc w:val="center"/>
        </w:trPr>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16792">
            <w:pPr>
              <w:pStyle w:val="13"/>
              <w:rPr>
                <w:rFonts w:hint="default" w:ascii="仿宋_GB2312" w:hAnsi="仿宋_GB2312" w:eastAsia="仿宋_GB2312" w:cs="仿宋_GB2312"/>
                <w:color w:val="auto"/>
                <w:lang w:eastAsia="zh-CN"/>
              </w:rPr>
            </w:pPr>
            <w:r>
              <w:rPr>
                <w:rFonts w:ascii="仿宋_GB2312" w:hAnsi="仿宋_GB2312" w:eastAsia="仿宋_GB2312" w:cs="仿宋_GB2312"/>
                <w:color w:val="auto"/>
                <w:lang w:eastAsia="zh-CN"/>
              </w:rPr>
              <w:t>2</w:t>
            </w:r>
          </w:p>
        </w:tc>
        <w:tc>
          <w:tcPr>
            <w:tcW w:w="1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ED170">
            <w:pPr>
              <w:pStyle w:val="13"/>
              <w:jc w:val="center"/>
              <w:rPr>
                <w:rFonts w:hint="default" w:ascii="仿宋_GB2312" w:hAnsi="仿宋_GB2312" w:eastAsia="仿宋_GB2312" w:cs="仿宋_GB2312"/>
                <w:color w:val="auto"/>
                <w:lang w:eastAsia="zh-CN"/>
              </w:rPr>
            </w:pPr>
            <w:r>
              <w:rPr>
                <w:rFonts w:ascii="仿宋_GB2312" w:hAnsi="仿宋_GB2312" w:eastAsia="仿宋_GB2312" w:cs="仿宋_GB2312"/>
                <w:color w:val="auto"/>
                <w:lang w:eastAsia="zh-CN"/>
              </w:rPr>
              <w:t>工程人员</w:t>
            </w:r>
          </w:p>
        </w:tc>
        <w:tc>
          <w:tcPr>
            <w:tcW w:w="21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3B939">
            <w:pPr>
              <w:pStyle w:val="13"/>
              <w:rPr>
                <w:rFonts w:hint="default" w:ascii="仿宋_GB2312" w:hAnsi="仿宋_GB2312" w:eastAsia="仿宋_GB2312" w:cs="仿宋_GB2312"/>
                <w:color w:val="auto"/>
                <w:lang w:eastAsia="zh-CN"/>
              </w:rPr>
            </w:pPr>
            <w:r>
              <w:rPr>
                <w:rFonts w:ascii="仿宋_GB2312" w:hAnsi="仿宋_GB2312" w:eastAsia="仿宋_GB2312" w:cs="仿宋_GB2312"/>
                <w:color w:val="auto"/>
                <w:lang w:eastAsia="zh-CN"/>
              </w:rPr>
              <w:t>1</w:t>
            </w:r>
            <w:r>
              <w:rPr>
                <w:rFonts w:hint="eastAsia" w:ascii="仿宋_GB2312" w:hAnsi="仿宋_GB2312" w:eastAsia="仿宋_GB2312" w:cs="仿宋_GB2312"/>
                <w:color w:val="auto"/>
                <w:lang w:eastAsia="zh-CN"/>
              </w:rPr>
              <w:t>、</w:t>
            </w:r>
            <w:r>
              <w:rPr>
                <w:rFonts w:ascii="仿宋_GB2312" w:hAnsi="仿宋_GB2312" w:eastAsia="仿宋_GB2312" w:cs="仿宋_GB2312"/>
                <w:color w:val="auto"/>
                <w:lang w:eastAsia="zh-CN"/>
              </w:rPr>
              <w:t>具备专业系统设备的运行、维护、维修管理工作，具有专业管理经验；</w:t>
            </w:r>
          </w:p>
          <w:p w14:paraId="170B242E">
            <w:pPr>
              <w:pStyle w:val="13"/>
              <w:rPr>
                <w:rFonts w:hint="default" w:ascii="仿宋_GB2312" w:hAnsi="仿宋_GB2312" w:eastAsia="仿宋_GB2312" w:cs="仿宋_GB2312"/>
                <w:color w:val="auto"/>
                <w:lang w:eastAsia="zh-CN"/>
              </w:rPr>
            </w:pPr>
            <w:r>
              <w:rPr>
                <w:rFonts w:ascii="仿宋_GB2312" w:hAnsi="仿宋_GB2312" w:eastAsia="仿宋_GB2312" w:cs="仿宋_GB2312"/>
                <w:color w:val="auto"/>
                <w:lang w:eastAsia="zh-CN"/>
              </w:rPr>
              <w:t>2</w:t>
            </w:r>
            <w:r>
              <w:rPr>
                <w:rFonts w:hint="eastAsia" w:ascii="仿宋_GB2312" w:hAnsi="仿宋_GB2312" w:eastAsia="仿宋_GB2312" w:cs="仿宋_GB2312"/>
                <w:color w:val="auto"/>
                <w:lang w:eastAsia="zh-CN"/>
              </w:rPr>
              <w:t>、</w:t>
            </w:r>
            <w:r>
              <w:rPr>
                <w:rFonts w:ascii="仿宋_GB2312" w:hAnsi="仿宋_GB2312" w:eastAsia="仿宋_GB2312" w:cs="仿宋_GB2312"/>
                <w:color w:val="auto"/>
                <w:lang w:eastAsia="zh-CN"/>
              </w:rPr>
              <w:t>管理过类似项目的配套设施运维工作；熟悉设备设施管理维护制度、养护标准及流程，制定设备应急措施和节能运行技术；</w:t>
            </w:r>
          </w:p>
          <w:p w14:paraId="0F2A57BA">
            <w:pPr>
              <w:pStyle w:val="13"/>
              <w:rPr>
                <w:rFonts w:hint="default" w:ascii="仿宋_GB2312" w:hAnsi="仿宋_GB2312" w:eastAsia="仿宋_GB2312" w:cs="仿宋_GB2312"/>
                <w:color w:val="auto"/>
                <w:lang w:eastAsia="zh-CN"/>
              </w:rPr>
            </w:pPr>
            <w:r>
              <w:rPr>
                <w:rFonts w:ascii="仿宋_GB2312" w:hAnsi="仿宋_GB2312" w:eastAsia="仿宋_GB2312" w:cs="仿宋_GB2312"/>
                <w:color w:val="auto"/>
                <w:lang w:eastAsia="zh-CN"/>
              </w:rPr>
              <w:t>3</w:t>
            </w:r>
            <w:r>
              <w:rPr>
                <w:rFonts w:hint="eastAsia" w:ascii="仿宋_GB2312" w:hAnsi="仿宋_GB2312" w:eastAsia="仿宋_GB2312" w:cs="仿宋_GB2312"/>
                <w:color w:val="auto"/>
                <w:lang w:eastAsia="zh-CN"/>
              </w:rPr>
              <w:t>、</w:t>
            </w:r>
            <w:r>
              <w:rPr>
                <w:rFonts w:ascii="仿宋_GB2312" w:hAnsi="仿宋_GB2312" w:eastAsia="仿宋_GB2312" w:cs="仿宋_GB2312"/>
                <w:color w:val="auto"/>
                <w:lang w:eastAsia="zh-CN"/>
              </w:rPr>
              <w:t>年龄60以下，具有专业技术证书及操作、维修经验。特殊工种需要有特种操作证。</w:t>
            </w:r>
          </w:p>
        </w:tc>
        <w:tc>
          <w:tcPr>
            <w:tcW w:w="4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2BCB5">
            <w:pPr>
              <w:pStyle w:val="13"/>
              <w:rPr>
                <w:rFonts w:hint="default" w:ascii="仿宋_GB2312" w:hAnsi="仿宋_GB2312" w:eastAsia="仿宋_GB2312" w:cs="仿宋_GB2312"/>
                <w:color w:val="auto"/>
                <w:lang w:eastAsia="zh-CN"/>
              </w:rPr>
            </w:pPr>
            <w:r>
              <w:rPr>
                <w:rFonts w:ascii="仿宋_GB2312" w:hAnsi="仿宋_GB2312" w:eastAsia="仿宋_GB2312" w:cs="仿宋_GB2312"/>
                <w:color w:val="auto"/>
                <w:lang w:eastAsia="zh-CN"/>
              </w:rPr>
              <w:t>1.建立“1分钟响应，15分钟到场，急事即办”的快速响应机制。</w:t>
            </w:r>
          </w:p>
          <w:p w14:paraId="72CE4B01">
            <w:pPr>
              <w:pStyle w:val="13"/>
              <w:rPr>
                <w:rFonts w:hint="default" w:ascii="仿宋_GB2312" w:hAnsi="仿宋_GB2312" w:eastAsia="仿宋_GB2312" w:cs="仿宋_GB2312"/>
                <w:color w:val="auto"/>
                <w:lang w:eastAsia="zh-CN"/>
              </w:rPr>
            </w:pPr>
            <w:r>
              <w:rPr>
                <w:rFonts w:ascii="仿宋_GB2312" w:hAnsi="仿宋_GB2312" w:eastAsia="仿宋_GB2312" w:cs="仿宋_GB2312"/>
                <w:color w:val="auto"/>
                <w:lang w:eastAsia="zh-CN"/>
              </w:rPr>
              <w:t>2.提供24小时紧急维修热线，普通维修任务完成率100%；</w:t>
            </w:r>
          </w:p>
          <w:p w14:paraId="3D56F6BC">
            <w:pPr>
              <w:pStyle w:val="13"/>
              <w:rPr>
                <w:rFonts w:hint="default" w:ascii="仿宋_GB2312" w:hAnsi="仿宋_GB2312" w:eastAsia="仿宋_GB2312" w:cs="仿宋_GB2312"/>
                <w:color w:val="auto"/>
                <w:lang w:eastAsia="zh-CN"/>
              </w:rPr>
            </w:pPr>
            <w:r>
              <w:rPr>
                <w:rFonts w:ascii="仿宋_GB2312" w:hAnsi="仿宋_GB2312" w:eastAsia="仿宋_GB2312" w:cs="仿宋_GB2312"/>
                <w:color w:val="auto"/>
                <w:lang w:eastAsia="zh-CN"/>
              </w:rPr>
              <w:t>3.实行24小时专人值守制度，坚守岗位、不脱岗不睡岗；</w:t>
            </w:r>
          </w:p>
          <w:p w14:paraId="4CAE28C2">
            <w:pPr>
              <w:pStyle w:val="13"/>
              <w:rPr>
                <w:rFonts w:hint="default" w:ascii="仿宋_GB2312" w:hAnsi="仿宋_GB2312" w:eastAsia="仿宋_GB2312" w:cs="仿宋_GB2312"/>
                <w:color w:val="auto"/>
                <w:lang w:eastAsia="zh-CN"/>
              </w:rPr>
            </w:pPr>
            <w:r>
              <w:rPr>
                <w:rFonts w:ascii="仿宋_GB2312" w:hAnsi="仿宋_GB2312" w:eastAsia="仿宋_GB2312" w:cs="仿宋_GB2312"/>
                <w:color w:val="auto"/>
                <w:lang w:eastAsia="zh-CN"/>
              </w:rPr>
              <w:t>4.依据各设备、以及设备所在机房的功能及特点，建立各项相应的运行管理制度；</w:t>
            </w:r>
          </w:p>
          <w:p w14:paraId="54B0DA81">
            <w:pPr>
              <w:pStyle w:val="13"/>
              <w:rPr>
                <w:rFonts w:hint="default" w:ascii="仿宋_GB2312" w:hAnsi="仿宋_GB2312" w:eastAsia="仿宋_GB2312" w:cs="仿宋_GB2312"/>
                <w:color w:val="auto"/>
                <w:lang w:eastAsia="zh-CN"/>
              </w:rPr>
            </w:pPr>
            <w:r>
              <w:rPr>
                <w:rFonts w:ascii="仿宋_GB2312" w:hAnsi="仿宋_GB2312" w:eastAsia="仿宋_GB2312" w:cs="仿宋_GB2312"/>
                <w:color w:val="auto"/>
                <w:lang w:eastAsia="zh-CN"/>
              </w:rPr>
              <w:t>5.重要设备及主要附属设备应建立相应的设备运行记录。</w:t>
            </w:r>
          </w:p>
          <w:p w14:paraId="7EC0B1C9">
            <w:pPr>
              <w:pStyle w:val="13"/>
              <w:rPr>
                <w:rFonts w:hint="default" w:ascii="仿宋_GB2312" w:hAnsi="仿宋_GB2312" w:eastAsia="仿宋_GB2312" w:cs="仿宋_GB2312"/>
                <w:color w:val="auto"/>
                <w:lang w:eastAsia="zh-CN"/>
              </w:rPr>
            </w:pPr>
            <w:r>
              <w:rPr>
                <w:rFonts w:ascii="仿宋_GB2312" w:hAnsi="仿宋_GB2312" w:eastAsia="仿宋_GB2312" w:cs="仿宋_GB2312"/>
                <w:color w:val="auto"/>
                <w:lang w:eastAsia="zh-CN"/>
              </w:rPr>
              <w:t>6.综合素质高，能够独立完成日常工作中的各类小修。</w:t>
            </w:r>
          </w:p>
        </w:tc>
      </w:tr>
      <w:tr w14:paraId="5873CC71">
        <w:tblPrEx>
          <w:tblCellMar>
            <w:top w:w="0" w:type="dxa"/>
            <w:left w:w="108" w:type="dxa"/>
            <w:bottom w:w="0" w:type="dxa"/>
            <w:right w:w="108" w:type="dxa"/>
          </w:tblCellMar>
        </w:tblPrEx>
        <w:trPr>
          <w:trHeight w:val="2822" w:hRule="atLeast"/>
          <w:jc w:val="center"/>
        </w:trPr>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C63BF">
            <w:pPr>
              <w:pStyle w:val="13"/>
              <w:rPr>
                <w:rFonts w:hint="default" w:ascii="仿宋_GB2312" w:hAnsi="仿宋_GB2312" w:eastAsia="仿宋_GB2312" w:cs="仿宋_GB2312"/>
                <w:color w:val="auto"/>
                <w:lang w:eastAsia="zh-CN"/>
              </w:rPr>
            </w:pPr>
            <w:r>
              <w:rPr>
                <w:rFonts w:ascii="仿宋_GB2312" w:hAnsi="仿宋_GB2312" w:eastAsia="仿宋_GB2312" w:cs="仿宋_GB2312"/>
                <w:color w:val="auto"/>
                <w:lang w:eastAsia="zh-CN"/>
              </w:rPr>
              <w:t>3</w:t>
            </w:r>
          </w:p>
        </w:tc>
        <w:tc>
          <w:tcPr>
            <w:tcW w:w="1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15C26">
            <w:pPr>
              <w:pStyle w:val="13"/>
              <w:jc w:val="center"/>
              <w:rPr>
                <w:rFonts w:hint="default" w:ascii="仿宋_GB2312" w:hAnsi="仿宋_GB2312" w:eastAsia="仿宋_GB2312" w:cs="仿宋_GB2312"/>
                <w:color w:val="auto"/>
                <w:lang w:eastAsia="zh-CN"/>
              </w:rPr>
            </w:pPr>
            <w:r>
              <w:rPr>
                <w:rFonts w:ascii="仿宋_GB2312" w:hAnsi="仿宋_GB2312" w:eastAsia="仿宋_GB2312" w:cs="仿宋_GB2312"/>
                <w:color w:val="auto"/>
                <w:lang w:eastAsia="zh-CN"/>
              </w:rPr>
              <w:t>会服人员</w:t>
            </w:r>
          </w:p>
        </w:tc>
        <w:tc>
          <w:tcPr>
            <w:tcW w:w="21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0834A6">
            <w:pPr>
              <w:pStyle w:val="13"/>
              <w:rPr>
                <w:rFonts w:hint="default" w:ascii="仿宋_GB2312" w:hAnsi="仿宋_GB2312" w:eastAsia="仿宋_GB2312" w:cs="仿宋_GB2312"/>
                <w:color w:val="auto"/>
                <w:lang w:eastAsia="zh-CN"/>
              </w:rPr>
            </w:pPr>
            <w:r>
              <w:rPr>
                <w:rFonts w:ascii="仿宋_GB2312" w:hAnsi="仿宋_GB2312" w:eastAsia="仿宋_GB2312" w:cs="仿宋_GB2312"/>
                <w:color w:val="auto"/>
                <w:lang w:eastAsia="zh-CN"/>
              </w:rPr>
              <w:t>1</w:t>
            </w:r>
            <w:r>
              <w:rPr>
                <w:rFonts w:hint="eastAsia" w:ascii="仿宋_GB2312" w:hAnsi="仿宋_GB2312" w:eastAsia="仿宋_GB2312" w:cs="仿宋_GB2312"/>
                <w:color w:val="auto"/>
                <w:lang w:eastAsia="zh-CN"/>
              </w:rPr>
              <w:t>、</w:t>
            </w:r>
            <w:r>
              <w:rPr>
                <w:rFonts w:ascii="仿宋_GB2312" w:hAnsi="仿宋_GB2312" w:eastAsia="仿宋_GB2312" w:cs="仿宋_GB2312"/>
                <w:color w:val="auto"/>
                <w:lang w:eastAsia="zh-CN"/>
              </w:rPr>
              <w:t>人员身高 160CM 以上，五官端正，身体健康体态匀称；</w:t>
            </w:r>
          </w:p>
          <w:p w14:paraId="07FBB031">
            <w:pPr>
              <w:pStyle w:val="13"/>
              <w:rPr>
                <w:rFonts w:hint="default" w:ascii="仿宋_GB2312" w:hAnsi="仿宋_GB2312" w:eastAsia="仿宋_GB2312" w:cs="仿宋_GB2312"/>
                <w:color w:val="auto"/>
                <w:lang w:eastAsia="zh-CN"/>
              </w:rPr>
            </w:pPr>
            <w:r>
              <w:rPr>
                <w:rFonts w:ascii="仿宋_GB2312" w:hAnsi="仿宋_GB2312" w:eastAsia="仿宋_GB2312" w:cs="仿宋_GB2312"/>
                <w:color w:val="auto"/>
                <w:lang w:eastAsia="zh-CN"/>
              </w:rPr>
              <w:t>2</w:t>
            </w:r>
            <w:r>
              <w:rPr>
                <w:rFonts w:hint="eastAsia" w:ascii="仿宋_GB2312" w:hAnsi="仿宋_GB2312" w:eastAsia="仿宋_GB2312" w:cs="仿宋_GB2312"/>
                <w:color w:val="auto"/>
                <w:lang w:eastAsia="zh-CN"/>
              </w:rPr>
              <w:t>、</w:t>
            </w:r>
            <w:r>
              <w:rPr>
                <w:rFonts w:ascii="仿宋_GB2312" w:hAnsi="仿宋_GB2312" w:eastAsia="仿宋_GB2312" w:cs="仿宋_GB2312"/>
                <w:color w:val="auto"/>
                <w:lang w:eastAsia="zh-CN"/>
              </w:rPr>
              <w:t>普通话标准、流利；</w:t>
            </w:r>
          </w:p>
          <w:p w14:paraId="64A21266">
            <w:pPr>
              <w:pStyle w:val="13"/>
              <w:rPr>
                <w:rFonts w:hint="default" w:ascii="仿宋_GB2312" w:hAnsi="仿宋_GB2312" w:eastAsia="仿宋_GB2312" w:cs="仿宋_GB2312"/>
                <w:color w:val="auto"/>
                <w:lang w:eastAsia="zh-CN"/>
              </w:rPr>
            </w:pPr>
            <w:r>
              <w:rPr>
                <w:rFonts w:ascii="仿宋_GB2312" w:hAnsi="仿宋_GB2312" w:eastAsia="仿宋_GB2312" w:cs="仿宋_GB2312"/>
                <w:color w:val="auto"/>
                <w:lang w:eastAsia="zh-CN"/>
              </w:rPr>
              <w:t>3</w:t>
            </w:r>
            <w:r>
              <w:rPr>
                <w:rFonts w:hint="eastAsia" w:ascii="仿宋_GB2312" w:hAnsi="仿宋_GB2312" w:eastAsia="仿宋_GB2312" w:cs="仿宋_GB2312"/>
                <w:color w:val="auto"/>
                <w:lang w:eastAsia="zh-CN"/>
              </w:rPr>
              <w:t>、</w:t>
            </w:r>
            <w:r>
              <w:rPr>
                <w:rFonts w:ascii="仿宋_GB2312" w:hAnsi="仿宋_GB2312" w:eastAsia="仿宋_GB2312" w:cs="仿宋_GB2312"/>
                <w:color w:val="auto"/>
                <w:lang w:eastAsia="zh-CN"/>
              </w:rPr>
              <w:t>具备3年以上写字楼会务经验。</w:t>
            </w:r>
          </w:p>
          <w:p w14:paraId="5D33B7F6">
            <w:pPr>
              <w:pStyle w:val="13"/>
              <w:rPr>
                <w:rFonts w:hint="default" w:ascii="仿宋_GB2312" w:hAnsi="仿宋_GB2312" w:eastAsia="仿宋_GB2312" w:cs="仿宋_GB2312"/>
                <w:color w:val="auto"/>
                <w:lang w:eastAsia="zh-CN"/>
              </w:rPr>
            </w:pPr>
            <w:r>
              <w:rPr>
                <w:rFonts w:ascii="仿宋_GB2312" w:hAnsi="仿宋_GB2312" w:eastAsia="仿宋_GB2312" w:cs="仿宋_GB2312"/>
                <w:color w:val="auto"/>
                <w:lang w:eastAsia="zh-CN"/>
              </w:rPr>
              <w:t>4</w:t>
            </w:r>
            <w:r>
              <w:rPr>
                <w:rFonts w:hint="eastAsia" w:ascii="仿宋_GB2312" w:hAnsi="仿宋_GB2312" w:eastAsia="仿宋_GB2312" w:cs="仿宋_GB2312"/>
                <w:color w:val="auto"/>
                <w:lang w:eastAsia="zh-CN"/>
              </w:rPr>
              <w:t>、</w:t>
            </w:r>
            <w:r>
              <w:rPr>
                <w:rFonts w:ascii="仿宋_GB2312" w:hAnsi="仿宋_GB2312" w:eastAsia="仿宋_GB2312" w:cs="仿宋_GB2312"/>
                <w:color w:val="auto"/>
                <w:lang w:eastAsia="zh-CN"/>
              </w:rPr>
              <w:t>年龄30岁以下。</w:t>
            </w:r>
          </w:p>
        </w:tc>
        <w:tc>
          <w:tcPr>
            <w:tcW w:w="4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BA2AB">
            <w:pPr>
              <w:pStyle w:val="13"/>
              <w:rPr>
                <w:rFonts w:hint="default" w:ascii="仿宋_GB2312" w:hAnsi="仿宋_GB2312" w:eastAsia="仿宋_GB2312" w:cs="仿宋_GB2312"/>
                <w:color w:val="auto"/>
                <w:lang w:eastAsia="zh-CN"/>
              </w:rPr>
            </w:pPr>
            <w:r>
              <w:rPr>
                <w:rFonts w:ascii="仿宋_GB2312" w:hAnsi="仿宋_GB2312" w:eastAsia="仿宋_GB2312" w:cs="仿宋_GB2312"/>
                <w:color w:val="auto"/>
                <w:lang w:eastAsia="zh-CN"/>
              </w:rPr>
              <w:t>1.按照标准着装、礼仪规范</w:t>
            </w:r>
            <w:r>
              <w:rPr>
                <w:rFonts w:hint="eastAsia" w:ascii="仿宋_GB2312" w:hAnsi="仿宋_GB2312" w:eastAsia="仿宋_GB2312" w:cs="仿宋_GB2312"/>
                <w:color w:val="auto"/>
                <w:lang w:eastAsia="zh-CN"/>
              </w:rPr>
              <w:t>；</w:t>
            </w:r>
          </w:p>
          <w:p w14:paraId="3CB4D4A2">
            <w:pPr>
              <w:pStyle w:val="13"/>
              <w:rPr>
                <w:rFonts w:hint="default" w:ascii="仿宋_GB2312" w:hAnsi="仿宋_GB2312" w:eastAsia="仿宋_GB2312" w:cs="仿宋_GB2312"/>
                <w:color w:val="auto"/>
                <w:lang w:eastAsia="zh-CN"/>
              </w:rPr>
            </w:pPr>
            <w:r>
              <w:rPr>
                <w:rFonts w:ascii="仿宋_GB2312" w:hAnsi="仿宋_GB2312" w:eastAsia="仿宋_GB2312" w:cs="仿宋_GB2312"/>
                <w:color w:val="auto"/>
                <w:lang w:eastAsia="zh-CN"/>
              </w:rPr>
              <w:t>2.按照会议要求提前做好会前准备各项工作</w:t>
            </w:r>
            <w:r>
              <w:rPr>
                <w:rFonts w:hint="eastAsia" w:ascii="仿宋_GB2312" w:hAnsi="仿宋_GB2312" w:eastAsia="仿宋_GB2312" w:cs="仿宋_GB2312"/>
                <w:color w:val="auto"/>
                <w:lang w:eastAsia="zh-CN"/>
              </w:rPr>
              <w:t>；</w:t>
            </w:r>
          </w:p>
          <w:p w14:paraId="3D3162C8">
            <w:pPr>
              <w:pStyle w:val="13"/>
              <w:rPr>
                <w:rFonts w:hint="default" w:ascii="仿宋_GB2312" w:hAnsi="仿宋_GB2312" w:eastAsia="仿宋_GB2312" w:cs="仿宋_GB2312"/>
                <w:color w:val="auto"/>
                <w:lang w:eastAsia="zh-CN"/>
              </w:rPr>
            </w:pPr>
            <w:r>
              <w:rPr>
                <w:rFonts w:ascii="仿宋_GB2312" w:hAnsi="仿宋_GB2312" w:eastAsia="仿宋_GB2312" w:cs="仿宋_GB2312"/>
                <w:color w:val="auto"/>
                <w:lang w:eastAsia="zh-CN"/>
              </w:rPr>
              <w:t>3.会议期间每隔15-25分钟服务员要进行一次服务</w:t>
            </w:r>
            <w:r>
              <w:rPr>
                <w:rFonts w:hint="eastAsia" w:ascii="仿宋_GB2312" w:hAnsi="仿宋_GB2312" w:eastAsia="仿宋_GB2312" w:cs="仿宋_GB2312"/>
                <w:color w:val="auto"/>
                <w:lang w:eastAsia="zh-CN"/>
              </w:rPr>
              <w:t>；</w:t>
            </w:r>
          </w:p>
          <w:p w14:paraId="2785A62E">
            <w:pPr>
              <w:pStyle w:val="13"/>
              <w:rPr>
                <w:rFonts w:hint="default" w:ascii="仿宋_GB2312" w:hAnsi="仿宋_GB2312" w:eastAsia="仿宋_GB2312" w:cs="仿宋_GB2312"/>
                <w:color w:val="auto"/>
                <w:lang w:eastAsia="zh-CN"/>
              </w:rPr>
            </w:pPr>
            <w:r>
              <w:rPr>
                <w:rFonts w:ascii="仿宋_GB2312" w:hAnsi="仿宋_GB2312" w:eastAsia="仿宋_GB2312" w:cs="仿宋_GB2312"/>
                <w:color w:val="auto"/>
                <w:lang w:eastAsia="zh-CN"/>
              </w:rPr>
              <w:t>4.会议结束时，服务人员及时打开会议室的门，站立门边微笑服务，并关闭照明、空调、音响等设备</w:t>
            </w:r>
            <w:r>
              <w:rPr>
                <w:rFonts w:hint="eastAsia" w:ascii="仿宋_GB2312" w:hAnsi="仿宋_GB2312" w:eastAsia="仿宋_GB2312" w:cs="仿宋_GB2312"/>
                <w:color w:val="auto"/>
                <w:lang w:eastAsia="zh-CN"/>
              </w:rPr>
              <w:t>；</w:t>
            </w:r>
          </w:p>
          <w:p w14:paraId="064ACEC2">
            <w:pPr>
              <w:pStyle w:val="13"/>
              <w:rPr>
                <w:rFonts w:hint="default" w:ascii="仿宋_GB2312" w:hAnsi="仿宋_GB2312" w:eastAsia="仿宋_GB2312" w:cs="仿宋_GB2312"/>
                <w:color w:val="auto"/>
                <w:lang w:eastAsia="zh-CN"/>
              </w:rPr>
            </w:pPr>
            <w:r>
              <w:rPr>
                <w:rFonts w:ascii="仿宋_GB2312" w:hAnsi="仿宋_GB2312" w:eastAsia="仿宋_GB2312" w:cs="仿宋_GB2312"/>
                <w:color w:val="auto"/>
                <w:lang w:eastAsia="zh-CN"/>
              </w:rPr>
              <w:t>5.配合甲方完成项目重要接待工作</w:t>
            </w:r>
            <w:r>
              <w:rPr>
                <w:rFonts w:hint="eastAsia" w:ascii="仿宋_GB2312" w:hAnsi="仿宋_GB2312" w:eastAsia="仿宋_GB2312" w:cs="仿宋_GB2312"/>
                <w:color w:val="auto"/>
                <w:lang w:eastAsia="zh-CN"/>
              </w:rPr>
              <w:t>。</w:t>
            </w:r>
          </w:p>
        </w:tc>
      </w:tr>
      <w:tr w14:paraId="1375E1A4">
        <w:tblPrEx>
          <w:tblCellMar>
            <w:top w:w="0" w:type="dxa"/>
            <w:left w:w="108" w:type="dxa"/>
            <w:bottom w:w="0" w:type="dxa"/>
            <w:right w:w="108" w:type="dxa"/>
          </w:tblCellMar>
        </w:tblPrEx>
        <w:trPr>
          <w:trHeight w:val="2509" w:hRule="atLeast"/>
          <w:jc w:val="center"/>
        </w:trPr>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87716">
            <w:pPr>
              <w:pStyle w:val="13"/>
              <w:rPr>
                <w:rFonts w:hint="default" w:ascii="仿宋_GB2312" w:hAnsi="仿宋_GB2312" w:eastAsia="仿宋_GB2312" w:cs="仿宋_GB2312"/>
                <w:color w:val="auto"/>
                <w:lang w:eastAsia="zh-CN"/>
              </w:rPr>
            </w:pPr>
            <w:r>
              <w:rPr>
                <w:rFonts w:ascii="仿宋_GB2312" w:hAnsi="仿宋_GB2312" w:eastAsia="仿宋_GB2312" w:cs="仿宋_GB2312"/>
                <w:color w:val="auto"/>
                <w:lang w:eastAsia="zh-CN"/>
              </w:rPr>
              <w:t>4</w:t>
            </w:r>
          </w:p>
        </w:tc>
        <w:tc>
          <w:tcPr>
            <w:tcW w:w="1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7A902">
            <w:pPr>
              <w:pStyle w:val="13"/>
              <w:jc w:val="center"/>
              <w:rPr>
                <w:rFonts w:hint="default" w:ascii="仿宋_GB2312" w:hAnsi="仿宋_GB2312" w:eastAsia="仿宋_GB2312" w:cs="仿宋_GB2312"/>
                <w:color w:val="auto"/>
                <w:lang w:eastAsia="zh-CN"/>
              </w:rPr>
            </w:pPr>
            <w:r>
              <w:rPr>
                <w:rFonts w:ascii="仿宋_GB2312" w:hAnsi="仿宋_GB2312" w:eastAsia="仿宋_GB2312" w:cs="仿宋_GB2312"/>
                <w:color w:val="auto"/>
                <w:lang w:eastAsia="zh-CN"/>
              </w:rPr>
              <w:t>保洁人员</w:t>
            </w:r>
          </w:p>
        </w:tc>
        <w:tc>
          <w:tcPr>
            <w:tcW w:w="21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9D53D">
            <w:pPr>
              <w:pStyle w:val="13"/>
              <w:rPr>
                <w:rFonts w:hint="default" w:ascii="仿宋_GB2312" w:hAnsi="仿宋_GB2312" w:eastAsia="仿宋_GB2312" w:cs="仿宋_GB2312"/>
                <w:color w:val="auto"/>
                <w:lang w:eastAsia="zh-CN"/>
              </w:rPr>
            </w:pPr>
            <w:r>
              <w:rPr>
                <w:rFonts w:ascii="仿宋_GB2312" w:hAnsi="仿宋_GB2312" w:eastAsia="仿宋_GB2312" w:cs="仿宋_GB2312"/>
                <w:color w:val="auto"/>
                <w:lang w:eastAsia="zh-CN"/>
              </w:rPr>
              <w:t>1</w:t>
            </w:r>
            <w:r>
              <w:rPr>
                <w:rFonts w:hint="eastAsia" w:ascii="仿宋_GB2312" w:hAnsi="仿宋_GB2312" w:eastAsia="仿宋_GB2312" w:cs="仿宋_GB2312"/>
                <w:color w:val="auto"/>
                <w:lang w:eastAsia="zh-CN"/>
              </w:rPr>
              <w:t>、</w:t>
            </w:r>
            <w:r>
              <w:rPr>
                <w:rFonts w:ascii="仿宋_GB2312" w:hAnsi="仿宋_GB2312" w:eastAsia="仿宋_GB2312" w:cs="仿宋_GB2312"/>
                <w:color w:val="auto"/>
                <w:lang w:eastAsia="zh-CN"/>
              </w:rPr>
              <w:t>身体健康，品正貌端；有保洁业务服务经验。</w:t>
            </w:r>
          </w:p>
          <w:p w14:paraId="4BF50E29">
            <w:pPr>
              <w:pStyle w:val="13"/>
              <w:rPr>
                <w:rFonts w:hint="default" w:ascii="仿宋_GB2312" w:hAnsi="仿宋_GB2312" w:eastAsia="仿宋_GB2312" w:cs="仿宋_GB2312"/>
                <w:color w:val="auto"/>
                <w:lang w:eastAsia="zh-CN"/>
              </w:rPr>
            </w:pPr>
            <w:r>
              <w:rPr>
                <w:rFonts w:ascii="仿宋_GB2312" w:hAnsi="仿宋_GB2312" w:eastAsia="仿宋_GB2312" w:cs="仿宋_GB2312"/>
                <w:color w:val="auto"/>
                <w:lang w:eastAsia="zh-CN"/>
              </w:rPr>
              <w:t>2</w:t>
            </w:r>
            <w:r>
              <w:rPr>
                <w:rFonts w:hint="eastAsia" w:ascii="仿宋_GB2312" w:hAnsi="仿宋_GB2312" w:eastAsia="仿宋_GB2312" w:cs="仿宋_GB2312"/>
                <w:color w:val="auto"/>
                <w:lang w:eastAsia="zh-CN"/>
              </w:rPr>
              <w:t>、</w:t>
            </w:r>
            <w:r>
              <w:rPr>
                <w:rFonts w:ascii="仿宋_GB2312" w:hAnsi="仿宋_GB2312" w:eastAsia="仿宋_GB2312" w:cs="仿宋_GB2312"/>
                <w:color w:val="auto"/>
                <w:lang w:eastAsia="zh-CN"/>
              </w:rPr>
              <w:t>具有良好沟通能力及良好的服务意识。</w:t>
            </w:r>
          </w:p>
          <w:p w14:paraId="1189BE19">
            <w:pPr>
              <w:pStyle w:val="13"/>
              <w:rPr>
                <w:rFonts w:hint="default" w:ascii="仿宋_GB2312" w:hAnsi="仿宋_GB2312" w:eastAsia="仿宋_GB2312" w:cs="仿宋_GB2312"/>
                <w:color w:val="auto"/>
                <w:lang w:eastAsia="zh-CN"/>
              </w:rPr>
            </w:pPr>
            <w:r>
              <w:rPr>
                <w:rFonts w:ascii="仿宋_GB2312" w:hAnsi="仿宋_GB2312" w:eastAsia="仿宋_GB2312" w:cs="仿宋_GB2312"/>
                <w:color w:val="auto"/>
                <w:lang w:eastAsia="zh-CN"/>
              </w:rPr>
              <w:t>3</w:t>
            </w:r>
            <w:r>
              <w:rPr>
                <w:rFonts w:hint="eastAsia" w:ascii="仿宋_GB2312" w:hAnsi="仿宋_GB2312" w:eastAsia="仿宋_GB2312" w:cs="仿宋_GB2312"/>
                <w:color w:val="auto"/>
                <w:lang w:eastAsia="zh-CN"/>
              </w:rPr>
              <w:t>、</w:t>
            </w:r>
            <w:r>
              <w:rPr>
                <w:rFonts w:ascii="仿宋_GB2312" w:hAnsi="仿宋_GB2312" w:eastAsia="仿宋_GB2312" w:cs="仿宋_GB2312"/>
                <w:color w:val="auto"/>
                <w:lang w:eastAsia="zh-CN"/>
              </w:rPr>
              <w:t>年龄55岁以下；</w:t>
            </w:r>
          </w:p>
        </w:tc>
        <w:tc>
          <w:tcPr>
            <w:tcW w:w="4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513CE">
            <w:pPr>
              <w:pStyle w:val="13"/>
              <w:rPr>
                <w:rFonts w:hint="default" w:ascii="仿宋_GB2312" w:hAnsi="仿宋_GB2312" w:eastAsia="仿宋_GB2312" w:cs="仿宋_GB2312"/>
                <w:color w:val="auto"/>
                <w:lang w:eastAsia="zh-CN"/>
              </w:rPr>
            </w:pPr>
            <w:r>
              <w:rPr>
                <w:rFonts w:ascii="仿宋_GB2312" w:hAnsi="仿宋_GB2312" w:eastAsia="仿宋_GB2312" w:cs="仿宋_GB2312"/>
                <w:color w:val="auto"/>
                <w:lang w:eastAsia="zh-CN"/>
              </w:rPr>
              <w:t>1.按照标准化流程每日全面对保洁、重点区域循环清洁</w:t>
            </w:r>
            <w:r>
              <w:rPr>
                <w:rFonts w:hint="eastAsia" w:ascii="仿宋_GB2312" w:hAnsi="仿宋_GB2312" w:eastAsia="仿宋_GB2312" w:cs="仿宋_GB2312"/>
                <w:color w:val="auto"/>
                <w:lang w:eastAsia="zh-CN"/>
              </w:rPr>
              <w:t>；</w:t>
            </w:r>
          </w:p>
          <w:p w14:paraId="1F1D6BDB">
            <w:pPr>
              <w:pStyle w:val="13"/>
              <w:rPr>
                <w:rFonts w:hint="default" w:ascii="仿宋_GB2312" w:hAnsi="仿宋_GB2312" w:eastAsia="仿宋_GB2312" w:cs="仿宋_GB2312"/>
                <w:color w:val="auto"/>
                <w:lang w:eastAsia="zh-CN"/>
              </w:rPr>
            </w:pPr>
            <w:r>
              <w:rPr>
                <w:rFonts w:ascii="仿宋_GB2312" w:hAnsi="仿宋_GB2312" w:eastAsia="仿宋_GB2312" w:cs="仿宋_GB2312"/>
                <w:color w:val="auto"/>
                <w:lang w:eastAsia="zh-CN"/>
              </w:rPr>
              <w:t>2.按时按需做好垃圾清运工作</w:t>
            </w:r>
            <w:r>
              <w:rPr>
                <w:rFonts w:hint="eastAsia" w:ascii="仿宋_GB2312" w:hAnsi="仿宋_GB2312" w:eastAsia="仿宋_GB2312" w:cs="仿宋_GB2312"/>
                <w:color w:val="auto"/>
                <w:lang w:eastAsia="zh-CN"/>
              </w:rPr>
              <w:t>；</w:t>
            </w:r>
          </w:p>
          <w:p w14:paraId="5D33DDF7">
            <w:pPr>
              <w:pStyle w:val="13"/>
              <w:rPr>
                <w:rFonts w:hint="default" w:ascii="仿宋_GB2312" w:hAnsi="仿宋_GB2312" w:eastAsia="仿宋_GB2312" w:cs="仿宋_GB2312"/>
                <w:color w:val="auto"/>
                <w:lang w:eastAsia="zh-CN"/>
              </w:rPr>
            </w:pPr>
            <w:r>
              <w:rPr>
                <w:rFonts w:ascii="仿宋_GB2312" w:hAnsi="仿宋_GB2312" w:eastAsia="仿宋_GB2312" w:cs="仿宋_GB2312"/>
                <w:color w:val="auto"/>
                <w:lang w:eastAsia="zh-CN"/>
              </w:rPr>
              <w:t>3.做好突发天气的应急准备工作</w:t>
            </w:r>
            <w:r>
              <w:rPr>
                <w:rFonts w:hint="eastAsia" w:ascii="仿宋_GB2312" w:hAnsi="仿宋_GB2312" w:eastAsia="仿宋_GB2312" w:cs="仿宋_GB2312"/>
                <w:color w:val="auto"/>
                <w:lang w:eastAsia="zh-CN"/>
              </w:rPr>
              <w:t>；</w:t>
            </w:r>
          </w:p>
          <w:p w14:paraId="1EAB5F7F">
            <w:pPr>
              <w:pStyle w:val="13"/>
              <w:rPr>
                <w:rFonts w:hint="default" w:ascii="仿宋_GB2312" w:hAnsi="仿宋_GB2312" w:eastAsia="仿宋_GB2312" w:cs="仿宋_GB2312"/>
                <w:color w:val="auto"/>
                <w:lang w:eastAsia="zh-CN"/>
              </w:rPr>
            </w:pPr>
            <w:r>
              <w:rPr>
                <w:rFonts w:ascii="仿宋_GB2312" w:hAnsi="仿宋_GB2312" w:eastAsia="仿宋_GB2312" w:cs="仿宋_GB2312"/>
                <w:color w:val="auto"/>
                <w:lang w:eastAsia="zh-CN"/>
              </w:rPr>
              <w:t>4.服从现场安排，工作响应速度及时</w:t>
            </w:r>
            <w:r>
              <w:rPr>
                <w:rFonts w:hint="eastAsia" w:ascii="仿宋_GB2312" w:hAnsi="仿宋_GB2312" w:eastAsia="仿宋_GB2312" w:cs="仿宋_GB2312"/>
                <w:color w:val="auto"/>
                <w:lang w:eastAsia="zh-CN"/>
              </w:rPr>
              <w:t>。</w:t>
            </w:r>
          </w:p>
        </w:tc>
      </w:tr>
      <w:tr w14:paraId="1DDDBDB1">
        <w:tblPrEx>
          <w:tblCellMar>
            <w:top w:w="0" w:type="dxa"/>
            <w:left w:w="108" w:type="dxa"/>
            <w:bottom w:w="0" w:type="dxa"/>
            <w:right w:w="108" w:type="dxa"/>
          </w:tblCellMar>
        </w:tblPrEx>
        <w:trPr>
          <w:trHeight w:val="6571" w:hRule="atLeast"/>
          <w:jc w:val="center"/>
        </w:trPr>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B194E">
            <w:pPr>
              <w:pStyle w:val="13"/>
              <w:rPr>
                <w:rFonts w:hint="default" w:ascii="仿宋_GB2312" w:hAnsi="仿宋_GB2312" w:eastAsia="仿宋_GB2312" w:cs="仿宋_GB2312"/>
                <w:color w:val="auto"/>
                <w:lang w:eastAsia="zh-CN"/>
              </w:rPr>
            </w:pPr>
            <w:r>
              <w:rPr>
                <w:rFonts w:ascii="仿宋_GB2312" w:hAnsi="仿宋_GB2312" w:eastAsia="仿宋_GB2312" w:cs="仿宋_GB2312"/>
                <w:color w:val="auto"/>
                <w:lang w:eastAsia="zh-CN"/>
              </w:rPr>
              <w:t>5</w:t>
            </w:r>
          </w:p>
        </w:tc>
        <w:tc>
          <w:tcPr>
            <w:tcW w:w="1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6D484">
            <w:pPr>
              <w:pStyle w:val="13"/>
              <w:jc w:val="center"/>
              <w:rPr>
                <w:rFonts w:hint="default" w:ascii="仿宋_GB2312" w:hAnsi="仿宋_GB2312" w:eastAsia="仿宋_GB2312" w:cs="仿宋_GB2312"/>
                <w:color w:val="auto"/>
                <w:lang w:eastAsia="zh-CN"/>
              </w:rPr>
            </w:pPr>
            <w:r>
              <w:rPr>
                <w:rFonts w:ascii="仿宋_GB2312" w:hAnsi="仿宋_GB2312" w:eastAsia="仿宋_GB2312" w:cs="仿宋_GB2312"/>
                <w:color w:val="auto"/>
                <w:lang w:eastAsia="zh-CN"/>
              </w:rPr>
              <w:t>安保人员</w:t>
            </w:r>
          </w:p>
        </w:tc>
        <w:tc>
          <w:tcPr>
            <w:tcW w:w="21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E0F3B7">
            <w:pPr>
              <w:pStyle w:val="13"/>
              <w:rPr>
                <w:rFonts w:hint="default" w:ascii="仿宋_GB2312" w:hAnsi="仿宋_GB2312" w:eastAsia="仿宋_GB2312" w:cs="仿宋_GB2312"/>
                <w:color w:val="auto"/>
                <w:lang w:eastAsia="zh-CN"/>
              </w:rPr>
            </w:pPr>
            <w:r>
              <w:rPr>
                <w:rFonts w:ascii="仿宋_GB2312" w:hAnsi="仿宋_GB2312" w:eastAsia="仿宋_GB2312" w:cs="仿宋_GB2312"/>
                <w:color w:val="auto"/>
                <w:lang w:eastAsia="zh-CN"/>
              </w:rPr>
              <w:t>1</w:t>
            </w:r>
            <w:r>
              <w:rPr>
                <w:rFonts w:hint="eastAsia" w:ascii="仿宋_GB2312" w:hAnsi="仿宋_GB2312" w:eastAsia="仿宋_GB2312" w:cs="仿宋_GB2312"/>
                <w:color w:val="auto"/>
                <w:lang w:eastAsia="zh-CN"/>
              </w:rPr>
              <w:t>、</w:t>
            </w:r>
            <w:r>
              <w:rPr>
                <w:rFonts w:ascii="仿宋_GB2312" w:hAnsi="仿宋_GB2312" w:eastAsia="仿宋_GB2312" w:cs="仿宋_GB2312"/>
                <w:color w:val="auto"/>
                <w:lang w:eastAsia="zh-CN"/>
              </w:rPr>
              <w:t xml:space="preserve">具有安全管理、秩序维护岗位经验，熟悉物业安防、消防管理标准 </w:t>
            </w:r>
          </w:p>
          <w:p w14:paraId="43A61BB1">
            <w:pPr>
              <w:pStyle w:val="13"/>
              <w:rPr>
                <w:rFonts w:ascii="仿宋_GB2312" w:hAnsi="仿宋_GB2312" w:eastAsia="仿宋_GB2312" w:cs="仿宋_GB2312"/>
                <w:color w:val="auto"/>
                <w:lang w:eastAsia="zh-CN"/>
              </w:rPr>
            </w:pPr>
            <w:r>
              <w:rPr>
                <w:rFonts w:ascii="仿宋_GB2312" w:hAnsi="仿宋_GB2312" w:eastAsia="仿宋_GB2312" w:cs="仿宋_GB2312"/>
                <w:color w:val="auto"/>
                <w:lang w:eastAsia="zh-CN"/>
              </w:rPr>
              <w:t>及规范、安全应急预案，全面掌握安防、消防设备管理系统运行。</w:t>
            </w:r>
          </w:p>
          <w:p w14:paraId="005E8310">
            <w:pPr>
              <w:pStyle w:val="13"/>
              <w:rPr>
                <w:rFonts w:hint="default" w:ascii="仿宋_GB2312" w:hAnsi="仿宋_GB2312" w:eastAsia="仿宋_GB2312" w:cs="仿宋_GB2312"/>
                <w:color w:val="auto"/>
                <w:lang w:eastAsia="zh-CN"/>
              </w:rPr>
            </w:pPr>
            <w:r>
              <w:rPr>
                <w:rFonts w:hint="eastAsia" w:ascii="仿宋_GB2312" w:hAnsi="仿宋_GB2312" w:eastAsia="仿宋_GB2312" w:cs="仿宋_GB2312"/>
                <w:color w:val="auto"/>
                <w:lang w:val="en-US" w:eastAsia="zh-CN"/>
              </w:rPr>
              <w:t>2、</w:t>
            </w:r>
            <w:r>
              <w:rPr>
                <w:rFonts w:ascii="仿宋_GB2312" w:hAnsi="仿宋_GB2312" w:eastAsia="仿宋_GB2312" w:cs="仿宋_GB2312"/>
                <w:color w:val="auto"/>
                <w:lang w:eastAsia="zh-CN"/>
              </w:rPr>
              <w:t>熟悉安全质量管理体系标准。熟悉物业管理的基本理论和有关政策法规。</w:t>
            </w:r>
          </w:p>
          <w:p w14:paraId="65F1C3EF">
            <w:pPr>
              <w:pStyle w:val="13"/>
              <w:rPr>
                <w:rFonts w:hint="default" w:ascii="仿宋_GB2312" w:hAnsi="仿宋_GB2312" w:eastAsia="仿宋_GB2312" w:cs="仿宋_GB2312"/>
                <w:color w:val="auto"/>
                <w:lang w:eastAsia="zh-CN"/>
              </w:rPr>
            </w:pPr>
            <w:r>
              <w:rPr>
                <w:rFonts w:ascii="仿宋_GB2312" w:hAnsi="仿宋_GB2312" w:eastAsia="仿宋_GB2312" w:cs="仿宋_GB2312"/>
                <w:color w:val="auto"/>
                <w:lang w:eastAsia="zh-CN"/>
              </w:rPr>
              <w:t>3</w:t>
            </w:r>
            <w:r>
              <w:rPr>
                <w:rFonts w:hint="eastAsia" w:ascii="仿宋_GB2312" w:hAnsi="仿宋_GB2312" w:eastAsia="仿宋_GB2312" w:cs="仿宋_GB2312"/>
                <w:color w:val="auto"/>
                <w:lang w:eastAsia="zh-CN"/>
              </w:rPr>
              <w:t>、</w:t>
            </w:r>
            <w:r>
              <w:rPr>
                <w:rFonts w:ascii="仿宋_GB2312" w:hAnsi="仿宋_GB2312" w:eastAsia="仿宋_GB2312" w:cs="仿宋_GB2312"/>
                <w:color w:val="auto"/>
                <w:lang w:eastAsia="zh-CN"/>
              </w:rPr>
              <w:t>能识别危险源并采取预防措施，熟练处理各类突发事件，具备应对客户技巧的能力</w:t>
            </w:r>
            <w:r>
              <w:rPr>
                <w:rFonts w:hint="eastAsia" w:ascii="仿宋_GB2312" w:hAnsi="仿宋_GB2312" w:eastAsia="仿宋_GB2312" w:cs="仿宋_GB2312"/>
                <w:color w:val="auto"/>
                <w:lang w:eastAsia="zh-CN"/>
              </w:rPr>
              <w:t>。</w:t>
            </w:r>
          </w:p>
          <w:p w14:paraId="3B4092C6">
            <w:pPr>
              <w:pStyle w:val="13"/>
              <w:rPr>
                <w:rFonts w:hint="default" w:ascii="仿宋_GB2312" w:hAnsi="仿宋_GB2312" w:eastAsia="仿宋_GB2312" w:cs="仿宋_GB2312"/>
                <w:color w:val="auto"/>
                <w:lang w:eastAsia="zh-CN"/>
              </w:rPr>
            </w:pPr>
            <w:r>
              <w:rPr>
                <w:rFonts w:ascii="仿宋_GB2312" w:hAnsi="仿宋_GB2312" w:eastAsia="仿宋_GB2312" w:cs="仿宋_GB2312"/>
                <w:color w:val="auto"/>
                <w:lang w:eastAsia="zh-CN"/>
              </w:rPr>
              <w:t>4</w:t>
            </w:r>
            <w:r>
              <w:rPr>
                <w:rFonts w:hint="eastAsia" w:ascii="仿宋_GB2312" w:hAnsi="仿宋_GB2312" w:eastAsia="仿宋_GB2312" w:cs="仿宋_GB2312"/>
                <w:color w:val="auto"/>
                <w:lang w:eastAsia="zh-CN"/>
              </w:rPr>
              <w:t>、</w:t>
            </w:r>
            <w:r>
              <w:rPr>
                <w:rFonts w:ascii="仿宋_GB2312" w:hAnsi="仿宋_GB2312" w:eastAsia="仿宋_GB2312" w:cs="仿宋_GB2312"/>
                <w:color w:val="auto"/>
                <w:lang w:eastAsia="zh-CN"/>
              </w:rPr>
              <w:t>男50岁以下，有较强服务意识和责任心</w:t>
            </w:r>
            <w:r>
              <w:rPr>
                <w:rFonts w:hint="eastAsia" w:ascii="仿宋_GB2312" w:hAnsi="仿宋_GB2312" w:eastAsia="仿宋_GB2312" w:cs="仿宋_GB2312"/>
                <w:color w:val="auto"/>
                <w:lang w:eastAsia="zh-CN"/>
              </w:rPr>
              <w:t>。</w:t>
            </w:r>
          </w:p>
        </w:tc>
        <w:tc>
          <w:tcPr>
            <w:tcW w:w="4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C8542">
            <w:pPr>
              <w:pStyle w:val="13"/>
              <w:rPr>
                <w:rFonts w:hint="default" w:ascii="仿宋_GB2312" w:hAnsi="仿宋_GB2312" w:eastAsia="仿宋_GB2312" w:cs="仿宋_GB2312"/>
                <w:color w:val="auto"/>
                <w:lang w:eastAsia="zh-CN"/>
              </w:rPr>
            </w:pPr>
            <w:r>
              <w:rPr>
                <w:rFonts w:ascii="仿宋_GB2312" w:hAnsi="仿宋_GB2312" w:eastAsia="仿宋_GB2312" w:cs="仿宋_GB2312"/>
                <w:color w:val="auto"/>
                <w:lang w:eastAsia="zh-CN"/>
              </w:rPr>
              <w:t>1.实行24小时双岗制，严格执行外来人员/车辆登记、查验制度。</w:t>
            </w:r>
          </w:p>
          <w:p w14:paraId="6EBE42DE">
            <w:pPr>
              <w:pStyle w:val="13"/>
              <w:rPr>
                <w:rFonts w:hint="default" w:ascii="仿宋_GB2312" w:hAnsi="仿宋_GB2312" w:eastAsia="仿宋_GB2312" w:cs="仿宋_GB2312"/>
                <w:color w:val="auto"/>
                <w:lang w:eastAsia="zh-CN"/>
              </w:rPr>
            </w:pPr>
            <w:r>
              <w:rPr>
                <w:rFonts w:ascii="仿宋_GB2312" w:hAnsi="仿宋_GB2312" w:eastAsia="仿宋_GB2312" w:cs="仿宋_GB2312"/>
                <w:color w:val="auto"/>
                <w:lang w:eastAsia="zh-CN"/>
              </w:rPr>
              <w:t>2.每日安全巡逻并做好电子及纸质记录。</w:t>
            </w:r>
          </w:p>
          <w:p w14:paraId="0175D285">
            <w:pPr>
              <w:pStyle w:val="13"/>
              <w:rPr>
                <w:rFonts w:hint="default" w:ascii="仿宋_GB2312" w:hAnsi="仿宋_GB2312" w:eastAsia="仿宋_GB2312" w:cs="仿宋_GB2312"/>
                <w:color w:val="auto"/>
                <w:lang w:eastAsia="zh-CN"/>
              </w:rPr>
            </w:pPr>
            <w:r>
              <w:rPr>
                <w:rFonts w:ascii="仿宋_GB2312" w:hAnsi="仿宋_GB2312" w:eastAsia="仿宋_GB2312" w:cs="仿宋_GB2312"/>
                <w:color w:val="auto"/>
                <w:lang w:eastAsia="zh-CN"/>
              </w:rPr>
              <w:t>3.熟练操作一键报警系统、</w:t>
            </w:r>
            <w:r>
              <w:rPr>
                <w:rFonts w:hint="eastAsia" w:ascii="仿宋_GB2312" w:hAnsi="仿宋_GB2312" w:eastAsia="仿宋_GB2312" w:cs="仿宋_GB2312"/>
                <w:color w:val="auto"/>
                <w:lang w:val="en-US" w:eastAsia="zh-CN"/>
              </w:rPr>
              <w:t>视频</w:t>
            </w:r>
            <w:r>
              <w:rPr>
                <w:rFonts w:ascii="仿宋_GB2312" w:hAnsi="仿宋_GB2312" w:eastAsia="仿宋_GB2312" w:cs="仿宋_GB2312"/>
                <w:color w:val="auto"/>
                <w:lang w:eastAsia="zh-CN"/>
              </w:rPr>
              <w:t>系统及消防器材，具备应急处置能力。</w:t>
            </w:r>
          </w:p>
          <w:p w14:paraId="0B282B0A">
            <w:pPr>
              <w:pStyle w:val="13"/>
              <w:rPr>
                <w:rFonts w:hint="default" w:ascii="仿宋_GB2312" w:hAnsi="仿宋_GB2312" w:eastAsia="仿宋_GB2312" w:cs="仿宋_GB2312"/>
                <w:color w:val="auto"/>
                <w:lang w:eastAsia="zh-CN"/>
              </w:rPr>
            </w:pPr>
            <w:r>
              <w:rPr>
                <w:rFonts w:ascii="仿宋_GB2312" w:hAnsi="仿宋_GB2312" w:eastAsia="仿宋_GB2312" w:cs="仿宋_GB2312"/>
                <w:color w:val="auto"/>
                <w:lang w:eastAsia="zh-CN"/>
              </w:rPr>
              <w:t>4.面对可能发生的各种事故或灾害，建立科学的、完善的、可行的《突发事故应急处理预案》</w:t>
            </w:r>
          </w:p>
        </w:tc>
      </w:tr>
      <w:tr w14:paraId="035A1910">
        <w:tblPrEx>
          <w:tblCellMar>
            <w:top w:w="0" w:type="dxa"/>
            <w:left w:w="108" w:type="dxa"/>
            <w:bottom w:w="0" w:type="dxa"/>
            <w:right w:w="108" w:type="dxa"/>
          </w:tblCellMar>
        </w:tblPrEx>
        <w:trPr>
          <w:trHeight w:val="2207" w:hRule="atLeast"/>
          <w:jc w:val="center"/>
        </w:trPr>
        <w:tc>
          <w:tcPr>
            <w:tcW w:w="7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0029C">
            <w:pPr>
              <w:pStyle w:val="13"/>
              <w:rPr>
                <w:rFonts w:hint="default" w:ascii="仿宋_GB2312" w:hAnsi="仿宋_GB2312" w:eastAsia="仿宋_GB2312" w:cs="仿宋_GB2312"/>
                <w:color w:val="auto"/>
                <w:lang w:eastAsia="zh-CN"/>
              </w:rPr>
            </w:pPr>
            <w:r>
              <w:rPr>
                <w:rFonts w:ascii="仿宋_GB2312" w:hAnsi="仿宋_GB2312" w:eastAsia="仿宋_GB2312" w:cs="仿宋_GB2312"/>
                <w:color w:val="auto"/>
                <w:lang w:eastAsia="zh-CN"/>
              </w:rPr>
              <w:t>6</w:t>
            </w:r>
          </w:p>
        </w:tc>
        <w:tc>
          <w:tcPr>
            <w:tcW w:w="10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84F62">
            <w:pPr>
              <w:pStyle w:val="13"/>
              <w:jc w:val="center"/>
              <w:rPr>
                <w:rFonts w:hint="default" w:ascii="仿宋_GB2312" w:hAnsi="仿宋_GB2312" w:eastAsia="仿宋_GB2312" w:cs="仿宋_GB2312"/>
                <w:color w:val="auto"/>
                <w:lang w:eastAsia="zh-CN"/>
              </w:rPr>
            </w:pPr>
            <w:r>
              <w:rPr>
                <w:rFonts w:ascii="仿宋_GB2312" w:hAnsi="仿宋_GB2312" w:eastAsia="仿宋_GB2312" w:cs="仿宋_GB2312"/>
                <w:color w:val="auto"/>
                <w:lang w:eastAsia="zh-CN"/>
              </w:rPr>
              <w:t>绿化人员</w:t>
            </w:r>
          </w:p>
        </w:tc>
        <w:tc>
          <w:tcPr>
            <w:tcW w:w="21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43E23">
            <w:pPr>
              <w:pStyle w:val="13"/>
              <w:rPr>
                <w:rFonts w:hint="default" w:ascii="仿宋_GB2312" w:hAnsi="仿宋_GB2312" w:eastAsia="仿宋_GB2312" w:cs="仿宋_GB2312"/>
                <w:color w:val="auto"/>
                <w:lang w:eastAsia="zh-CN"/>
              </w:rPr>
            </w:pPr>
            <w:r>
              <w:rPr>
                <w:rFonts w:ascii="仿宋_GB2312" w:hAnsi="仿宋_GB2312" w:eastAsia="仿宋_GB2312" w:cs="仿宋_GB2312"/>
                <w:color w:val="auto"/>
                <w:lang w:eastAsia="zh-CN"/>
              </w:rPr>
              <w:t>1</w:t>
            </w:r>
            <w:r>
              <w:rPr>
                <w:rFonts w:hint="eastAsia" w:ascii="仿宋_GB2312" w:hAnsi="仿宋_GB2312" w:eastAsia="仿宋_GB2312" w:cs="仿宋_GB2312"/>
                <w:color w:val="auto"/>
                <w:lang w:eastAsia="zh-CN"/>
              </w:rPr>
              <w:t>、</w:t>
            </w:r>
            <w:r>
              <w:rPr>
                <w:rFonts w:ascii="仿宋_GB2312" w:hAnsi="仿宋_GB2312" w:eastAsia="仿宋_GB2312" w:cs="仿宋_GB2312"/>
                <w:color w:val="auto"/>
                <w:lang w:eastAsia="zh-CN"/>
              </w:rPr>
              <w:t>具有绿化修剪的相关经验，熟练使用绿篱机、割草器等相关设备。</w:t>
            </w:r>
          </w:p>
          <w:p w14:paraId="187CCC6F">
            <w:pPr>
              <w:pStyle w:val="13"/>
              <w:rPr>
                <w:rFonts w:hint="default" w:ascii="仿宋_GB2312" w:hAnsi="仿宋_GB2312" w:eastAsia="仿宋_GB2312" w:cs="仿宋_GB2312"/>
                <w:color w:val="auto"/>
                <w:lang w:eastAsia="zh-CN"/>
              </w:rPr>
            </w:pPr>
            <w:r>
              <w:rPr>
                <w:rFonts w:ascii="仿宋_GB2312" w:hAnsi="仿宋_GB2312" w:eastAsia="仿宋_GB2312" w:cs="仿宋_GB2312"/>
                <w:color w:val="auto"/>
                <w:lang w:eastAsia="zh-CN"/>
              </w:rPr>
              <w:t>2</w:t>
            </w:r>
            <w:r>
              <w:rPr>
                <w:rFonts w:hint="eastAsia" w:ascii="仿宋_GB2312" w:hAnsi="仿宋_GB2312" w:eastAsia="仿宋_GB2312" w:cs="仿宋_GB2312"/>
                <w:color w:val="auto"/>
                <w:lang w:eastAsia="zh-CN"/>
              </w:rPr>
              <w:t>、</w:t>
            </w:r>
            <w:r>
              <w:rPr>
                <w:rFonts w:ascii="仿宋_GB2312" w:hAnsi="仿宋_GB2312" w:eastAsia="仿宋_GB2312" w:cs="仿宋_GB2312"/>
                <w:color w:val="auto"/>
                <w:lang w:eastAsia="zh-CN"/>
              </w:rPr>
              <w:t>男55岁以下，有较强的服务意识和责任心。</w:t>
            </w:r>
          </w:p>
        </w:tc>
        <w:tc>
          <w:tcPr>
            <w:tcW w:w="44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39C5D">
            <w:pPr>
              <w:pStyle w:val="13"/>
              <w:rPr>
                <w:rFonts w:hint="default" w:ascii="仿宋_GB2312" w:hAnsi="仿宋_GB2312" w:eastAsia="仿宋_GB2312" w:cs="仿宋_GB2312"/>
                <w:color w:val="auto"/>
                <w:lang w:eastAsia="zh-CN"/>
              </w:rPr>
            </w:pPr>
            <w:r>
              <w:rPr>
                <w:rFonts w:ascii="仿宋_GB2312" w:hAnsi="仿宋_GB2312" w:eastAsia="仿宋_GB2312" w:cs="仿宋_GB2312"/>
                <w:color w:val="auto"/>
                <w:lang w:eastAsia="zh-CN"/>
              </w:rPr>
              <w:t>1.熟练使用各类绿化设备。</w:t>
            </w:r>
          </w:p>
          <w:p w14:paraId="5D696EEE">
            <w:pPr>
              <w:pStyle w:val="13"/>
              <w:rPr>
                <w:rFonts w:hint="default" w:ascii="仿宋_GB2312" w:hAnsi="仿宋_GB2312" w:eastAsia="仿宋_GB2312" w:cs="仿宋_GB2312"/>
                <w:color w:val="auto"/>
                <w:lang w:eastAsia="zh-CN"/>
              </w:rPr>
            </w:pPr>
            <w:r>
              <w:rPr>
                <w:rFonts w:ascii="仿宋_GB2312" w:hAnsi="仿宋_GB2312" w:eastAsia="仿宋_GB2312" w:cs="仿宋_GB2312"/>
                <w:color w:val="auto"/>
                <w:lang w:eastAsia="zh-CN"/>
              </w:rPr>
              <w:t>2.对各类绿植生长习性了解，能够确保绿植生长旺盛。</w:t>
            </w:r>
          </w:p>
        </w:tc>
      </w:tr>
    </w:tbl>
    <w:p w14:paraId="181D43F5">
      <w:pPr>
        <w:pStyle w:val="13"/>
        <w:rPr>
          <w:rFonts w:hint="default" w:ascii="仿宋_GB2312" w:hAnsi="仿宋_GB2312" w:eastAsia="仿宋_GB2312" w:cs="仿宋_GB2312"/>
          <w:b w:val="0"/>
          <w:bCs w:val="0"/>
          <w:color w:val="auto"/>
          <w:lang w:eastAsia="zh-CN"/>
        </w:rPr>
      </w:pPr>
      <w:r>
        <w:rPr>
          <w:rFonts w:ascii="仿宋_GB2312" w:hAnsi="仿宋_GB2312" w:eastAsia="仿宋_GB2312" w:cs="仿宋_GB2312"/>
          <w:b w:val="0"/>
          <w:bCs w:val="0"/>
          <w:color w:val="auto"/>
          <w:lang w:eastAsia="zh-CN"/>
        </w:rPr>
        <w:t>附件二：业服务考核办法</w:t>
      </w:r>
    </w:p>
    <w:p w14:paraId="71C200DC">
      <w:pPr>
        <w:pStyle w:val="12"/>
        <w:ind w:firstLine="400"/>
        <w:rPr>
          <w:rFonts w:ascii="仿宋_GB2312" w:hAnsi="仿宋_GB2312" w:eastAsia="仿宋_GB2312" w:cs="仿宋_GB2312"/>
          <w:b w:val="0"/>
          <w:bCs w:val="0"/>
          <w:color w:val="auto"/>
          <w:sz w:val="20"/>
        </w:rPr>
      </w:pPr>
      <w:r>
        <w:rPr>
          <w:rFonts w:hint="eastAsia" w:ascii="仿宋_GB2312" w:hAnsi="仿宋_GB2312" w:eastAsia="仿宋_GB2312" w:cs="仿宋_GB2312"/>
          <w:b w:val="0"/>
          <w:bCs w:val="0"/>
          <w:color w:val="auto"/>
          <w:sz w:val="20"/>
        </w:rPr>
        <w:t>甲方（采购人</w:t>
      </w:r>
      <w:r>
        <w:rPr>
          <w:rFonts w:hint="eastAsia" w:ascii="仿宋_GB2312" w:hAnsi="仿宋_GB2312" w:eastAsia="仿宋_GB2312" w:cs="仿宋_GB2312"/>
          <w:b w:val="0"/>
          <w:bCs w:val="0"/>
          <w:color w:val="auto"/>
          <w:sz w:val="20"/>
          <w:lang w:eastAsia="zh-CN"/>
        </w:rPr>
        <w:t>）</w:t>
      </w:r>
      <w:r>
        <w:rPr>
          <w:rFonts w:hint="eastAsia" w:ascii="仿宋_GB2312" w:hAnsi="仿宋_GB2312" w:eastAsia="仿宋_GB2312" w:cs="仿宋_GB2312"/>
          <w:b w:val="0"/>
          <w:bCs w:val="0"/>
          <w:color w:val="auto"/>
          <w:sz w:val="20"/>
        </w:rPr>
        <w:t xml:space="preserve">： </w:t>
      </w:r>
    </w:p>
    <w:p w14:paraId="0DA4051E">
      <w:pPr>
        <w:pStyle w:val="12"/>
        <w:ind w:firstLine="400"/>
        <w:rPr>
          <w:rFonts w:ascii="仿宋_GB2312" w:hAnsi="仿宋_GB2312" w:eastAsia="仿宋_GB2312" w:cs="仿宋_GB2312"/>
          <w:b w:val="0"/>
          <w:bCs w:val="0"/>
          <w:color w:val="auto"/>
          <w:sz w:val="20"/>
        </w:rPr>
      </w:pPr>
      <w:r>
        <w:rPr>
          <w:rFonts w:hint="eastAsia" w:ascii="仿宋_GB2312" w:hAnsi="仿宋_GB2312" w:eastAsia="仿宋_GB2312" w:cs="仿宋_GB2312"/>
          <w:b w:val="0"/>
          <w:bCs w:val="0"/>
          <w:color w:val="auto"/>
          <w:sz w:val="20"/>
        </w:rPr>
        <w:t>乙方（中标人</w:t>
      </w:r>
      <w:r>
        <w:rPr>
          <w:rFonts w:hint="eastAsia" w:ascii="仿宋_GB2312" w:hAnsi="仿宋_GB2312" w:eastAsia="仿宋_GB2312" w:cs="仿宋_GB2312"/>
          <w:b w:val="0"/>
          <w:bCs w:val="0"/>
          <w:color w:val="auto"/>
          <w:sz w:val="20"/>
          <w:lang w:eastAsia="zh-CN"/>
        </w:rPr>
        <w:t>）</w:t>
      </w:r>
      <w:r>
        <w:rPr>
          <w:rFonts w:hint="eastAsia" w:ascii="仿宋_GB2312" w:hAnsi="仿宋_GB2312" w:eastAsia="仿宋_GB2312" w:cs="仿宋_GB2312"/>
          <w:b w:val="0"/>
          <w:bCs w:val="0"/>
          <w:color w:val="auto"/>
          <w:sz w:val="20"/>
        </w:rPr>
        <w:t xml:space="preserve">： </w:t>
      </w:r>
    </w:p>
    <w:p w14:paraId="357DC1DC">
      <w:pPr>
        <w:pStyle w:val="12"/>
        <w:ind w:firstLine="400"/>
        <w:rPr>
          <w:rFonts w:ascii="仿宋_GB2312" w:hAnsi="仿宋_GB2312" w:eastAsia="仿宋_GB2312" w:cs="仿宋_GB2312"/>
          <w:b w:val="0"/>
          <w:bCs w:val="0"/>
          <w:color w:val="auto"/>
          <w:sz w:val="20"/>
        </w:rPr>
      </w:pPr>
      <w:r>
        <w:rPr>
          <w:rFonts w:hint="eastAsia" w:ascii="仿宋_GB2312" w:hAnsi="仿宋_GB2312" w:eastAsia="仿宋_GB2312" w:cs="仿宋_GB2312"/>
          <w:b w:val="0"/>
          <w:bCs w:val="0"/>
          <w:color w:val="auto"/>
          <w:sz w:val="20"/>
        </w:rPr>
        <w:t>经双方在平等、自愿、互利的基础上，签订本协议，作为物业服务合同的考核方案，共同信守。考核方案如下：</w:t>
      </w:r>
    </w:p>
    <w:p w14:paraId="0D81EDE6">
      <w:pPr>
        <w:pStyle w:val="12"/>
        <w:ind w:firstLine="402"/>
        <w:rPr>
          <w:rFonts w:ascii="仿宋_GB2312" w:hAnsi="仿宋_GB2312" w:eastAsia="仿宋_GB2312" w:cs="仿宋_GB2312"/>
          <w:b w:val="0"/>
          <w:bCs w:val="0"/>
          <w:color w:val="auto"/>
          <w:sz w:val="20"/>
        </w:rPr>
      </w:pPr>
      <w:r>
        <w:rPr>
          <w:rFonts w:hint="eastAsia" w:ascii="仿宋_GB2312" w:hAnsi="仿宋_GB2312" w:eastAsia="仿宋_GB2312" w:cs="仿宋_GB2312"/>
          <w:b w:val="0"/>
          <w:bCs w:val="0"/>
          <w:color w:val="auto"/>
          <w:sz w:val="20"/>
        </w:rPr>
        <w:t>1.考核宗旨</w:t>
      </w:r>
    </w:p>
    <w:p w14:paraId="71553F7C">
      <w:pPr>
        <w:pStyle w:val="12"/>
        <w:ind w:firstLine="400"/>
        <w:rPr>
          <w:rFonts w:ascii="仿宋_GB2312" w:hAnsi="仿宋_GB2312" w:eastAsia="仿宋_GB2312" w:cs="仿宋_GB2312"/>
          <w:b w:val="0"/>
          <w:bCs w:val="0"/>
          <w:color w:val="auto"/>
          <w:sz w:val="20"/>
        </w:rPr>
      </w:pPr>
      <w:r>
        <w:rPr>
          <w:rFonts w:hint="eastAsia" w:ascii="仿宋_GB2312" w:hAnsi="仿宋_GB2312" w:eastAsia="仿宋_GB2312" w:cs="仿宋_GB2312"/>
          <w:b w:val="0"/>
          <w:bCs w:val="0"/>
          <w:color w:val="auto"/>
          <w:sz w:val="20"/>
        </w:rPr>
        <w:t>对乙方考核整体上以达成服务要求为宗旨，以工作质量和工作效率为控制目标。</w:t>
      </w:r>
    </w:p>
    <w:p w14:paraId="2FFC0C71">
      <w:pPr>
        <w:pStyle w:val="12"/>
        <w:ind w:firstLine="402"/>
        <w:rPr>
          <w:rFonts w:ascii="仿宋_GB2312" w:hAnsi="仿宋_GB2312" w:eastAsia="仿宋_GB2312" w:cs="仿宋_GB2312"/>
          <w:b w:val="0"/>
          <w:bCs w:val="0"/>
          <w:color w:val="auto"/>
          <w:sz w:val="20"/>
        </w:rPr>
      </w:pPr>
      <w:r>
        <w:rPr>
          <w:rFonts w:hint="eastAsia" w:ascii="仿宋_GB2312" w:hAnsi="仿宋_GB2312" w:eastAsia="仿宋_GB2312" w:cs="仿宋_GB2312"/>
          <w:b w:val="0"/>
          <w:bCs w:val="0"/>
          <w:color w:val="auto"/>
          <w:sz w:val="20"/>
        </w:rPr>
        <w:t>2.考核方式</w:t>
      </w:r>
    </w:p>
    <w:p w14:paraId="7B888524">
      <w:pPr>
        <w:pStyle w:val="12"/>
        <w:ind w:firstLine="400"/>
        <w:rPr>
          <w:rFonts w:ascii="仿宋_GB2312" w:hAnsi="仿宋_GB2312" w:eastAsia="仿宋_GB2312" w:cs="仿宋_GB2312"/>
          <w:b w:val="0"/>
          <w:bCs w:val="0"/>
          <w:color w:val="auto"/>
          <w:sz w:val="20"/>
        </w:rPr>
      </w:pPr>
      <w:r>
        <w:rPr>
          <w:rFonts w:hint="eastAsia" w:ascii="仿宋_GB2312" w:hAnsi="仿宋_GB2312" w:eastAsia="仿宋_GB2312" w:cs="仿宋_GB2312"/>
          <w:b w:val="0"/>
          <w:bCs w:val="0"/>
          <w:color w:val="auto"/>
          <w:sz w:val="20"/>
        </w:rPr>
        <w:t>考核采取目标控制和过程控制相结合的方式，根据实际情况进行考核。考核基金费用为当月物业服务费的10%。</w:t>
      </w:r>
    </w:p>
    <w:p w14:paraId="65DDE45B">
      <w:pPr>
        <w:pStyle w:val="12"/>
        <w:ind w:firstLine="402"/>
        <w:rPr>
          <w:rFonts w:ascii="仿宋_GB2312" w:hAnsi="仿宋_GB2312" w:eastAsia="仿宋_GB2312" w:cs="仿宋_GB2312"/>
          <w:b w:val="0"/>
          <w:bCs w:val="0"/>
          <w:color w:val="auto"/>
          <w:sz w:val="20"/>
        </w:rPr>
      </w:pPr>
      <w:r>
        <w:rPr>
          <w:rFonts w:hint="eastAsia" w:ascii="仿宋_GB2312" w:hAnsi="仿宋_GB2312" w:eastAsia="仿宋_GB2312" w:cs="仿宋_GB2312"/>
          <w:b w:val="0"/>
          <w:bCs w:val="0"/>
          <w:color w:val="auto"/>
          <w:sz w:val="20"/>
        </w:rPr>
        <w:t>3.考核周期</w:t>
      </w:r>
    </w:p>
    <w:p w14:paraId="06E7142D">
      <w:pPr>
        <w:pStyle w:val="12"/>
        <w:ind w:firstLine="400"/>
        <w:rPr>
          <w:rFonts w:ascii="仿宋_GB2312" w:hAnsi="仿宋_GB2312" w:eastAsia="仿宋_GB2312" w:cs="仿宋_GB2312"/>
          <w:b w:val="0"/>
          <w:bCs w:val="0"/>
          <w:color w:val="auto"/>
          <w:sz w:val="20"/>
        </w:rPr>
      </w:pPr>
      <w:r>
        <w:rPr>
          <w:rFonts w:hint="eastAsia" w:ascii="仿宋_GB2312" w:hAnsi="仿宋_GB2312" w:eastAsia="仿宋_GB2312" w:cs="仿宋_GB2312"/>
          <w:b w:val="0"/>
          <w:bCs w:val="0"/>
          <w:color w:val="auto"/>
          <w:sz w:val="20"/>
        </w:rPr>
        <w:t>考核每月进行一次，其结果作为物业方费用支付依据，总体上以有效激励为原则。</w:t>
      </w:r>
    </w:p>
    <w:p w14:paraId="0D050A98">
      <w:pPr>
        <w:pStyle w:val="12"/>
        <w:ind w:firstLine="402"/>
        <w:rPr>
          <w:rFonts w:ascii="仿宋_GB2312" w:hAnsi="仿宋_GB2312" w:eastAsia="仿宋_GB2312" w:cs="仿宋_GB2312"/>
          <w:b w:val="0"/>
          <w:bCs w:val="0"/>
          <w:color w:val="auto"/>
          <w:sz w:val="20"/>
        </w:rPr>
      </w:pPr>
      <w:r>
        <w:rPr>
          <w:rFonts w:hint="eastAsia" w:ascii="仿宋_GB2312" w:hAnsi="仿宋_GB2312" w:eastAsia="仿宋_GB2312" w:cs="仿宋_GB2312"/>
          <w:b w:val="0"/>
          <w:bCs w:val="0"/>
          <w:color w:val="auto"/>
          <w:sz w:val="20"/>
        </w:rPr>
        <w:t>4.考核分制</w:t>
      </w:r>
    </w:p>
    <w:p w14:paraId="7C03D292">
      <w:pPr>
        <w:pStyle w:val="12"/>
        <w:ind w:firstLine="400"/>
        <w:rPr>
          <w:rFonts w:ascii="宋体" w:hAnsi="宋体" w:cs="宋体"/>
          <w:b w:val="0"/>
          <w:bCs w:val="0"/>
          <w:color w:val="auto"/>
          <w:sz w:val="24"/>
        </w:rPr>
      </w:pPr>
      <w:r>
        <w:rPr>
          <w:rFonts w:hint="eastAsia" w:ascii="仿宋_GB2312" w:hAnsi="仿宋_GB2312" w:eastAsia="仿宋_GB2312" w:cs="仿宋_GB2312"/>
          <w:b w:val="0"/>
          <w:bCs w:val="0"/>
          <w:color w:val="auto"/>
          <w:sz w:val="20"/>
        </w:rPr>
        <w:t>甲方根据乙方月指标完成情况进行打分，采取百分制考核，超额完成加分，未完成减分，减分实行“阶梯式百分比”扣款，以达到激励乙方的目的。打分结果分为四个等级，七个分数段，详见下表。</w:t>
      </w:r>
    </w:p>
    <w:p w14:paraId="5A30F397">
      <w:pPr>
        <w:spacing w:line="360" w:lineRule="auto"/>
        <w:jc w:val="center"/>
        <w:rPr>
          <w:rFonts w:ascii="仿宋" w:hAnsi="仿宋" w:eastAsia="仿宋" w:cs="仿宋"/>
          <w:b w:val="0"/>
          <w:bCs w:val="0"/>
          <w:color w:val="auto"/>
          <w:sz w:val="20"/>
          <w:szCs w:val="20"/>
        </w:rPr>
      </w:pPr>
      <w:r>
        <w:rPr>
          <w:rFonts w:hint="eastAsia" w:ascii="仿宋" w:hAnsi="仿宋" w:eastAsia="仿宋" w:cs="仿宋"/>
          <w:b w:val="0"/>
          <w:bCs w:val="0"/>
          <w:color w:val="auto"/>
          <w:sz w:val="20"/>
          <w:szCs w:val="20"/>
        </w:rPr>
        <w:t>表1 考核结果分级表</w:t>
      </w:r>
    </w:p>
    <w:tbl>
      <w:tblPr>
        <w:tblStyle w:val="8"/>
        <w:tblW w:w="7979" w:type="dxa"/>
        <w:jc w:val="center"/>
        <w:tblLayout w:type="fixed"/>
        <w:tblCellMar>
          <w:top w:w="0" w:type="dxa"/>
          <w:left w:w="108" w:type="dxa"/>
          <w:bottom w:w="0" w:type="dxa"/>
          <w:right w:w="108" w:type="dxa"/>
        </w:tblCellMar>
      </w:tblPr>
      <w:tblGrid>
        <w:gridCol w:w="1242"/>
        <w:gridCol w:w="1197"/>
        <w:gridCol w:w="2485"/>
        <w:gridCol w:w="3055"/>
      </w:tblGrid>
      <w:tr w14:paraId="4EE7113E">
        <w:tblPrEx>
          <w:tblCellMar>
            <w:top w:w="0" w:type="dxa"/>
            <w:left w:w="108" w:type="dxa"/>
            <w:bottom w:w="0" w:type="dxa"/>
            <w:right w:w="108" w:type="dxa"/>
          </w:tblCellMar>
        </w:tblPrEx>
        <w:trPr>
          <w:trHeight w:val="983" w:hRule="atLeast"/>
          <w:jc w:val="center"/>
        </w:trPr>
        <w:tc>
          <w:tcPr>
            <w:tcW w:w="1242" w:type="dxa"/>
            <w:tcBorders>
              <w:top w:val="single" w:color="auto" w:sz="4" w:space="0"/>
              <w:left w:val="single" w:color="auto" w:sz="4" w:space="0"/>
              <w:bottom w:val="single" w:color="auto" w:sz="4" w:space="0"/>
              <w:right w:val="single" w:color="auto" w:sz="4" w:space="0"/>
            </w:tcBorders>
            <w:shd w:val="clear" w:color="auto" w:fill="auto"/>
            <w:vAlign w:val="center"/>
          </w:tcPr>
          <w:p w14:paraId="207CB1BF">
            <w:pPr>
              <w:widowControl/>
              <w:rPr>
                <w:rFonts w:ascii="仿宋" w:hAnsi="仿宋" w:eastAsia="仿宋" w:cs="仿宋"/>
                <w:b/>
                <w:bCs/>
                <w:color w:val="auto"/>
                <w:kern w:val="0"/>
                <w:sz w:val="20"/>
                <w:szCs w:val="20"/>
              </w:rPr>
            </w:pPr>
            <w:r>
              <w:rPr>
                <w:rFonts w:hint="eastAsia" w:ascii="仿宋" w:hAnsi="仿宋" w:eastAsia="仿宋" w:cs="仿宋"/>
                <w:b/>
                <w:bCs/>
                <w:color w:val="auto"/>
                <w:kern w:val="0"/>
                <w:sz w:val="20"/>
                <w:szCs w:val="20"/>
              </w:rPr>
              <w:t>考核分数</w:t>
            </w:r>
          </w:p>
        </w:tc>
        <w:tc>
          <w:tcPr>
            <w:tcW w:w="1197" w:type="dxa"/>
            <w:tcBorders>
              <w:top w:val="single" w:color="auto" w:sz="4" w:space="0"/>
              <w:left w:val="nil"/>
              <w:bottom w:val="single" w:color="auto" w:sz="4" w:space="0"/>
              <w:right w:val="single" w:color="auto" w:sz="4" w:space="0"/>
            </w:tcBorders>
            <w:shd w:val="clear" w:color="auto" w:fill="auto"/>
            <w:vAlign w:val="center"/>
          </w:tcPr>
          <w:p w14:paraId="2EC80844">
            <w:pPr>
              <w:widowControl/>
              <w:jc w:val="center"/>
              <w:rPr>
                <w:rFonts w:ascii="仿宋" w:hAnsi="仿宋" w:eastAsia="仿宋" w:cs="仿宋"/>
                <w:b/>
                <w:bCs/>
                <w:color w:val="auto"/>
                <w:kern w:val="0"/>
                <w:sz w:val="20"/>
                <w:szCs w:val="20"/>
              </w:rPr>
            </w:pPr>
            <w:r>
              <w:rPr>
                <w:rFonts w:hint="eastAsia" w:ascii="仿宋" w:hAnsi="仿宋" w:eastAsia="仿宋" w:cs="仿宋"/>
                <w:b/>
                <w:bCs/>
                <w:color w:val="auto"/>
                <w:kern w:val="0"/>
                <w:sz w:val="20"/>
                <w:szCs w:val="20"/>
              </w:rPr>
              <w:t>考核等级</w:t>
            </w:r>
          </w:p>
        </w:tc>
        <w:tc>
          <w:tcPr>
            <w:tcW w:w="2485" w:type="dxa"/>
            <w:tcBorders>
              <w:top w:val="single" w:color="auto" w:sz="4" w:space="0"/>
              <w:left w:val="nil"/>
              <w:bottom w:val="single" w:color="auto" w:sz="4" w:space="0"/>
              <w:right w:val="single" w:color="auto" w:sz="4" w:space="0"/>
            </w:tcBorders>
            <w:shd w:val="clear" w:color="auto" w:fill="auto"/>
            <w:vAlign w:val="center"/>
          </w:tcPr>
          <w:p w14:paraId="6A5F32DE">
            <w:pPr>
              <w:widowControl/>
              <w:jc w:val="center"/>
              <w:rPr>
                <w:rFonts w:ascii="仿宋" w:hAnsi="仿宋" w:eastAsia="仿宋" w:cs="仿宋"/>
                <w:b/>
                <w:bCs/>
                <w:color w:val="auto"/>
                <w:kern w:val="0"/>
                <w:sz w:val="20"/>
                <w:szCs w:val="20"/>
              </w:rPr>
            </w:pPr>
            <w:r>
              <w:rPr>
                <w:rFonts w:hint="eastAsia" w:ascii="仿宋" w:hAnsi="仿宋" w:eastAsia="仿宋" w:cs="仿宋"/>
                <w:b/>
                <w:bCs/>
                <w:color w:val="auto"/>
                <w:kern w:val="0"/>
                <w:sz w:val="20"/>
                <w:szCs w:val="20"/>
              </w:rPr>
              <w:t>考核结果</w:t>
            </w:r>
          </w:p>
        </w:tc>
        <w:tc>
          <w:tcPr>
            <w:tcW w:w="3055" w:type="dxa"/>
            <w:tcBorders>
              <w:top w:val="single" w:color="auto" w:sz="4" w:space="0"/>
              <w:left w:val="nil"/>
              <w:bottom w:val="single" w:color="auto" w:sz="4" w:space="0"/>
              <w:right w:val="single" w:color="auto" w:sz="4" w:space="0"/>
            </w:tcBorders>
            <w:shd w:val="clear" w:color="auto" w:fill="auto"/>
            <w:vAlign w:val="center"/>
          </w:tcPr>
          <w:p w14:paraId="100DD1F7">
            <w:pPr>
              <w:widowControl/>
              <w:jc w:val="center"/>
              <w:rPr>
                <w:rFonts w:ascii="仿宋" w:hAnsi="仿宋" w:eastAsia="仿宋" w:cs="仿宋"/>
                <w:b/>
                <w:bCs/>
                <w:color w:val="auto"/>
                <w:kern w:val="0"/>
                <w:sz w:val="20"/>
                <w:szCs w:val="20"/>
              </w:rPr>
            </w:pPr>
            <w:r>
              <w:rPr>
                <w:rFonts w:hint="eastAsia" w:ascii="仿宋" w:hAnsi="仿宋" w:eastAsia="仿宋" w:cs="仿宋"/>
                <w:b/>
                <w:bCs/>
                <w:color w:val="auto"/>
                <w:kern w:val="0"/>
                <w:sz w:val="20"/>
                <w:szCs w:val="20"/>
              </w:rPr>
              <w:t>计算公式</w:t>
            </w:r>
          </w:p>
        </w:tc>
      </w:tr>
      <w:tr w14:paraId="698F1F6D">
        <w:tblPrEx>
          <w:tblCellMar>
            <w:top w:w="0" w:type="dxa"/>
            <w:left w:w="108" w:type="dxa"/>
            <w:bottom w:w="0" w:type="dxa"/>
            <w:right w:w="108" w:type="dxa"/>
          </w:tblCellMar>
        </w:tblPrEx>
        <w:trPr>
          <w:trHeight w:val="584" w:hRule="atLeast"/>
          <w:jc w:val="center"/>
        </w:trPr>
        <w:tc>
          <w:tcPr>
            <w:tcW w:w="1242" w:type="dxa"/>
            <w:tcBorders>
              <w:top w:val="nil"/>
              <w:left w:val="single" w:color="auto" w:sz="4" w:space="0"/>
              <w:bottom w:val="single" w:color="auto" w:sz="4" w:space="0"/>
              <w:right w:val="single" w:color="auto" w:sz="4" w:space="0"/>
            </w:tcBorders>
            <w:shd w:val="clear" w:color="auto" w:fill="auto"/>
            <w:vAlign w:val="center"/>
          </w:tcPr>
          <w:p w14:paraId="5C3A55D2">
            <w:pPr>
              <w:widowControl/>
              <w:jc w:val="center"/>
              <w:rPr>
                <w:rFonts w:ascii="仿宋" w:hAnsi="仿宋" w:eastAsia="仿宋" w:cs="仿宋"/>
                <w:color w:val="auto"/>
                <w:kern w:val="0"/>
                <w:sz w:val="20"/>
                <w:szCs w:val="20"/>
              </w:rPr>
            </w:pPr>
            <w:r>
              <w:rPr>
                <w:rFonts w:hint="eastAsia" w:ascii="仿宋" w:hAnsi="仿宋" w:eastAsia="仿宋" w:cs="仿宋"/>
                <w:color w:val="auto"/>
                <w:kern w:val="0"/>
                <w:sz w:val="20"/>
                <w:szCs w:val="20"/>
              </w:rPr>
              <w:t>90-100</w:t>
            </w:r>
          </w:p>
        </w:tc>
        <w:tc>
          <w:tcPr>
            <w:tcW w:w="1197" w:type="dxa"/>
            <w:tcBorders>
              <w:top w:val="nil"/>
              <w:left w:val="nil"/>
              <w:bottom w:val="single" w:color="auto" w:sz="4" w:space="0"/>
              <w:right w:val="single" w:color="auto" w:sz="4" w:space="0"/>
            </w:tcBorders>
            <w:shd w:val="clear" w:color="auto" w:fill="auto"/>
            <w:vAlign w:val="center"/>
          </w:tcPr>
          <w:p w14:paraId="27B8EA05">
            <w:pPr>
              <w:widowControl/>
              <w:jc w:val="center"/>
              <w:rPr>
                <w:rFonts w:ascii="仿宋" w:hAnsi="仿宋" w:eastAsia="仿宋" w:cs="仿宋"/>
                <w:color w:val="auto"/>
                <w:kern w:val="0"/>
                <w:sz w:val="20"/>
                <w:szCs w:val="20"/>
              </w:rPr>
            </w:pPr>
            <w:r>
              <w:rPr>
                <w:rFonts w:hint="eastAsia" w:ascii="仿宋" w:hAnsi="仿宋" w:eastAsia="仿宋" w:cs="仿宋"/>
                <w:color w:val="auto"/>
                <w:kern w:val="0"/>
                <w:sz w:val="20"/>
                <w:szCs w:val="20"/>
              </w:rPr>
              <w:t>优异</w:t>
            </w:r>
          </w:p>
        </w:tc>
        <w:tc>
          <w:tcPr>
            <w:tcW w:w="2485" w:type="dxa"/>
            <w:vMerge w:val="restart"/>
            <w:tcBorders>
              <w:top w:val="nil"/>
              <w:left w:val="single" w:color="auto" w:sz="4" w:space="0"/>
              <w:bottom w:val="single" w:color="000000" w:sz="4" w:space="0"/>
              <w:right w:val="single" w:color="auto" w:sz="4" w:space="0"/>
            </w:tcBorders>
            <w:shd w:val="clear" w:color="auto" w:fill="auto"/>
            <w:vAlign w:val="center"/>
          </w:tcPr>
          <w:p w14:paraId="2D906C49">
            <w:pPr>
              <w:widowControl/>
              <w:jc w:val="center"/>
              <w:rPr>
                <w:rFonts w:ascii="仿宋" w:hAnsi="仿宋" w:eastAsia="仿宋" w:cs="仿宋"/>
                <w:color w:val="auto"/>
                <w:kern w:val="0"/>
                <w:sz w:val="20"/>
                <w:szCs w:val="20"/>
              </w:rPr>
            </w:pPr>
            <w:r>
              <w:rPr>
                <w:rFonts w:hint="eastAsia" w:ascii="仿宋" w:hAnsi="仿宋" w:eastAsia="仿宋" w:cs="仿宋"/>
                <w:color w:val="auto"/>
                <w:kern w:val="0"/>
                <w:sz w:val="20"/>
                <w:szCs w:val="20"/>
              </w:rPr>
              <w:t>支付考核基金的100%</w:t>
            </w:r>
          </w:p>
        </w:tc>
        <w:tc>
          <w:tcPr>
            <w:tcW w:w="3055" w:type="dxa"/>
            <w:tcBorders>
              <w:top w:val="nil"/>
              <w:left w:val="nil"/>
              <w:bottom w:val="single" w:color="auto" w:sz="4" w:space="0"/>
              <w:right w:val="single" w:color="auto" w:sz="4" w:space="0"/>
            </w:tcBorders>
            <w:shd w:val="clear" w:color="auto" w:fill="auto"/>
            <w:vAlign w:val="center"/>
          </w:tcPr>
          <w:p w14:paraId="05457626">
            <w:pPr>
              <w:widowControl/>
              <w:jc w:val="center"/>
              <w:rPr>
                <w:rFonts w:ascii="仿宋" w:hAnsi="仿宋" w:eastAsia="仿宋" w:cs="仿宋"/>
                <w:color w:val="auto"/>
                <w:kern w:val="0"/>
                <w:sz w:val="20"/>
                <w:szCs w:val="20"/>
              </w:rPr>
            </w:pPr>
            <w:r>
              <w:rPr>
                <w:rFonts w:hint="eastAsia" w:ascii="仿宋" w:hAnsi="仿宋" w:eastAsia="仿宋" w:cs="仿宋"/>
                <w:color w:val="auto"/>
                <w:kern w:val="0"/>
                <w:sz w:val="20"/>
                <w:szCs w:val="20"/>
              </w:rPr>
              <w:t>/</w:t>
            </w:r>
          </w:p>
        </w:tc>
      </w:tr>
      <w:tr w14:paraId="24FD7F01">
        <w:tblPrEx>
          <w:tblCellMar>
            <w:top w:w="0" w:type="dxa"/>
            <w:left w:w="108" w:type="dxa"/>
            <w:bottom w:w="0" w:type="dxa"/>
            <w:right w:w="108" w:type="dxa"/>
          </w:tblCellMar>
        </w:tblPrEx>
        <w:trPr>
          <w:trHeight w:val="584" w:hRule="atLeast"/>
          <w:jc w:val="center"/>
        </w:trPr>
        <w:tc>
          <w:tcPr>
            <w:tcW w:w="1242" w:type="dxa"/>
            <w:tcBorders>
              <w:top w:val="nil"/>
              <w:left w:val="single" w:color="auto" w:sz="4" w:space="0"/>
              <w:bottom w:val="single" w:color="auto" w:sz="4" w:space="0"/>
              <w:right w:val="single" w:color="auto" w:sz="4" w:space="0"/>
            </w:tcBorders>
            <w:shd w:val="clear" w:color="auto" w:fill="auto"/>
            <w:vAlign w:val="center"/>
          </w:tcPr>
          <w:p w14:paraId="5C86656E">
            <w:pPr>
              <w:widowControl/>
              <w:jc w:val="center"/>
              <w:rPr>
                <w:rFonts w:ascii="仿宋" w:hAnsi="仿宋" w:eastAsia="仿宋" w:cs="仿宋"/>
                <w:color w:val="auto"/>
                <w:kern w:val="0"/>
                <w:sz w:val="20"/>
                <w:szCs w:val="20"/>
              </w:rPr>
            </w:pPr>
            <w:r>
              <w:rPr>
                <w:rFonts w:hint="eastAsia" w:ascii="仿宋" w:hAnsi="仿宋" w:eastAsia="仿宋" w:cs="仿宋"/>
                <w:color w:val="auto"/>
                <w:kern w:val="0"/>
                <w:sz w:val="20"/>
                <w:szCs w:val="20"/>
              </w:rPr>
              <w:t>80-89</w:t>
            </w:r>
          </w:p>
        </w:tc>
        <w:tc>
          <w:tcPr>
            <w:tcW w:w="1197" w:type="dxa"/>
            <w:tcBorders>
              <w:top w:val="nil"/>
              <w:left w:val="nil"/>
              <w:bottom w:val="single" w:color="auto" w:sz="4" w:space="0"/>
              <w:right w:val="single" w:color="auto" w:sz="4" w:space="0"/>
            </w:tcBorders>
            <w:shd w:val="clear" w:color="auto" w:fill="auto"/>
            <w:vAlign w:val="center"/>
          </w:tcPr>
          <w:p w14:paraId="7DCA71F1">
            <w:pPr>
              <w:widowControl/>
              <w:jc w:val="center"/>
              <w:rPr>
                <w:rFonts w:ascii="仿宋" w:hAnsi="仿宋" w:eastAsia="仿宋" w:cs="仿宋"/>
                <w:color w:val="auto"/>
                <w:kern w:val="0"/>
                <w:sz w:val="20"/>
                <w:szCs w:val="20"/>
              </w:rPr>
            </w:pPr>
            <w:r>
              <w:rPr>
                <w:rFonts w:hint="eastAsia" w:ascii="仿宋" w:hAnsi="仿宋" w:eastAsia="仿宋" w:cs="仿宋"/>
                <w:color w:val="auto"/>
                <w:kern w:val="0"/>
                <w:sz w:val="20"/>
                <w:szCs w:val="20"/>
              </w:rPr>
              <w:t>良好</w:t>
            </w:r>
          </w:p>
        </w:tc>
        <w:tc>
          <w:tcPr>
            <w:tcW w:w="2485" w:type="dxa"/>
            <w:vMerge w:val="continue"/>
            <w:tcBorders>
              <w:top w:val="nil"/>
              <w:left w:val="single" w:color="auto" w:sz="4" w:space="0"/>
              <w:bottom w:val="single" w:color="000000" w:sz="4" w:space="0"/>
              <w:right w:val="single" w:color="auto" w:sz="4" w:space="0"/>
            </w:tcBorders>
            <w:vAlign w:val="center"/>
          </w:tcPr>
          <w:p w14:paraId="1AF34528">
            <w:pPr>
              <w:widowControl/>
              <w:jc w:val="left"/>
              <w:rPr>
                <w:rFonts w:ascii="仿宋" w:hAnsi="仿宋" w:eastAsia="仿宋" w:cs="仿宋"/>
                <w:color w:val="auto"/>
                <w:kern w:val="0"/>
                <w:sz w:val="20"/>
                <w:szCs w:val="20"/>
              </w:rPr>
            </w:pPr>
          </w:p>
        </w:tc>
        <w:tc>
          <w:tcPr>
            <w:tcW w:w="3055" w:type="dxa"/>
            <w:tcBorders>
              <w:top w:val="nil"/>
              <w:left w:val="nil"/>
              <w:bottom w:val="single" w:color="auto" w:sz="4" w:space="0"/>
              <w:right w:val="single" w:color="auto" w:sz="4" w:space="0"/>
            </w:tcBorders>
            <w:shd w:val="clear" w:color="auto" w:fill="auto"/>
            <w:vAlign w:val="center"/>
          </w:tcPr>
          <w:p w14:paraId="3C91929C">
            <w:pPr>
              <w:widowControl/>
              <w:jc w:val="center"/>
              <w:rPr>
                <w:rFonts w:ascii="仿宋" w:hAnsi="仿宋" w:eastAsia="仿宋" w:cs="仿宋"/>
                <w:color w:val="auto"/>
                <w:kern w:val="0"/>
                <w:sz w:val="20"/>
                <w:szCs w:val="20"/>
              </w:rPr>
            </w:pPr>
            <w:r>
              <w:rPr>
                <w:rFonts w:hint="eastAsia" w:ascii="仿宋" w:hAnsi="仿宋" w:eastAsia="仿宋" w:cs="仿宋"/>
                <w:color w:val="auto"/>
                <w:kern w:val="0"/>
                <w:sz w:val="20"/>
                <w:szCs w:val="20"/>
              </w:rPr>
              <w:t>/</w:t>
            </w:r>
          </w:p>
        </w:tc>
      </w:tr>
      <w:tr w14:paraId="5DE2F072">
        <w:tblPrEx>
          <w:tblCellMar>
            <w:top w:w="0" w:type="dxa"/>
            <w:left w:w="108" w:type="dxa"/>
            <w:bottom w:w="0" w:type="dxa"/>
            <w:right w:w="108" w:type="dxa"/>
          </w:tblCellMar>
        </w:tblPrEx>
        <w:trPr>
          <w:trHeight w:val="989" w:hRule="atLeast"/>
          <w:jc w:val="center"/>
        </w:trPr>
        <w:tc>
          <w:tcPr>
            <w:tcW w:w="1242" w:type="dxa"/>
            <w:tcBorders>
              <w:top w:val="nil"/>
              <w:left w:val="single" w:color="auto" w:sz="4" w:space="0"/>
              <w:bottom w:val="single" w:color="auto" w:sz="4" w:space="0"/>
              <w:right w:val="single" w:color="auto" w:sz="4" w:space="0"/>
            </w:tcBorders>
            <w:shd w:val="clear" w:color="auto" w:fill="auto"/>
            <w:vAlign w:val="center"/>
          </w:tcPr>
          <w:p w14:paraId="445D40FC">
            <w:pPr>
              <w:widowControl/>
              <w:jc w:val="center"/>
              <w:rPr>
                <w:rFonts w:ascii="仿宋" w:hAnsi="仿宋" w:eastAsia="仿宋" w:cs="仿宋"/>
                <w:color w:val="auto"/>
                <w:kern w:val="0"/>
                <w:sz w:val="20"/>
                <w:szCs w:val="20"/>
              </w:rPr>
            </w:pPr>
            <w:r>
              <w:rPr>
                <w:rFonts w:hint="eastAsia" w:ascii="仿宋" w:hAnsi="仿宋" w:eastAsia="仿宋" w:cs="仿宋"/>
                <w:color w:val="auto"/>
                <w:kern w:val="0"/>
                <w:sz w:val="20"/>
                <w:szCs w:val="20"/>
              </w:rPr>
              <w:t>75-79</w:t>
            </w:r>
          </w:p>
        </w:tc>
        <w:tc>
          <w:tcPr>
            <w:tcW w:w="1197" w:type="dxa"/>
            <w:vMerge w:val="restart"/>
            <w:tcBorders>
              <w:top w:val="nil"/>
              <w:left w:val="nil"/>
              <w:bottom w:val="nil"/>
              <w:right w:val="nil"/>
            </w:tcBorders>
            <w:shd w:val="clear" w:color="auto" w:fill="auto"/>
            <w:vAlign w:val="center"/>
          </w:tcPr>
          <w:p w14:paraId="07500392">
            <w:pPr>
              <w:widowControl/>
              <w:jc w:val="center"/>
              <w:rPr>
                <w:rFonts w:ascii="仿宋" w:hAnsi="仿宋" w:eastAsia="仿宋" w:cs="仿宋"/>
                <w:color w:val="auto"/>
                <w:kern w:val="0"/>
                <w:sz w:val="20"/>
                <w:szCs w:val="20"/>
              </w:rPr>
            </w:pPr>
            <w:r>
              <w:rPr>
                <w:rFonts w:hint="eastAsia" w:ascii="仿宋" w:hAnsi="仿宋" w:eastAsia="仿宋" w:cs="仿宋"/>
                <w:color w:val="auto"/>
                <w:kern w:val="0"/>
                <w:sz w:val="20"/>
                <w:szCs w:val="20"/>
              </w:rPr>
              <w:t>待改进</w:t>
            </w:r>
          </w:p>
        </w:tc>
        <w:tc>
          <w:tcPr>
            <w:tcW w:w="2485" w:type="dxa"/>
            <w:tcBorders>
              <w:top w:val="nil"/>
              <w:left w:val="single" w:color="auto" w:sz="4" w:space="0"/>
              <w:bottom w:val="single" w:color="auto" w:sz="4" w:space="0"/>
              <w:right w:val="single" w:color="auto" w:sz="4" w:space="0"/>
            </w:tcBorders>
            <w:shd w:val="clear" w:color="auto" w:fill="auto"/>
            <w:vAlign w:val="center"/>
          </w:tcPr>
          <w:p w14:paraId="18204970">
            <w:pPr>
              <w:widowControl/>
              <w:jc w:val="center"/>
              <w:rPr>
                <w:rFonts w:ascii="仿宋" w:hAnsi="仿宋" w:eastAsia="仿宋" w:cs="仿宋"/>
                <w:color w:val="auto"/>
                <w:kern w:val="0"/>
                <w:sz w:val="20"/>
                <w:szCs w:val="20"/>
              </w:rPr>
            </w:pPr>
            <w:r>
              <w:rPr>
                <w:rFonts w:hint="eastAsia" w:ascii="仿宋" w:hAnsi="仿宋" w:eastAsia="仿宋" w:cs="仿宋"/>
                <w:color w:val="auto"/>
                <w:kern w:val="0"/>
                <w:sz w:val="20"/>
                <w:szCs w:val="20"/>
              </w:rPr>
              <w:t>每低一份按照1%比例扣除考核基金</w:t>
            </w:r>
          </w:p>
        </w:tc>
        <w:tc>
          <w:tcPr>
            <w:tcW w:w="3055" w:type="dxa"/>
            <w:tcBorders>
              <w:top w:val="nil"/>
              <w:left w:val="nil"/>
              <w:bottom w:val="single" w:color="auto" w:sz="4" w:space="0"/>
              <w:right w:val="single" w:color="auto" w:sz="4" w:space="0"/>
            </w:tcBorders>
            <w:shd w:val="clear" w:color="auto" w:fill="auto"/>
            <w:vAlign w:val="center"/>
          </w:tcPr>
          <w:p w14:paraId="012ACE5F">
            <w:pPr>
              <w:widowControl/>
              <w:jc w:val="center"/>
              <w:rPr>
                <w:rFonts w:ascii="仿宋" w:hAnsi="仿宋" w:eastAsia="仿宋" w:cs="仿宋"/>
                <w:color w:val="auto"/>
                <w:kern w:val="0"/>
                <w:sz w:val="20"/>
                <w:szCs w:val="20"/>
              </w:rPr>
            </w:pPr>
            <w:r>
              <w:rPr>
                <w:rFonts w:hint="eastAsia" w:ascii="仿宋" w:hAnsi="仿宋" w:eastAsia="仿宋" w:cs="仿宋"/>
                <w:color w:val="auto"/>
                <w:kern w:val="0"/>
                <w:sz w:val="20"/>
                <w:szCs w:val="20"/>
              </w:rPr>
              <w:t>支付考核基金百分比=100%-（80-实际分数）*1%</w:t>
            </w:r>
          </w:p>
        </w:tc>
      </w:tr>
      <w:tr w14:paraId="0E259F01">
        <w:tblPrEx>
          <w:tblCellMar>
            <w:top w:w="0" w:type="dxa"/>
            <w:left w:w="108" w:type="dxa"/>
            <w:bottom w:w="0" w:type="dxa"/>
            <w:right w:w="108" w:type="dxa"/>
          </w:tblCellMar>
        </w:tblPrEx>
        <w:trPr>
          <w:trHeight w:val="989" w:hRule="atLeast"/>
          <w:jc w:val="center"/>
        </w:trPr>
        <w:tc>
          <w:tcPr>
            <w:tcW w:w="1242" w:type="dxa"/>
            <w:tcBorders>
              <w:top w:val="nil"/>
              <w:left w:val="single" w:color="auto" w:sz="4" w:space="0"/>
              <w:bottom w:val="single" w:color="auto" w:sz="4" w:space="0"/>
              <w:right w:val="single" w:color="auto" w:sz="4" w:space="0"/>
            </w:tcBorders>
            <w:shd w:val="clear" w:color="auto" w:fill="auto"/>
            <w:vAlign w:val="center"/>
          </w:tcPr>
          <w:p w14:paraId="7357A39E">
            <w:pPr>
              <w:widowControl/>
              <w:jc w:val="center"/>
              <w:rPr>
                <w:rFonts w:ascii="仿宋" w:hAnsi="仿宋" w:eastAsia="仿宋" w:cs="仿宋"/>
                <w:color w:val="auto"/>
                <w:kern w:val="0"/>
                <w:sz w:val="20"/>
                <w:szCs w:val="20"/>
              </w:rPr>
            </w:pPr>
            <w:r>
              <w:rPr>
                <w:rFonts w:hint="eastAsia" w:ascii="仿宋" w:hAnsi="仿宋" w:eastAsia="仿宋" w:cs="仿宋"/>
                <w:color w:val="auto"/>
                <w:kern w:val="0"/>
                <w:sz w:val="20"/>
                <w:szCs w:val="20"/>
              </w:rPr>
              <w:t>70-74</w:t>
            </w:r>
          </w:p>
        </w:tc>
        <w:tc>
          <w:tcPr>
            <w:tcW w:w="1197" w:type="dxa"/>
            <w:vMerge w:val="continue"/>
            <w:tcBorders>
              <w:top w:val="nil"/>
              <w:left w:val="nil"/>
              <w:bottom w:val="nil"/>
              <w:right w:val="nil"/>
            </w:tcBorders>
            <w:vAlign w:val="center"/>
          </w:tcPr>
          <w:p w14:paraId="382494AC">
            <w:pPr>
              <w:widowControl/>
              <w:jc w:val="left"/>
              <w:rPr>
                <w:rFonts w:ascii="仿宋" w:hAnsi="仿宋" w:eastAsia="仿宋" w:cs="仿宋"/>
                <w:color w:val="auto"/>
                <w:kern w:val="0"/>
                <w:sz w:val="20"/>
                <w:szCs w:val="20"/>
              </w:rPr>
            </w:pPr>
          </w:p>
        </w:tc>
        <w:tc>
          <w:tcPr>
            <w:tcW w:w="2485" w:type="dxa"/>
            <w:tcBorders>
              <w:top w:val="nil"/>
              <w:left w:val="single" w:color="auto" w:sz="4" w:space="0"/>
              <w:bottom w:val="single" w:color="auto" w:sz="4" w:space="0"/>
              <w:right w:val="single" w:color="auto" w:sz="4" w:space="0"/>
            </w:tcBorders>
            <w:shd w:val="clear" w:color="auto" w:fill="auto"/>
            <w:vAlign w:val="center"/>
          </w:tcPr>
          <w:p w14:paraId="572BC02C">
            <w:pPr>
              <w:widowControl/>
              <w:jc w:val="center"/>
              <w:rPr>
                <w:rFonts w:ascii="仿宋" w:hAnsi="仿宋" w:eastAsia="仿宋" w:cs="仿宋"/>
                <w:color w:val="auto"/>
                <w:kern w:val="0"/>
                <w:sz w:val="20"/>
                <w:szCs w:val="20"/>
              </w:rPr>
            </w:pPr>
            <w:r>
              <w:rPr>
                <w:rFonts w:hint="eastAsia" w:ascii="仿宋" w:hAnsi="仿宋" w:eastAsia="仿宋" w:cs="仿宋"/>
                <w:color w:val="auto"/>
                <w:kern w:val="0"/>
                <w:sz w:val="20"/>
                <w:szCs w:val="20"/>
              </w:rPr>
              <w:t>每低一份按照2%比例扣除考核基金</w:t>
            </w:r>
          </w:p>
        </w:tc>
        <w:tc>
          <w:tcPr>
            <w:tcW w:w="3055" w:type="dxa"/>
            <w:tcBorders>
              <w:top w:val="nil"/>
              <w:left w:val="nil"/>
              <w:bottom w:val="single" w:color="auto" w:sz="4" w:space="0"/>
              <w:right w:val="single" w:color="auto" w:sz="4" w:space="0"/>
            </w:tcBorders>
            <w:shd w:val="clear" w:color="auto" w:fill="auto"/>
            <w:vAlign w:val="center"/>
          </w:tcPr>
          <w:p w14:paraId="1775A348">
            <w:pPr>
              <w:widowControl/>
              <w:jc w:val="center"/>
              <w:rPr>
                <w:rFonts w:ascii="仿宋" w:hAnsi="仿宋" w:eastAsia="仿宋" w:cs="仿宋"/>
                <w:color w:val="auto"/>
                <w:kern w:val="0"/>
                <w:sz w:val="20"/>
                <w:szCs w:val="20"/>
              </w:rPr>
            </w:pPr>
            <w:r>
              <w:rPr>
                <w:rFonts w:hint="eastAsia" w:ascii="仿宋" w:hAnsi="仿宋" w:eastAsia="仿宋" w:cs="仿宋"/>
                <w:color w:val="auto"/>
                <w:kern w:val="0"/>
                <w:sz w:val="20"/>
                <w:szCs w:val="20"/>
              </w:rPr>
              <w:t>支付考核基金百分比=95%-（75-实际分数）*2%</w:t>
            </w:r>
          </w:p>
        </w:tc>
      </w:tr>
      <w:tr w14:paraId="7C5DE4A3">
        <w:tblPrEx>
          <w:tblCellMar>
            <w:top w:w="0" w:type="dxa"/>
            <w:left w:w="108" w:type="dxa"/>
            <w:bottom w:w="0" w:type="dxa"/>
            <w:right w:w="108" w:type="dxa"/>
          </w:tblCellMar>
        </w:tblPrEx>
        <w:trPr>
          <w:trHeight w:val="989" w:hRule="atLeast"/>
          <w:jc w:val="center"/>
        </w:trPr>
        <w:tc>
          <w:tcPr>
            <w:tcW w:w="1242" w:type="dxa"/>
            <w:tcBorders>
              <w:top w:val="nil"/>
              <w:left w:val="single" w:color="auto" w:sz="4" w:space="0"/>
              <w:bottom w:val="single" w:color="auto" w:sz="4" w:space="0"/>
              <w:right w:val="single" w:color="auto" w:sz="4" w:space="0"/>
            </w:tcBorders>
            <w:shd w:val="clear" w:color="auto" w:fill="auto"/>
            <w:vAlign w:val="center"/>
          </w:tcPr>
          <w:p w14:paraId="080A398F">
            <w:pPr>
              <w:widowControl/>
              <w:jc w:val="center"/>
              <w:rPr>
                <w:rFonts w:ascii="仿宋" w:hAnsi="仿宋" w:eastAsia="仿宋" w:cs="仿宋"/>
                <w:color w:val="auto"/>
                <w:kern w:val="0"/>
                <w:sz w:val="20"/>
                <w:szCs w:val="20"/>
              </w:rPr>
            </w:pPr>
            <w:r>
              <w:rPr>
                <w:rFonts w:hint="eastAsia" w:ascii="仿宋" w:hAnsi="仿宋" w:eastAsia="仿宋" w:cs="仿宋"/>
                <w:color w:val="auto"/>
                <w:kern w:val="0"/>
                <w:sz w:val="20"/>
                <w:szCs w:val="20"/>
              </w:rPr>
              <w:t>65-69</w:t>
            </w:r>
          </w:p>
        </w:tc>
        <w:tc>
          <w:tcPr>
            <w:tcW w:w="1197" w:type="dxa"/>
            <w:vMerge w:val="continue"/>
            <w:tcBorders>
              <w:top w:val="nil"/>
              <w:left w:val="nil"/>
              <w:bottom w:val="nil"/>
              <w:right w:val="nil"/>
            </w:tcBorders>
            <w:vAlign w:val="center"/>
          </w:tcPr>
          <w:p w14:paraId="56B25902">
            <w:pPr>
              <w:widowControl/>
              <w:jc w:val="left"/>
              <w:rPr>
                <w:rFonts w:ascii="仿宋" w:hAnsi="仿宋" w:eastAsia="仿宋" w:cs="仿宋"/>
                <w:color w:val="auto"/>
                <w:kern w:val="0"/>
                <w:sz w:val="20"/>
                <w:szCs w:val="20"/>
              </w:rPr>
            </w:pPr>
          </w:p>
        </w:tc>
        <w:tc>
          <w:tcPr>
            <w:tcW w:w="2485" w:type="dxa"/>
            <w:tcBorders>
              <w:top w:val="nil"/>
              <w:left w:val="single" w:color="auto" w:sz="4" w:space="0"/>
              <w:bottom w:val="single" w:color="auto" w:sz="4" w:space="0"/>
              <w:right w:val="single" w:color="auto" w:sz="4" w:space="0"/>
            </w:tcBorders>
            <w:shd w:val="clear" w:color="auto" w:fill="auto"/>
            <w:vAlign w:val="center"/>
          </w:tcPr>
          <w:p w14:paraId="2C9DCDE9">
            <w:pPr>
              <w:widowControl/>
              <w:jc w:val="center"/>
              <w:rPr>
                <w:rFonts w:ascii="仿宋" w:hAnsi="仿宋" w:eastAsia="仿宋" w:cs="仿宋"/>
                <w:color w:val="auto"/>
                <w:kern w:val="0"/>
                <w:sz w:val="20"/>
                <w:szCs w:val="20"/>
              </w:rPr>
            </w:pPr>
            <w:r>
              <w:rPr>
                <w:rFonts w:hint="eastAsia" w:ascii="仿宋" w:hAnsi="仿宋" w:eastAsia="仿宋" w:cs="仿宋"/>
                <w:color w:val="auto"/>
                <w:kern w:val="0"/>
                <w:sz w:val="20"/>
                <w:szCs w:val="20"/>
              </w:rPr>
              <w:t>每低一份按照2%比例扣除考核基金</w:t>
            </w:r>
          </w:p>
        </w:tc>
        <w:tc>
          <w:tcPr>
            <w:tcW w:w="3055" w:type="dxa"/>
            <w:tcBorders>
              <w:top w:val="nil"/>
              <w:left w:val="nil"/>
              <w:bottom w:val="single" w:color="auto" w:sz="4" w:space="0"/>
              <w:right w:val="single" w:color="auto" w:sz="4" w:space="0"/>
            </w:tcBorders>
            <w:shd w:val="clear" w:color="auto" w:fill="auto"/>
            <w:vAlign w:val="center"/>
          </w:tcPr>
          <w:p w14:paraId="189FDD5B">
            <w:pPr>
              <w:widowControl/>
              <w:jc w:val="center"/>
              <w:rPr>
                <w:rFonts w:ascii="仿宋" w:hAnsi="仿宋" w:eastAsia="仿宋" w:cs="仿宋"/>
                <w:color w:val="auto"/>
                <w:kern w:val="0"/>
                <w:sz w:val="20"/>
                <w:szCs w:val="20"/>
              </w:rPr>
            </w:pPr>
            <w:r>
              <w:rPr>
                <w:rFonts w:hint="eastAsia" w:ascii="仿宋" w:hAnsi="仿宋" w:eastAsia="仿宋" w:cs="仿宋"/>
                <w:color w:val="auto"/>
                <w:kern w:val="0"/>
                <w:sz w:val="20"/>
                <w:szCs w:val="20"/>
              </w:rPr>
              <w:t>支付考核基金百分比=85%-（70-实际分数）*2%</w:t>
            </w:r>
          </w:p>
        </w:tc>
      </w:tr>
      <w:tr w14:paraId="374427FF">
        <w:tblPrEx>
          <w:tblCellMar>
            <w:top w:w="0" w:type="dxa"/>
            <w:left w:w="108" w:type="dxa"/>
            <w:bottom w:w="0" w:type="dxa"/>
            <w:right w:w="108" w:type="dxa"/>
          </w:tblCellMar>
        </w:tblPrEx>
        <w:trPr>
          <w:trHeight w:val="989" w:hRule="atLeast"/>
          <w:jc w:val="center"/>
        </w:trPr>
        <w:tc>
          <w:tcPr>
            <w:tcW w:w="1242" w:type="dxa"/>
            <w:tcBorders>
              <w:top w:val="nil"/>
              <w:left w:val="single" w:color="auto" w:sz="4" w:space="0"/>
              <w:bottom w:val="single" w:color="auto" w:sz="4" w:space="0"/>
              <w:right w:val="single" w:color="auto" w:sz="4" w:space="0"/>
            </w:tcBorders>
            <w:shd w:val="clear" w:color="auto" w:fill="auto"/>
            <w:vAlign w:val="center"/>
          </w:tcPr>
          <w:p w14:paraId="3380F009">
            <w:pPr>
              <w:widowControl/>
              <w:jc w:val="center"/>
              <w:rPr>
                <w:rFonts w:ascii="仿宋" w:hAnsi="仿宋" w:eastAsia="仿宋" w:cs="仿宋"/>
                <w:color w:val="auto"/>
                <w:kern w:val="0"/>
                <w:sz w:val="20"/>
                <w:szCs w:val="20"/>
              </w:rPr>
            </w:pPr>
            <w:r>
              <w:rPr>
                <w:rFonts w:hint="eastAsia" w:ascii="仿宋" w:hAnsi="仿宋" w:eastAsia="仿宋" w:cs="仿宋"/>
                <w:color w:val="auto"/>
                <w:kern w:val="0"/>
                <w:sz w:val="20"/>
                <w:szCs w:val="20"/>
              </w:rPr>
              <w:t>60-64</w:t>
            </w:r>
          </w:p>
        </w:tc>
        <w:tc>
          <w:tcPr>
            <w:tcW w:w="1197" w:type="dxa"/>
            <w:vMerge w:val="continue"/>
            <w:tcBorders>
              <w:top w:val="nil"/>
              <w:left w:val="nil"/>
              <w:bottom w:val="nil"/>
              <w:right w:val="nil"/>
            </w:tcBorders>
            <w:vAlign w:val="center"/>
          </w:tcPr>
          <w:p w14:paraId="73DBA678">
            <w:pPr>
              <w:widowControl/>
              <w:jc w:val="left"/>
              <w:rPr>
                <w:rFonts w:ascii="仿宋" w:hAnsi="仿宋" w:eastAsia="仿宋" w:cs="仿宋"/>
                <w:color w:val="auto"/>
                <w:kern w:val="0"/>
                <w:sz w:val="20"/>
                <w:szCs w:val="20"/>
              </w:rPr>
            </w:pPr>
          </w:p>
        </w:tc>
        <w:tc>
          <w:tcPr>
            <w:tcW w:w="2485" w:type="dxa"/>
            <w:tcBorders>
              <w:top w:val="nil"/>
              <w:left w:val="single" w:color="auto" w:sz="4" w:space="0"/>
              <w:bottom w:val="single" w:color="auto" w:sz="4" w:space="0"/>
              <w:right w:val="single" w:color="auto" w:sz="4" w:space="0"/>
            </w:tcBorders>
            <w:shd w:val="clear" w:color="auto" w:fill="auto"/>
            <w:vAlign w:val="center"/>
          </w:tcPr>
          <w:p w14:paraId="7BD77F8A">
            <w:pPr>
              <w:widowControl/>
              <w:jc w:val="center"/>
              <w:rPr>
                <w:rFonts w:ascii="仿宋" w:hAnsi="仿宋" w:eastAsia="仿宋" w:cs="仿宋"/>
                <w:color w:val="auto"/>
                <w:kern w:val="0"/>
                <w:sz w:val="20"/>
                <w:szCs w:val="20"/>
              </w:rPr>
            </w:pPr>
            <w:r>
              <w:rPr>
                <w:rFonts w:hint="eastAsia" w:ascii="仿宋" w:hAnsi="仿宋" w:eastAsia="仿宋" w:cs="仿宋"/>
                <w:color w:val="auto"/>
                <w:kern w:val="0"/>
                <w:sz w:val="20"/>
                <w:szCs w:val="20"/>
              </w:rPr>
              <w:t>每低一份按照3%比例扣除考核基金</w:t>
            </w:r>
          </w:p>
        </w:tc>
        <w:tc>
          <w:tcPr>
            <w:tcW w:w="3055" w:type="dxa"/>
            <w:tcBorders>
              <w:top w:val="nil"/>
              <w:left w:val="nil"/>
              <w:bottom w:val="single" w:color="auto" w:sz="4" w:space="0"/>
              <w:right w:val="single" w:color="auto" w:sz="4" w:space="0"/>
            </w:tcBorders>
            <w:shd w:val="clear" w:color="auto" w:fill="auto"/>
            <w:vAlign w:val="center"/>
          </w:tcPr>
          <w:p w14:paraId="7BE56074">
            <w:pPr>
              <w:widowControl/>
              <w:jc w:val="center"/>
              <w:rPr>
                <w:rFonts w:ascii="仿宋" w:hAnsi="仿宋" w:eastAsia="仿宋" w:cs="仿宋"/>
                <w:color w:val="auto"/>
                <w:kern w:val="0"/>
                <w:sz w:val="20"/>
                <w:szCs w:val="20"/>
              </w:rPr>
            </w:pPr>
            <w:r>
              <w:rPr>
                <w:rFonts w:hint="eastAsia" w:ascii="仿宋" w:hAnsi="仿宋" w:eastAsia="仿宋" w:cs="仿宋"/>
                <w:color w:val="auto"/>
                <w:kern w:val="0"/>
                <w:sz w:val="20"/>
                <w:szCs w:val="20"/>
              </w:rPr>
              <w:t>支付考核基金百分比=75%-（65-实际分数）*3%</w:t>
            </w:r>
          </w:p>
        </w:tc>
      </w:tr>
      <w:tr w14:paraId="17CDE8E3">
        <w:tblPrEx>
          <w:tblCellMar>
            <w:top w:w="0" w:type="dxa"/>
            <w:left w:w="108" w:type="dxa"/>
            <w:bottom w:w="0" w:type="dxa"/>
            <w:right w:w="108" w:type="dxa"/>
          </w:tblCellMar>
        </w:tblPrEx>
        <w:trPr>
          <w:trHeight w:val="1048" w:hRule="atLeast"/>
          <w:jc w:val="center"/>
        </w:trPr>
        <w:tc>
          <w:tcPr>
            <w:tcW w:w="1242" w:type="dxa"/>
            <w:tcBorders>
              <w:top w:val="nil"/>
              <w:left w:val="single" w:color="auto" w:sz="4" w:space="0"/>
              <w:bottom w:val="single" w:color="auto" w:sz="4" w:space="0"/>
              <w:right w:val="single" w:color="auto" w:sz="4" w:space="0"/>
            </w:tcBorders>
            <w:shd w:val="clear" w:color="auto" w:fill="auto"/>
            <w:vAlign w:val="center"/>
          </w:tcPr>
          <w:p w14:paraId="673F0D60">
            <w:pPr>
              <w:widowControl/>
              <w:jc w:val="center"/>
              <w:rPr>
                <w:rFonts w:ascii="仿宋" w:hAnsi="仿宋" w:eastAsia="仿宋" w:cs="仿宋"/>
                <w:color w:val="auto"/>
                <w:kern w:val="0"/>
                <w:sz w:val="20"/>
                <w:szCs w:val="20"/>
              </w:rPr>
            </w:pPr>
            <w:r>
              <w:rPr>
                <w:rFonts w:hint="eastAsia" w:ascii="仿宋" w:hAnsi="仿宋" w:eastAsia="仿宋" w:cs="仿宋"/>
                <w:color w:val="auto"/>
                <w:kern w:val="0"/>
                <w:sz w:val="20"/>
                <w:szCs w:val="20"/>
              </w:rPr>
              <w:t>60分以下</w:t>
            </w:r>
          </w:p>
        </w:tc>
        <w:tc>
          <w:tcPr>
            <w:tcW w:w="1197" w:type="dxa"/>
            <w:tcBorders>
              <w:top w:val="single" w:color="auto" w:sz="4" w:space="0"/>
              <w:left w:val="nil"/>
              <w:bottom w:val="single" w:color="auto" w:sz="4" w:space="0"/>
              <w:right w:val="single" w:color="auto" w:sz="4" w:space="0"/>
            </w:tcBorders>
            <w:shd w:val="clear" w:color="auto" w:fill="auto"/>
            <w:vAlign w:val="center"/>
          </w:tcPr>
          <w:p w14:paraId="23C606D3">
            <w:pPr>
              <w:widowControl/>
              <w:jc w:val="center"/>
              <w:rPr>
                <w:rFonts w:ascii="仿宋" w:hAnsi="仿宋" w:eastAsia="仿宋" w:cs="仿宋"/>
                <w:color w:val="auto"/>
                <w:kern w:val="0"/>
                <w:sz w:val="20"/>
                <w:szCs w:val="20"/>
              </w:rPr>
            </w:pPr>
            <w:r>
              <w:rPr>
                <w:rFonts w:hint="eastAsia" w:ascii="仿宋" w:hAnsi="仿宋" w:eastAsia="仿宋" w:cs="仿宋"/>
                <w:color w:val="auto"/>
                <w:kern w:val="0"/>
                <w:sz w:val="20"/>
                <w:szCs w:val="20"/>
              </w:rPr>
              <w:t>不合格</w:t>
            </w:r>
          </w:p>
        </w:tc>
        <w:tc>
          <w:tcPr>
            <w:tcW w:w="2485" w:type="dxa"/>
            <w:tcBorders>
              <w:top w:val="nil"/>
              <w:left w:val="nil"/>
              <w:bottom w:val="single" w:color="auto" w:sz="4" w:space="0"/>
              <w:right w:val="single" w:color="auto" w:sz="4" w:space="0"/>
            </w:tcBorders>
            <w:shd w:val="clear" w:color="auto" w:fill="auto"/>
            <w:vAlign w:val="center"/>
          </w:tcPr>
          <w:p w14:paraId="2268650E">
            <w:pPr>
              <w:widowControl/>
              <w:jc w:val="center"/>
              <w:rPr>
                <w:rFonts w:ascii="仿宋" w:hAnsi="仿宋" w:eastAsia="仿宋" w:cs="仿宋"/>
                <w:color w:val="auto"/>
                <w:kern w:val="0"/>
                <w:sz w:val="20"/>
                <w:szCs w:val="20"/>
              </w:rPr>
            </w:pPr>
            <w:r>
              <w:rPr>
                <w:rFonts w:hint="eastAsia" w:ascii="仿宋" w:hAnsi="仿宋" w:eastAsia="仿宋" w:cs="仿宋"/>
                <w:color w:val="auto"/>
                <w:kern w:val="0"/>
                <w:sz w:val="20"/>
                <w:szCs w:val="20"/>
              </w:rPr>
              <w:t>支付考核基金的60%</w:t>
            </w:r>
          </w:p>
        </w:tc>
        <w:tc>
          <w:tcPr>
            <w:tcW w:w="3055" w:type="dxa"/>
            <w:tcBorders>
              <w:top w:val="nil"/>
              <w:left w:val="nil"/>
              <w:bottom w:val="single" w:color="auto" w:sz="4" w:space="0"/>
              <w:right w:val="single" w:color="auto" w:sz="4" w:space="0"/>
            </w:tcBorders>
            <w:shd w:val="clear" w:color="auto" w:fill="auto"/>
            <w:vAlign w:val="center"/>
          </w:tcPr>
          <w:p w14:paraId="4D9288EA">
            <w:pPr>
              <w:widowControl/>
              <w:jc w:val="center"/>
              <w:rPr>
                <w:rFonts w:ascii="仿宋" w:hAnsi="仿宋" w:eastAsia="仿宋" w:cs="仿宋"/>
                <w:color w:val="auto"/>
                <w:kern w:val="0"/>
                <w:sz w:val="20"/>
                <w:szCs w:val="20"/>
              </w:rPr>
            </w:pPr>
            <w:r>
              <w:rPr>
                <w:rFonts w:hint="eastAsia" w:ascii="仿宋" w:hAnsi="仿宋" w:eastAsia="仿宋" w:cs="仿宋"/>
                <w:color w:val="auto"/>
                <w:kern w:val="0"/>
                <w:sz w:val="20"/>
                <w:szCs w:val="20"/>
              </w:rPr>
              <w:t>/</w:t>
            </w:r>
          </w:p>
        </w:tc>
      </w:tr>
    </w:tbl>
    <w:p w14:paraId="495A3D47">
      <w:pPr>
        <w:pStyle w:val="12"/>
        <w:ind w:firstLine="402"/>
        <w:rPr>
          <w:rFonts w:ascii="仿宋_GB2312" w:hAnsi="仿宋_GB2312" w:eastAsia="仿宋_GB2312" w:cs="仿宋_GB2312"/>
          <w:b w:val="0"/>
          <w:bCs w:val="0"/>
          <w:color w:val="auto"/>
          <w:sz w:val="20"/>
        </w:rPr>
      </w:pPr>
      <w:bookmarkStart w:id="0" w:name="_GoBack"/>
      <w:r>
        <w:rPr>
          <w:rFonts w:hint="eastAsia" w:ascii="仿宋_GB2312" w:hAnsi="仿宋_GB2312" w:eastAsia="仿宋_GB2312" w:cs="仿宋_GB2312"/>
          <w:b w:val="0"/>
          <w:bCs w:val="0"/>
          <w:color w:val="auto"/>
          <w:sz w:val="20"/>
        </w:rPr>
        <w:t>5.考核项目</w:t>
      </w:r>
    </w:p>
    <w:p w14:paraId="6D68B1E2">
      <w:pPr>
        <w:pStyle w:val="12"/>
        <w:ind w:firstLine="400"/>
        <w:rPr>
          <w:rFonts w:ascii="仿宋" w:hAnsi="仿宋" w:eastAsia="仿宋" w:cs="仿宋"/>
          <w:b w:val="0"/>
          <w:bCs w:val="0"/>
          <w:color w:val="auto"/>
          <w:sz w:val="20"/>
          <w:szCs w:val="20"/>
        </w:rPr>
      </w:pPr>
      <w:r>
        <w:rPr>
          <w:rFonts w:hint="eastAsia" w:ascii="仿宋_GB2312" w:hAnsi="仿宋_GB2312" w:eastAsia="仿宋_GB2312" w:cs="仿宋_GB2312"/>
          <w:b w:val="0"/>
          <w:bCs w:val="0"/>
          <w:color w:val="auto"/>
          <w:sz w:val="20"/>
        </w:rPr>
        <w:t>包括培训演练（10分）、设备设施（10分）、卫生保洁（10分）、环境绿化（10分）、安全保卫（10分）、机房值守（10分）、文档管理（10分）、人员配备（10分）、安排任务落实（10分），共计100分。</w:t>
      </w:r>
    </w:p>
    <w:bookmarkEnd w:id="0"/>
    <w:p w14:paraId="7D6086C2">
      <w:pPr>
        <w:spacing w:line="360" w:lineRule="auto"/>
        <w:jc w:val="center"/>
        <w:rPr>
          <w:rFonts w:ascii="仿宋" w:hAnsi="仿宋" w:eastAsia="仿宋" w:cs="仿宋"/>
          <w:b/>
          <w:color w:val="auto"/>
          <w:sz w:val="20"/>
          <w:szCs w:val="20"/>
        </w:rPr>
      </w:pPr>
      <w:r>
        <w:rPr>
          <w:rFonts w:hint="eastAsia" w:ascii="仿宋" w:hAnsi="仿宋" w:eastAsia="仿宋" w:cs="仿宋"/>
          <w:b/>
          <w:color w:val="auto"/>
          <w:sz w:val="20"/>
          <w:szCs w:val="20"/>
        </w:rPr>
        <w:t>表2 考核项目表</w:t>
      </w:r>
    </w:p>
    <w:tbl>
      <w:tblPr>
        <w:tblStyle w:val="8"/>
        <w:tblW w:w="8157" w:type="dxa"/>
        <w:jc w:val="center"/>
        <w:tblLayout w:type="fixed"/>
        <w:tblCellMar>
          <w:top w:w="0" w:type="dxa"/>
          <w:left w:w="108" w:type="dxa"/>
          <w:bottom w:w="0" w:type="dxa"/>
          <w:right w:w="108" w:type="dxa"/>
        </w:tblCellMar>
      </w:tblPr>
      <w:tblGrid>
        <w:gridCol w:w="1010"/>
        <w:gridCol w:w="2342"/>
        <w:gridCol w:w="1208"/>
        <w:gridCol w:w="3597"/>
      </w:tblGrid>
      <w:tr w14:paraId="18DBF8F8">
        <w:tblPrEx>
          <w:tblCellMar>
            <w:top w:w="0" w:type="dxa"/>
            <w:left w:w="108" w:type="dxa"/>
            <w:bottom w:w="0" w:type="dxa"/>
            <w:right w:w="108" w:type="dxa"/>
          </w:tblCellMar>
        </w:tblPrEx>
        <w:trPr>
          <w:trHeight w:val="994" w:hRule="atLeast"/>
          <w:jc w:val="center"/>
        </w:trPr>
        <w:tc>
          <w:tcPr>
            <w:tcW w:w="1010" w:type="dxa"/>
            <w:tcBorders>
              <w:top w:val="single" w:color="auto" w:sz="4" w:space="0"/>
              <w:left w:val="single" w:color="auto" w:sz="4" w:space="0"/>
              <w:bottom w:val="single" w:color="auto" w:sz="4" w:space="0"/>
              <w:right w:val="single" w:color="auto" w:sz="4" w:space="0"/>
            </w:tcBorders>
            <w:shd w:val="clear" w:color="auto" w:fill="auto"/>
            <w:vAlign w:val="center"/>
          </w:tcPr>
          <w:p w14:paraId="6CF56ECE">
            <w:pPr>
              <w:widowControl/>
              <w:jc w:val="center"/>
              <w:rPr>
                <w:rFonts w:ascii="仿宋" w:hAnsi="仿宋" w:eastAsia="仿宋" w:cs="仿宋"/>
                <w:b/>
                <w:bCs/>
                <w:color w:val="auto"/>
                <w:kern w:val="0"/>
                <w:sz w:val="20"/>
                <w:szCs w:val="20"/>
              </w:rPr>
            </w:pPr>
            <w:r>
              <w:rPr>
                <w:rFonts w:hint="eastAsia" w:ascii="仿宋" w:hAnsi="仿宋" w:eastAsia="仿宋" w:cs="仿宋"/>
                <w:b/>
                <w:bCs/>
                <w:color w:val="auto"/>
                <w:kern w:val="0"/>
                <w:sz w:val="20"/>
                <w:szCs w:val="20"/>
              </w:rPr>
              <w:t>考核项目</w:t>
            </w:r>
          </w:p>
        </w:tc>
        <w:tc>
          <w:tcPr>
            <w:tcW w:w="2342" w:type="dxa"/>
            <w:tcBorders>
              <w:top w:val="single" w:color="auto" w:sz="4" w:space="0"/>
              <w:left w:val="nil"/>
              <w:bottom w:val="single" w:color="auto" w:sz="4" w:space="0"/>
              <w:right w:val="single" w:color="auto" w:sz="4" w:space="0"/>
            </w:tcBorders>
            <w:shd w:val="clear" w:color="auto" w:fill="auto"/>
            <w:vAlign w:val="center"/>
          </w:tcPr>
          <w:p w14:paraId="5DAAAC4B">
            <w:pPr>
              <w:widowControl/>
              <w:jc w:val="center"/>
              <w:rPr>
                <w:rFonts w:ascii="仿宋" w:hAnsi="仿宋" w:eastAsia="仿宋" w:cs="仿宋"/>
                <w:b/>
                <w:bCs/>
                <w:color w:val="auto"/>
                <w:kern w:val="0"/>
                <w:sz w:val="20"/>
                <w:szCs w:val="20"/>
              </w:rPr>
            </w:pPr>
            <w:r>
              <w:rPr>
                <w:rFonts w:hint="eastAsia" w:ascii="仿宋" w:hAnsi="仿宋" w:eastAsia="仿宋" w:cs="仿宋"/>
                <w:b/>
                <w:bCs/>
                <w:color w:val="auto"/>
                <w:kern w:val="0"/>
                <w:sz w:val="20"/>
                <w:szCs w:val="20"/>
              </w:rPr>
              <w:t>考核指标</w:t>
            </w:r>
          </w:p>
        </w:tc>
        <w:tc>
          <w:tcPr>
            <w:tcW w:w="1208" w:type="dxa"/>
            <w:tcBorders>
              <w:top w:val="single" w:color="auto" w:sz="4" w:space="0"/>
              <w:left w:val="nil"/>
              <w:bottom w:val="single" w:color="auto" w:sz="4" w:space="0"/>
              <w:right w:val="single" w:color="auto" w:sz="4" w:space="0"/>
            </w:tcBorders>
            <w:shd w:val="clear" w:color="auto" w:fill="auto"/>
            <w:vAlign w:val="center"/>
          </w:tcPr>
          <w:p w14:paraId="79195A1A">
            <w:pPr>
              <w:widowControl/>
              <w:jc w:val="center"/>
              <w:rPr>
                <w:rFonts w:ascii="仿宋" w:hAnsi="仿宋" w:eastAsia="仿宋" w:cs="仿宋"/>
                <w:b/>
                <w:bCs/>
                <w:color w:val="auto"/>
                <w:kern w:val="0"/>
                <w:sz w:val="20"/>
                <w:szCs w:val="20"/>
              </w:rPr>
            </w:pPr>
            <w:r>
              <w:rPr>
                <w:rFonts w:hint="eastAsia" w:ascii="仿宋" w:hAnsi="仿宋" w:eastAsia="仿宋" w:cs="仿宋"/>
                <w:b/>
                <w:bCs/>
                <w:color w:val="auto"/>
                <w:kern w:val="0"/>
                <w:sz w:val="20"/>
                <w:szCs w:val="20"/>
              </w:rPr>
              <w:t>分值（分）</w:t>
            </w:r>
          </w:p>
        </w:tc>
        <w:tc>
          <w:tcPr>
            <w:tcW w:w="3597" w:type="dxa"/>
            <w:tcBorders>
              <w:top w:val="single" w:color="auto" w:sz="4" w:space="0"/>
              <w:left w:val="nil"/>
              <w:bottom w:val="single" w:color="auto" w:sz="4" w:space="0"/>
              <w:right w:val="single" w:color="auto" w:sz="4" w:space="0"/>
            </w:tcBorders>
            <w:shd w:val="clear" w:color="auto" w:fill="auto"/>
            <w:vAlign w:val="center"/>
          </w:tcPr>
          <w:p w14:paraId="2C2F46FB">
            <w:pPr>
              <w:widowControl/>
              <w:jc w:val="center"/>
              <w:rPr>
                <w:rFonts w:ascii="仿宋" w:hAnsi="仿宋" w:eastAsia="仿宋" w:cs="仿宋"/>
                <w:b/>
                <w:bCs/>
                <w:color w:val="auto"/>
                <w:kern w:val="0"/>
                <w:sz w:val="20"/>
                <w:szCs w:val="20"/>
              </w:rPr>
            </w:pPr>
            <w:r>
              <w:rPr>
                <w:rFonts w:hint="eastAsia" w:ascii="仿宋" w:hAnsi="仿宋" w:eastAsia="仿宋" w:cs="仿宋"/>
                <w:b/>
                <w:bCs/>
                <w:color w:val="auto"/>
                <w:kern w:val="0"/>
                <w:sz w:val="20"/>
                <w:szCs w:val="20"/>
              </w:rPr>
              <w:t>评分细则</w:t>
            </w:r>
          </w:p>
        </w:tc>
      </w:tr>
      <w:tr w14:paraId="3070B0C2">
        <w:tblPrEx>
          <w:tblCellMar>
            <w:top w:w="0" w:type="dxa"/>
            <w:left w:w="108" w:type="dxa"/>
            <w:bottom w:w="0" w:type="dxa"/>
            <w:right w:w="108" w:type="dxa"/>
          </w:tblCellMar>
        </w:tblPrEx>
        <w:trPr>
          <w:trHeight w:val="1467" w:hRule="atLeast"/>
          <w:jc w:val="center"/>
        </w:trPr>
        <w:tc>
          <w:tcPr>
            <w:tcW w:w="1010" w:type="dxa"/>
            <w:tcBorders>
              <w:top w:val="nil"/>
              <w:left w:val="single" w:color="auto" w:sz="4" w:space="0"/>
              <w:bottom w:val="single" w:color="auto" w:sz="4" w:space="0"/>
              <w:right w:val="single" w:color="auto" w:sz="4" w:space="0"/>
            </w:tcBorders>
            <w:shd w:val="clear" w:color="auto" w:fill="auto"/>
            <w:vAlign w:val="center"/>
          </w:tcPr>
          <w:p w14:paraId="38888593">
            <w:pPr>
              <w:widowControl/>
              <w:jc w:val="center"/>
              <w:rPr>
                <w:rFonts w:ascii="仿宋" w:hAnsi="仿宋" w:eastAsia="仿宋" w:cs="仿宋"/>
                <w:color w:val="auto"/>
                <w:kern w:val="0"/>
                <w:sz w:val="20"/>
                <w:szCs w:val="20"/>
              </w:rPr>
            </w:pPr>
            <w:r>
              <w:rPr>
                <w:rFonts w:hint="eastAsia" w:ascii="仿宋" w:hAnsi="仿宋" w:eastAsia="仿宋" w:cs="仿宋"/>
                <w:color w:val="auto"/>
                <w:kern w:val="0"/>
                <w:sz w:val="20"/>
                <w:szCs w:val="20"/>
              </w:rPr>
              <w:t>培训演练</w:t>
            </w:r>
          </w:p>
        </w:tc>
        <w:tc>
          <w:tcPr>
            <w:tcW w:w="2342" w:type="dxa"/>
            <w:tcBorders>
              <w:top w:val="nil"/>
              <w:left w:val="nil"/>
              <w:bottom w:val="single" w:color="auto" w:sz="4" w:space="0"/>
              <w:right w:val="single" w:color="auto" w:sz="4" w:space="0"/>
            </w:tcBorders>
            <w:shd w:val="clear" w:color="auto" w:fill="auto"/>
            <w:vAlign w:val="center"/>
          </w:tcPr>
          <w:p w14:paraId="5CBA1137">
            <w:pPr>
              <w:widowControl/>
              <w:jc w:val="center"/>
              <w:rPr>
                <w:rFonts w:ascii="仿宋" w:hAnsi="仿宋" w:eastAsia="仿宋" w:cs="仿宋"/>
                <w:color w:val="auto"/>
                <w:kern w:val="0"/>
                <w:sz w:val="20"/>
                <w:szCs w:val="20"/>
              </w:rPr>
            </w:pPr>
            <w:r>
              <w:rPr>
                <w:rFonts w:hint="eastAsia" w:ascii="仿宋" w:hAnsi="仿宋" w:eastAsia="仿宋" w:cs="仿宋"/>
                <w:color w:val="auto"/>
                <w:kern w:val="0"/>
                <w:sz w:val="20"/>
                <w:szCs w:val="20"/>
              </w:rPr>
              <w:t>业务培训及演练</w:t>
            </w:r>
          </w:p>
        </w:tc>
        <w:tc>
          <w:tcPr>
            <w:tcW w:w="1208" w:type="dxa"/>
            <w:tcBorders>
              <w:top w:val="nil"/>
              <w:left w:val="nil"/>
              <w:bottom w:val="single" w:color="auto" w:sz="4" w:space="0"/>
              <w:right w:val="single" w:color="auto" w:sz="4" w:space="0"/>
            </w:tcBorders>
            <w:shd w:val="clear" w:color="auto" w:fill="auto"/>
            <w:vAlign w:val="center"/>
          </w:tcPr>
          <w:p w14:paraId="7EF2ED22">
            <w:pPr>
              <w:widowControl/>
              <w:jc w:val="center"/>
              <w:rPr>
                <w:rFonts w:ascii="仿宋" w:hAnsi="仿宋" w:eastAsia="仿宋" w:cs="仿宋"/>
                <w:color w:val="auto"/>
                <w:kern w:val="0"/>
                <w:sz w:val="20"/>
                <w:szCs w:val="20"/>
              </w:rPr>
            </w:pPr>
            <w:r>
              <w:rPr>
                <w:rFonts w:hint="eastAsia" w:ascii="仿宋" w:hAnsi="仿宋" w:eastAsia="仿宋" w:cs="仿宋"/>
                <w:color w:val="auto"/>
                <w:kern w:val="0"/>
                <w:sz w:val="20"/>
                <w:szCs w:val="20"/>
              </w:rPr>
              <w:t>10</w:t>
            </w:r>
          </w:p>
        </w:tc>
        <w:tc>
          <w:tcPr>
            <w:tcW w:w="3597" w:type="dxa"/>
            <w:tcBorders>
              <w:top w:val="nil"/>
              <w:left w:val="nil"/>
              <w:bottom w:val="single" w:color="auto" w:sz="4" w:space="0"/>
              <w:right w:val="single" w:color="auto" w:sz="4" w:space="0"/>
            </w:tcBorders>
            <w:shd w:val="clear" w:color="auto" w:fill="auto"/>
            <w:vAlign w:val="center"/>
          </w:tcPr>
          <w:p w14:paraId="281422B4">
            <w:pPr>
              <w:widowControl/>
              <w:jc w:val="left"/>
              <w:rPr>
                <w:rFonts w:ascii="仿宋" w:hAnsi="仿宋" w:eastAsia="仿宋" w:cs="仿宋"/>
                <w:color w:val="auto"/>
                <w:kern w:val="0"/>
                <w:sz w:val="20"/>
                <w:szCs w:val="20"/>
              </w:rPr>
            </w:pPr>
            <w:r>
              <w:rPr>
                <w:rFonts w:hint="eastAsia" w:ascii="仿宋" w:hAnsi="仿宋" w:eastAsia="仿宋" w:cs="仿宋"/>
                <w:color w:val="auto"/>
                <w:kern w:val="0"/>
                <w:sz w:val="20"/>
                <w:szCs w:val="20"/>
              </w:rPr>
              <w:t>1.每月对物业人员组织一次业务培训</w:t>
            </w:r>
            <w:r>
              <w:rPr>
                <w:rFonts w:hint="eastAsia" w:ascii="仿宋" w:hAnsi="仿宋" w:eastAsia="仿宋" w:cs="仿宋"/>
                <w:color w:val="auto"/>
                <w:kern w:val="0"/>
                <w:sz w:val="20"/>
                <w:szCs w:val="20"/>
              </w:rPr>
              <w:br w:type="textWrapping"/>
            </w:r>
            <w:r>
              <w:rPr>
                <w:rFonts w:hint="eastAsia" w:ascii="仿宋" w:hAnsi="仿宋" w:eastAsia="仿宋" w:cs="仿宋"/>
                <w:color w:val="auto"/>
                <w:kern w:val="0"/>
                <w:sz w:val="20"/>
                <w:szCs w:val="20"/>
              </w:rPr>
              <w:t>2.每季度各岗位组织一次业务演练</w:t>
            </w:r>
          </w:p>
        </w:tc>
      </w:tr>
      <w:tr w14:paraId="18249D09">
        <w:tblPrEx>
          <w:tblCellMar>
            <w:top w:w="0" w:type="dxa"/>
            <w:left w:w="108" w:type="dxa"/>
            <w:bottom w:w="0" w:type="dxa"/>
            <w:right w:w="108" w:type="dxa"/>
          </w:tblCellMar>
        </w:tblPrEx>
        <w:trPr>
          <w:trHeight w:val="1937" w:hRule="atLeast"/>
          <w:jc w:val="center"/>
        </w:trPr>
        <w:tc>
          <w:tcPr>
            <w:tcW w:w="1010" w:type="dxa"/>
            <w:tcBorders>
              <w:top w:val="nil"/>
              <w:left w:val="single" w:color="auto" w:sz="4" w:space="0"/>
              <w:bottom w:val="single" w:color="auto" w:sz="4" w:space="0"/>
              <w:right w:val="single" w:color="auto" w:sz="4" w:space="0"/>
            </w:tcBorders>
            <w:shd w:val="clear" w:color="auto" w:fill="auto"/>
            <w:vAlign w:val="center"/>
          </w:tcPr>
          <w:p w14:paraId="728EAB93">
            <w:pPr>
              <w:widowControl/>
              <w:jc w:val="center"/>
              <w:rPr>
                <w:rFonts w:ascii="仿宋" w:hAnsi="仿宋" w:eastAsia="仿宋" w:cs="仿宋"/>
                <w:color w:val="auto"/>
                <w:kern w:val="0"/>
                <w:sz w:val="20"/>
                <w:szCs w:val="20"/>
              </w:rPr>
            </w:pPr>
            <w:r>
              <w:rPr>
                <w:rFonts w:hint="eastAsia" w:ascii="仿宋" w:hAnsi="仿宋" w:eastAsia="仿宋" w:cs="仿宋"/>
                <w:color w:val="auto"/>
                <w:kern w:val="0"/>
                <w:sz w:val="20"/>
                <w:szCs w:val="20"/>
              </w:rPr>
              <w:t>设备设施</w:t>
            </w:r>
          </w:p>
        </w:tc>
        <w:tc>
          <w:tcPr>
            <w:tcW w:w="2342" w:type="dxa"/>
            <w:tcBorders>
              <w:top w:val="nil"/>
              <w:left w:val="nil"/>
              <w:bottom w:val="single" w:color="auto" w:sz="4" w:space="0"/>
              <w:right w:val="single" w:color="auto" w:sz="4" w:space="0"/>
            </w:tcBorders>
            <w:shd w:val="clear" w:color="auto" w:fill="auto"/>
            <w:vAlign w:val="center"/>
          </w:tcPr>
          <w:p w14:paraId="23F5C0AE">
            <w:pPr>
              <w:widowControl/>
              <w:jc w:val="center"/>
              <w:rPr>
                <w:rFonts w:ascii="仿宋" w:hAnsi="仿宋" w:eastAsia="仿宋" w:cs="仿宋"/>
                <w:color w:val="auto"/>
                <w:kern w:val="0"/>
                <w:sz w:val="20"/>
                <w:szCs w:val="20"/>
              </w:rPr>
            </w:pPr>
            <w:r>
              <w:rPr>
                <w:rFonts w:hint="eastAsia" w:ascii="仿宋" w:hAnsi="仿宋" w:eastAsia="仿宋" w:cs="仿宋"/>
                <w:color w:val="auto"/>
                <w:kern w:val="0"/>
                <w:sz w:val="20"/>
                <w:szCs w:val="20"/>
              </w:rPr>
              <w:t>共用设施设备日常维修、养护、运行和管理</w:t>
            </w:r>
          </w:p>
        </w:tc>
        <w:tc>
          <w:tcPr>
            <w:tcW w:w="1208" w:type="dxa"/>
            <w:tcBorders>
              <w:top w:val="nil"/>
              <w:left w:val="nil"/>
              <w:bottom w:val="single" w:color="auto" w:sz="4" w:space="0"/>
              <w:right w:val="single" w:color="auto" w:sz="4" w:space="0"/>
            </w:tcBorders>
            <w:shd w:val="clear" w:color="auto" w:fill="auto"/>
            <w:vAlign w:val="center"/>
          </w:tcPr>
          <w:p w14:paraId="02C616E6">
            <w:pPr>
              <w:widowControl/>
              <w:jc w:val="center"/>
              <w:rPr>
                <w:rFonts w:ascii="仿宋" w:hAnsi="仿宋" w:eastAsia="仿宋" w:cs="仿宋"/>
                <w:color w:val="auto"/>
                <w:kern w:val="0"/>
                <w:sz w:val="20"/>
                <w:szCs w:val="20"/>
              </w:rPr>
            </w:pPr>
            <w:r>
              <w:rPr>
                <w:rFonts w:hint="eastAsia" w:ascii="仿宋" w:hAnsi="仿宋" w:eastAsia="仿宋" w:cs="仿宋"/>
                <w:color w:val="auto"/>
                <w:kern w:val="0"/>
                <w:sz w:val="20"/>
                <w:szCs w:val="20"/>
              </w:rPr>
              <w:t>10</w:t>
            </w:r>
          </w:p>
        </w:tc>
        <w:tc>
          <w:tcPr>
            <w:tcW w:w="3597" w:type="dxa"/>
            <w:tcBorders>
              <w:top w:val="nil"/>
              <w:left w:val="nil"/>
              <w:bottom w:val="single" w:color="auto" w:sz="4" w:space="0"/>
              <w:right w:val="single" w:color="auto" w:sz="4" w:space="0"/>
            </w:tcBorders>
            <w:shd w:val="clear" w:color="auto" w:fill="auto"/>
            <w:vAlign w:val="center"/>
          </w:tcPr>
          <w:p w14:paraId="22FA0892">
            <w:pPr>
              <w:widowControl/>
              <w:jc w:val="left"/>
              <w:rPr>
                <w:rFonts w:ascii="仿宋" w:hAnsi="仿宋" w:eastAsia="仿宋" w:cs="仿宋"/>
                <w:color w:val="auto"/>
                <w:kern w:val="0"/>
                <w:sz w:val="20"/>
                <w:szCs w:val="20"/>
              </w:rPr>
            </w:pPr>
            <w:r>
              <w:rPr>
                <w:rFonts w:hint="eastAsia" w:ascii="仿宋" w:hAnsi="仿宋" w:eastAsia="仿宋" w:cs="仿宋"/>
                <w:color w:val="auto"/>
                <w:kern w:val="0"/>
                <w:sz w:val="20"/>
                <w:szCs w:val="20"/>
              </w:rPr>
              <w:t>1.及时对设施设备进行维修</w:t>
            </w:r>
            <w:r>
              <w:rPr>
                <w:rFonts w:hint="eastAsia" w:ascii="仿宋" w:hAnsi="仿宋" w:eastAsia="仿宋" w:cs="仿宋"/>
                <w:color w:val="auto"/>
                <w:kern w:val="0"/>
                <w:sz w:val="20"/>
                <w:szCs w:val="20"/>
              </w:rPr>
              <w:br w:type="textWrapping"/>
            </w:r>
            <w:r>
              <w:rPr>
                <w:rFonts w:hint="eastAsia" w:ascii="仿宋" w:hAnsi="仿宋" w:eastAsia="仿宋" w:cs="仿宋"/>
                <w:color w:val="auto"/>
                <w:kern w:val="0"/>
                <w:sz w:val="20"/>
                <w:szCs w:val="20"/>
              </w:rPr>
              <w:t>2.依据标准法规对设施设备进行检验</w:t>
            </w:r>
            <w:r>
              <w:rPr>
                <w:rFonts w:hint="eastAsia" w:ascii="仿宋" w:hAnsi="仿宋" w:eastAsia="仿宋" w:cs="仿宋"/>
                <w:color w:val="auto"/>
                <w:kern w:val="0"/>
                <w:sz w:val="20"/>
                <w:szCs w:val="20"/>
              </w:rPr>
              <w:br w:type="textWrapping"/>
            </w:r>
            <w:r>
              <w:rPr>
                <w:rFonts w:hint="eastAsia" w:ascii="仿宋" w:hAnsi="仿宋" w:eastAsia="仿宋" w:cs="仿宋"/>
                <w:color w:val="auto"/>
                <w:kern w:val="0"/>
                <w:sz w:val="20"/>
                <w:szCs w:val="20"/>
              </w:rPr>
              <w:t>3.及时更新设备设施台账</w:t>
            </w:r>
          </w:p>
        </w:tc>
      </w:tr>
      <w:tr w14:paraId="2D783579">
        <w:tblPrEx>
          <w:tblCellMar>
            <w:top w:w="0" w:type="dxa"/>
            <w:left w:w="108" w:type="dxa"/>
            <w:bottom w:w="0" w:type="dxa"/>
            <w:right w:w="108" w:type="dxa"/>
          </w:tblCellMar>
        </w:tblPrEx>
        <w:trPr>
          <w:trHeight w:val="2370" w:hRule="atLeast"/>
          <w:jc w:val="center"/>
        </w:trPr>
        <w:tc>
          <w:tcPr>
            <w:tcW w:w="1010" w:type="dxa"/>
            <w:tcBorders>
              <w:top w:val="nil"/>
              <w:left w:val="single" w:color="auto" w:sz="4" w:space="0"/>
              <w:bottom w:val="single" w:color="auto" w:sz="4" w:space="0"/>
              <w:right w:val="single" w:color="auto" w:sz="4" w:space="0"/>
            </w:tcBorders>
            <w:shd w:val="clear" w:color="auto" w:fill="auto"/>
            <w:vAlign w:val="center"/>
          </w:tcPr>
          <w:p w14:paraId="1A1E23E3">
            <w:pPr>
              <w:widowControl/>
              <w:jc w:val="center"/>
              <w:rPr>
                <w:rFonts w:ascii="仿宋" w:hAnsi="仿宋" w:eastAsia="仿宋" w:cs="仿宋"/>
                <w:color w:val="auto"/>
                <w:kern w:val="0"/>
                <w:sz w:val="20"/>
                <w:szCs w:val="20"/>
              </w:rPr>
            </w:pPr>
            <w:r>
              <w:rPr>
                <w:rFonts w:hint="eastAsia" w:ascii="仿宋" w:hAnsi="仿宋" w:eastAsia="仿宋" w:cs="仿宋"/>
                <w:color w:val="auto"/>
                <w:kern w:val="0"/>
                <w:sz w:val="20"/>
                <w:szCs w:val="20"/>
              </w:rPr>
              <w:t>卫生保洁</w:t>
            </w:r>
          </w:p>
        </w:tc>
        <w:tc>
          <w:tcPr>
            <w:tcW w:w="2342" w:type="dxa"/>
            <w:tcBorders>
              <w:top w:val="nil"/>
              <w:left w:val="nil"/>
              <w:bottom w:val="single" w:color="auto" w:sz="4" w:space="0"/>
              <w:right w:val="single" w:color="auto" w:sz="4" w:space="0"/>
            </w:tcBorders>
            <w:shd w:val="clear" w:color="auto" w:fill="auto"/>
            <w:vAlign w:val="center"/>
          </w:tcPr>
          <w:p w14:paraId="0C1655E5">
            <w:pPr>
              <w:widowControl/>
              <w:jc w:val="center"/>
              <w:rPr>
                <w:rFonts w:ascii="仿宋" w:hAnsi="仿宋" w:eastAsia="仿宋" w:cs="仿宋"/>
                <w:color w:val="auto"/>
                <w:kern w:val="0"/>
                <w:sz w:val="20"/>
                <w:szCs w:val="20"/>
              </w:rPr>
            </w:pPr>
            <w:r>
              <w:rPr>
                <w:rFonts w:hint="eastAsia" w:ascii="仿宋" w:hAnsi="仿宋" w:eastAsia="仿宋" w:cs="仿宋"/>
                <w:color w:val="auto"/>
                <w:kern w:val="0"/>
                <w:sz w:val="20"/>
                <w:szCs w:val="20"/>
              </w:rPr>
              <w:t>大楼范围内卫生保洁</w:t>
            </w:r>
          </w:p>
        </w:tc>
        <w:tc>
          <w:tcPr>
            <w:tcW w:w="1208" w:type="dxa"/>
            <w:tcBorders>
              <w:top w:val="nil"/>
              <w:left w:val="nil"/>
              <w:bottom w:val="single" w:color="auto" w:sz="4" w:space="0"/>
              <w:right w:val="single" w:color="auto" w:sz="4" w:space="0"/>
            </w:tcBorders>
            <w:shd w:val="clear" w:color="auto" w:fill="auto"/>
            <w:vAlign w:val="center"/>
          </w:tcPr>
          <w:p w14:paraId="0BDF91C3">
            <w:pPr>
              <w:widowControl/>
              <w:jc w:val="center"/>
              <w:rPr>
                <w:rFonts w:ascii="仿宋" w:hAnsi="仿宋" w:eastAsia="仿宋" w:cs="仿宋"/>
                <w:color w:val="auto"/>
                <w:kern w:val="0"/>
                <w:sz w:val="20"/>
                <w:szCs w:val="20"/>
              </w:rPr>
            </w:pPr>
            <w:r>
              <w:rPr>
                <w:rFonts w:hint="eastAsia" w:ascii="仿宋" w:hAnsi="仿宋" w:eastAsia="仿宋" w:cs="仿宋"/>
                <w:color w:val="auto"/>
                <w:kern w:val="0"/>
                <w:sz w:val="20"/>
                <w:szCs w:val="20"/>
              </w:rPr>
              <w:t>10</w:t>
            </w:r>
          </w:p>
        </w:tc>
        <w:tc>
          <w:tcPr>
            <w:tcW w:w="3597" w:type="dxa"/>
            <w:tcBorders>
              <w:top w:val="nil"/>
              <w:left w:val="nil"/>
              <w:bottom w:val="single" w:color="auto" w:sz="4" w:space="0"/>
              <w:right w:val="single" w:color="auto" w:sz="4" w:space="0"/>
            </w:tcBorders>
            <w:shd w:val="clear" w:color="auto" w:fill="auto"/>
            <w:vAlign w:val="center"/>
          </w:tcPr>
          <w:p w14:paraId="1814F690">
            <w:pPr>
              <w:widowControl/>
              <w:jc w:val="left"/>
              <w:rPr>
                <w:rFonts w:ascii="仿宋" w:hAnsi="仿宋" w:eastAsia="仿宋" w:cs="仿宋"/>
                <w:color w:val="auto"/>
                <w:kern w:val="0"/>
                <w:sz w:val="20"/>
                <w:szCs w:val="20"/>
              </w:rPr>
            </w:pPr>
            <w:r>
              <w:rPr>
                <w:rFonts w:hint="eastAsia" w:ascii="仿宋" w:hAnsi="仿宋" w:eastAsia="仿宋" w:cs="仿宋"/>
                <w:color w:val="auto"/>
                <w:kern w:val="0"/>
                <w:sz w:val="20"/>
                <w:szCs w:val="20"/>
              </w:rPr>
              <w:t>1.清理打扫合同约定区域，质量过关</w:t>
            </w:r>
            <w:r>
              <w:rPr>
                <w:rFonts w:hint="eastAsia" w:ascii="仿宋" w:hAnsi="仿宋" w:eastAsia="仿宋" w:cs="仿宋"/>
                <w:color w:val="auto"/>
                <w:kern w:val="0"/>
                <w:sz w:val="20"/>
                <w:szCs w:val="20"/>
              </w:rPr>
              <w:br w:type="textWrapping"/>
            </w:r>
            <w:r>
              <w:rPr>
                <w:rFonts w:hint="eastAsia" w:ascii="仿宋" w:hAnsi="仿宋" w:eastAsia="仿宋" w:cs="仿宋"/>
                <w:color w:val="auto"/>
                <w:kern w:val="0"/>
                <w:sz w:val="20"/>
                <w:szCs w:val="20"/>
              </w:rPr>
              <w:t>2.及时清理倾倒垃圾</w:t>
            </w:r>
            <w:r>
              <w:rPr>
                <w:rFonts w:hint="eastAsia" w:ascii="仿宋" w:hAnsi="仿宋" w:eastAsia="仿宋" w:cs="仿宋"/>
                <w:color w:val="auto"/>
                <w:kern w:val="0"/>
                <w:sz w:val="20"/>
                <w:szCs w:val="20"/>
              </w:rPr>
              <w:br w:type="textWrapping"/>
            </w:r>
            <w:r>
              <w:rPr>
                <w:rFonts w:hint="eastAsia" w:ascii="仿宋" w:hAnsi="仿宋" w:eastAsia="仿宋" w:cs="仿宋"/>
                <w:color w:val="auto"/>
                <w:kern w:val="0"/>
                <w:sz w:val="20"/>
                <w:szCs w:val="20"/>
              </w:rPr>
              <w:t>3.卫生用纸、洗手液等消耗品及时填充</w:t>
            </w:r>
          </w:p>
        </w:tc>
      </w:tr>
      <w:tr w14:paraId="2DE37E69">
        <w:tblPrEx>
          <w:tblCellMar>
            <w:top w:w="0" w:type="dxa"/>
            <w:left w:w="108" w:type="dxa"/>
            <w:bottom w:w="0" w:type="dxa"/>
            <w:right w:w="108" w:type="dxa"/>
          </w:tblCellMar>
        </w:tblPrEx>
        <w:trPr>
          <w:trHeight w:val="1937" w:hRule="atLeast"/>
          <w:jc w:val="center"/>
        </w:trPr>
        <w:tc>
          <w:tcPr>
            <w:tcW w:w="1010" w:type="dxa"/>
            <w:tcBorders>
              <w:top w:val="nil"/>
              <w:left w:val="single" w:color="auto" w:sz="4" w:space="0"/>
              <w:bottom w:val="single" w:color="auto" w:sz="4" w:space="0"/>
              <w:right w:val="single" w:color="auto" w:sz="4" w:space="0"/>
            </w:tcBorders>
            <w:shd w:val="clear" w:color="auto" w:fill="auto"/>
            <w:vAlign w:val="center"/>
          </w:tcPr>
          <w:p w14:paraId="28FC8811">
            <w:pPr>
              <w:widowControl/>
              <w:jc w:val="center"/>
              <w:rPr>
                <w:rFonts w:ascii="仿宋" w:hAnsi="仿宋" w:eastAsia="仿宋" w:cs="仿宋"/>
                <w:color w:val="auto"/>
                <w:kern w:val="0"/>
                <w:sz w:val="20"/>
                <w:szCs w:val="20"/>
              </w:rPr>
            </w:pPr>
            <w:r>
              <w:rPr>
                <w:rFonts w:hint="eastAsia" w:ascii="仿宋" w:hAnsi="仿宋" w:eastAsia="仿宋" w:cs="仿宋"/>
                <w:color w:val="auto"/>
                <w:kern w:val="0"/>
                <w:sz w:val="20"/>
                <w:szCs w:val="20"/>
              </w:rPr>
              <w:t>环境绿化</w:t>
            </w:r>
          </w:p>
        </w:tc>
        <w:tc>
          <w:tcPr>
            <w:tcW w:w="2342" w:type="dxa"/>
            <w:tcBorders>
              <w:top w:val="nil"/>
              <w:left w:val="nil"/>
              <w:bottom w:val="single" w:color="auto" w:sz="4" w:space="0"/>
              <w:right w:val="single" w:color="auto" w:sz="4" w:space="0"/>
            </w:tcBorders>
            <w:shd w:val="clear" w:color="auto" w:fill="auto"/>
            <w:vAlign w:val="center"/>
          </w:tcPr>
          <w:p w14:paraId="0A286C8D">
            <w:pPr>
              <w:widowControl/>
              <w:jc w:val="center"/>
              <w:rPr>
                <w:rFonts w:ascii="仿宋" w:hAnsi="仿宋" w:eastAsia="仿宋" w:cs="仿宋"/>
                <w:color w:val="auto"/>
                <w:kern w:val="0"/>
                <w:sz w:val="20"/>
                <w:szCs w:val="20"/>
              </w:rPr>
            </w:pPr>
            <w:r>
              <w:rPr>
                <w:rFonts w:hint="eastAsia" w:ascii="仿宋" w:hAnsi="仿宋" w:eastAsia="仿宋" w:cs="仿宋"/>
                <w:color w:val="auto"/>
                <w:kern w:val="0"/>
                <w:sz w:val="20"/>
                <w:szCs w:val="20"/>
              </w:rPr>
              <w:t>林木绿植养护和管理</w:t>
            </w:r>
          </w:p>
        </w:tc>
        <w:tc>
          <w:tcPr>
            <w:tcW w:w="1208" w:type="dxa"/>
            <w:tcBorders>
              <w:top w:val="nil"/>
              <w:left w:val="nil"/>
              <w:bottom w:val="single" w:color="auto" w:sz="4" w:space="0"/>
              <w:right w:val="single" w:color="auto" w:sz="4" w:space="0"/>
            </w:tcBorders>
            <w:shd w:val="clear" w:color="auto" w:fill="auto"/>
            <w:vAlign w:val="center"/>
          </w:tcPr>
          <w:p w14:paraId="5A1DA93E">
            <w:pPr>
              <w:widowControl/>
              <w:jc w:val="center"/>
              <w:rPr>
                <w:rFonts w:ascii="仿宋" w:hAnsi="仿宋" w:eastAsia="仿宋" w:cs="仿宋"/>
                <w:color w:val="auto"/>
                <w:kern w:val="0"/>
                <w:sz w:val="20"/>
                <w:szCs w:val="20"/>
              </w:rPr>
            </w:pPr>
            <w:r>
              <w:rPr>
                <w:rFonts w:hint="eastAsia" w:ascii="仿宋" w:hAnsi="仿宋" w:eastAsia="仿宋" w:cs="仿宋"/>
                <w:color w:val="auto"/>
                <w:kern w:val="0"/>
                <w:sz w:val="20"/>
                <w:szCs w:val="20"/>
              </w:rPr>
              <w:t>10</w:t>
            </w:r>
          </w:p>
        </w:tc>
        <w:tc>
          <w:tcPr>
            <w:tcW w:w="3597" w:type="dxa"/>
            <w:tcBorders>
              <w:top w:val="nil"/>
              <w:left w:val="nil"/>
              <w:bottom w:val="single" w:color="auto" w:sz="4" w:space="0"/>
              <w:right w:val="single" w:color="auto" w:sz="4" w:space="0"/>
            </w:tcBorders>
            <w:shd w:val="clear" w:color="auto" w:fill="auto"/>
            <w:vAlign w:val="center"/>
          </w:tcPr>
          <w:p w14:paraId="3F9F810F">
            <w:pPr>
              <w:widowControl/>
              <w:jc w:val="left"/>
              <w:rPr>
                <w:rFonts w:ascii="仿宋" w:hAnsi="仿宋" w:eastAsia="仿宋" w:cs="仿宋"/>
                <w:color w:val="auto"/>
                <w:kern w:val="0"/>
                <w:sz w:val="20"/>
                <w:szCs w:val="20"/>
              </w:rPr>
            </w:pPr>
            <w:r>
              <w:rPr>
                <w:rFonts w:hint="eastAsia" w:ascii="仿宋" w:hAnsi="仿宋" w:eastAsia="仿宋" w:cs="仿宋"/>
                <w:color w:val="auto"/>
                <w:kern w:val="0"/>
                <w:sz w:val="20"/>
                <w:szCs w:val="20"/>
              </w:rPr>
              <w:t>1.对草坪、绿篱、树木等定期进行修剪</w:t>
            </w:r>
            <w:r>
              <w:rPr>
                <w:rFonts w:hint="eastAsia" w:ascii="仿宋" w:hAnsi="仿宋" w:eastAsia="仿宋" w:cs="仿宋"/>
                <w:color w:val="auto"/>
                <w:kern w:val="0"/>
                <w:sz w:val="20"/>
                <w:szCs w:val="20"/>
              </w:rPr>
              <w:br w:type="textWrapping"/>
            </w:r>
            <w:r>
              <w:rPr>
                <w:rFonts w:hint="eastAsia" w:ascii="仿宋" w:hAnsi="仿宋" w:eastAsia="仿宋" w:cs="仿宋"/>
                <w:color w:val="auto"/>
                <w:kern w:val="0"/>
                <w:sz w:val="20"/>
                <w:szCs w:val="20"/>
              </w:rPr>
              <w:t>2.定期清除绿地杂草，杂物</w:t>
            </w:r>
            <w:r>
              <w:rPr>
                <w:rFonts w:hint="eastAsia" w:ascii="仿宋" w:hAnsi="仿宋" w:eastAsia="仿宋" w:cs="仿宋"/>
                <w:color w:val="auto"/>
                <w:kern w:val="0"/>
                <w:sz w:val="20"/>
                <w:szCs w:val="20"/>
              </w:rPr>
              <w:br w:type="textWrapping"/>
            </w:r>
            <w:r>
              <w:rPr>
                <w:rFonts w:hint="eastAsia" w:ascii="仿宋" w:hAnsi="仿宋" w:eastAsia="仿宋" w:cs="仿宋"/>
                <w:color w:val="auto"/>
                <w:kern w:val="0"/>
                <w:sz w:val="20"/>
                <w:szCs w:val="20"/>
              </w:rPr>
              <w:t>3.预防花草，树木病虫害</w:t>
            </w:r>
          </w:p>
        </w:tc>
      </w:tr>
      <w:tr w14:paraId="58897386">
        <w:tblPrEx>
          <w:tblCellMar>
            <w:top w:w="0" w:type="dxa"/>
            <w:left w:w="108" w:type="dxa"/>
            <w:bottom w:w="0" w:type="dxa"/>
            <w:right w:w="108" w:type="dxa"/>
          </w:tblCellMar>
        </w:tblPrEx>
        <w:trPr>
          <w:trHeight w:val="1937" w:hRule="atLeast"/>
          <w:jc w:val="center"/>
        </w:trPr>
        <w:tc>
          <w:tcPr>
            <w:tcW w:w="1010" w:type="dxa"/>
            <w:tcBorders>
              <w:top w:val="nil"/>
              <w:left w:val="single" w:color="auto" w:sz="4" w:space="0"/>
              <w:bottom w:val="single" w:color="auto" w:sz="4" w:space="0"/>
              <w:right w:val="single" w:color="auto" w:sz="4" w:space="0"/>
            </w:tcBorders>
            <w:shd w:val="clear" w:color="auto" w:fill="auto"/>
            <w:vAlign w:val="center"/>
          </w:tcPr>
          <w:p w14:paraId="383AD27C">
            <w:pPr>
              <w:widowControl/>
              <w:jc w:val="center"/>
              <w:rPr>
                <w:rFonts w:ascii="仿宋" w:hAnsi="仿宋" w:eastAsia="仿宋" w:cs="仿宋"/>
                <w:color w:val="auto"/>
                <w:kern w:val="0"/>
                <w:sz w:val="20"/>
                <w:szCs w:val="20"/>
              </w:rPr>
            </w:pPr>
            <w:r>
              <w:rPr>
                <w:rFonts w:hint="eastAsia" w:ascii="仿宋" w:hAnsi="仿宋" w:eastAsia="仿宋" w:cs="仿宋"/>
                <w:color w:val="auto"/>
                <w:kern w:val="0"/>
                <w:sz w:val="20"/>
                <w:szCs w:val="20"/>
              </w:rPr>
              <w:t>安全保卫</w:t>
            </w:r>
          </w:p>
        </w:tc>
        <w:tc>
          <w:tcPr>
            <w:tcW w:w="2342" w:type="dxa"/>
            <w:tcBorders>
              <w:top w:val="nil"/>
              <w:left w:val="nil"/>
              <w:bottom w:val="single" w:color="auto" w:sz="4" w:space="0"/>
              <w:right w:val="single" w:color="auto" w:sz="4" w:space="0"/>
            </w:tcBorders>
            <w:shd w:val="clear" w:color="auto" w:fill="auto"/>
            <w:vAlign w:val="center"/>
          </w:tcPr>
          <w:p w14:paraId="45D7AD82">
            <w:pPr>
              <w:widowControl/>
              <w:jc w:val="center"/>
              <w:rPr>
                <w:rFonts w:ascii="仿宋" w:hAnsi="仿宋" w:eastAsia="仿宋" w:cs="仿宋"/>
                <w:color w:val="auto"/>
                <w:kern w:val="0"/>
                <w:sz w:val="20"/>
                <w:szCs w:val="20"/>
              </w:rPr>
            </w:pPr>
            <w:r>
              <w:rPr>
                <w:rFonts w:hint="eastAsia" w:ascii="仿宋" w:hAnsi="仿宋" w:eastAsia="仿宋" w:cs="仿宋"/>
                <w:color w:val="auto"/>
                <w:kern w:val="0"/>
                <w:sz w:val="20"/>
                <w:szCs w:val="20"/>
              </w:rPr>
              <w:t>公共区域秩序维持与维护</w:t>
            </w:r>
          </w:p>
        </w:tc>
        <w:tc>
          <w:tcPr>
            <w:tcW w:w="1208" w:type="dxa"/>
            <w:tcBorders>
              <w:top w:val="nil"/>
              <w:left w:val="nil"/>
              <w:bottom w:val="single" w:color="auto" w:sz="4" w:space="0"/>
              <w:right w:val="single" w:color="auto" w:sz="4" w:space="0"/>
            </w:tcBorders>
            <w:shd w:val="clear" w:color="auto" w:fill="auto"/>
            <w:vAlign w:val="center"/>
          </w:tcPr>
          <w:p w14:paraId="252C0E65">
            <w:pPr>
              <w:widowControl/>
              <w:jc w:val="center"/>
              <w:rPr>
                <w:rFonts w:ascii="仿宋" w:hAnsi="仿宋" w:eastAsia="仿宋" w:cs="仿宋"/>
                <w:color w:val="auto"/>
                <w:kern w:val="0"/>
                <w:sz w:val="20"/>
                <w:szCs w:val="20"/>
              </w:rPr>
            </w:pPr>
            <w:r>
              <w:rPr>
                <w:rFonts w:hint="eastAsia" w:ascii="仿宋" w:hAnsi="仿宋" w:eastAsia="仿宋" w:cs="仿宋"/>
                <w:color w:val="auto"/>
                <w:kern w:val="0"/>
                <w:sz w:val="20"/>
                <w:szCs w:val="20"/>
              </w:rPr>
              <w:t>10</w:t>
            </w:r>
          </w:p>
        </w:tc>
        <w:tc>
          <w:tcPr>
            <w:tcW w:w="3597" w:type="dxa"/>
            <w:tcBorders>
              <w:top w:val="nil"/>
              <w:left w:val="nil"/>
              <w:bottom w:val="single" w:color="auto" w:sz="4" w:space="0"/>
              <w:right w:val="single" w:color="auto" w:sz="4" w:space="0"/>
            </w:tcBorders>
            <w:shd w:val="clear" w:color="auto" w:fill="auto"/>
            <w:vAlign w:val="center"/>
          </w:tcPr>
          <w:p w14:paraId="30A874E5">
            <w:pPr>
              <w:widowControl/>
              <w:jc w:val="left"/>
              <w:rPr>
                <w:rFonts w:ascii="仿宋" w:hAnsi="仿宋" w:eastAsia="仿宋" w:cs="仿宋"/>
                <w:color w:val="auto"/>
                <w:kern w:val="0"/>
                <w:sz w:val="20"/>
                <w:szCs w:val="20"/>
              </w:rPr>
            </w:pPr>
            <w:r>
              <w:rPr>
                <w:rFonts w:hint="eastAsia" w:ascii="仿宋" w:hAnsi="仿宋" w:eastAsia="仿宋" w:cs="仿宋"/>
                <w:color w:val="auto"/>
                <w:kern w:val="0"/>
                <w:sz w:val="20"/>
                <w:szCs w:val="20"/>
              </w:rPr>
              <w:t>1.落实24小时安全值守</w:t>
            </w:r>
            <w:r>
              <w:rPr>
                <w:rFonts w:hint="eastAsia" w:ascii="仿宋" w:hAnsi="仿宋" w:eastAsia="仿宋" w:cs="仿宋"/>
                <w:color w:val="auto"/>
                <w:kern w:val="0"/>
                <w:sz w:val="20"/>
                <w:szCs w:val="20"/>
              </w:rPr>
              <w:br w:type="textWrapping"/>
            </w:r>
            <w:r>
              <w:rPr>
                <w:rFonts w:hint="eastAsia" w:ascii="仿宋" w:hAnsi="仿宋" w:eastAsia="仿宋" w:cs="仿宋"/>
                <w:color w:val="auto"/>
                <w:kern w:val="0"/>
                <w:sz w:val="20"/>
                <w:szCs w:val="20"/>
              </w:rPr>
              <w:t>2.引导车辆有序停放</w:t>
            </w:r>
            <w:r>
              <w:rPr>
                <w:rFonts w:hint="eastAsia" w:ascii="仿宋" w:hAnsi="仿宋" w:eastAsia="仿宋" w:cs="仿宋"/>
                <w:color w:val="auto"/>
                <w:kern w:val="0"/>
                <w:sz w:val="20"/>
                <w:szCs w:val="20"/>
              </w:rPr>
              <w:br w:type="textWrapping"/>
            </w:r>
            <w:r>
              <w:rPr>
                <w:rFonts w:hint="eastAsia" w:ascii="仿宋" w:hAnsi="仿宋" w:eastAsia="仿宋" w:cs="仿宋"/>
                <w:color w:val="auto"/>
                <w:kern w:val="0"/>
                <w:sz w:val="20"/>
                <w:szCs w:val="20"/>
              </w:rPr>
              <w:t>3.重点区域部位巡查</w:t>
            </w:r>
            <w:r>
              <w:rPr>
                <w:rFonts w:hint="eastAsia" w:ascii="仿宋" w:hAnsi="仿宋" w:eastAsia="仿宋" w:cs="仿宋"/>
                <w:color w:val="auto"/>
                <w:kern w:val="0"/>
                <w:sz w:val="20"/>
                <w:szCs w:val="20"/>
              </w:rPr>
              <w:br w:type="textWrapping"/>
            </w:r>
            <w:r>
              <w:rPr>
                <w:rFonts w:hint="eastAsia" w:ascii="仿宋" w:hAnsi="仿宋" w:eastAsia="仿宋" w:cs="仿宋"/>
                <w:color w:val="auto"/>
                <w:kern w:val="0"/>
                <w:sz w:val="20"/>
                <w:szCs w:val="20"/>
              </w:rPr>
              <w:t>4.外来人员出入查验</w:t>
            </w:r>
          </w:p>
        </w:tc>
      </w:tr>
      <w:tr w14:paraId="11C8563A">
        <w:tblPrEx>
          <w:tblCellMar>
            <w:top w:w="0" w:type="dxa"/>
            <w:left w:w="108" w:type="dxa"/>
            <w:bottom w:w="0" w:type="dxa"/>
            <w:right w:w="108" w:type="dxa"/>
          </w:tblCellMar>
        </w:tblPrEx>
        <w:trPr>
          <w:trHeight w:val="1469" w:hRule="atLeast"/>
          <w:jc w:val="center"/>
        </w:trPr>
        <w:tc>
          <w:tcPr>
            <w:tcW w:w="1010" w:type="dxa"/>
            <w:tcBorders>
              <w:top w:val="nil"/>
              <w:left w:val="single" w:color="auto" w:sz="4" w:space="0"/>
              <w:bottom w:val="single" w:color="auto" w:sz="4" w:space="0"/>
              <w:right w:val="single" w:color="auto" w:sz="4" w:space="0"/>
            </w:tcBorders>
            <w:shd w:val="clear" w:color="auto" w:fill="auto"/>
            <w:vAlign w:val="center"/>
          </w:tcPr>
          <w:p w14:paraId="1607C2D9">
            <w:pPr>
              <w:widowControl/>
              <w:jc w:val="center"/>
              <w:rPr>
                <w:rFonts w:ascii="仿宋" w:hAnsi="仿宋" w:eastAsia="仿宋" w:cs="仿宋"/>
                <w:color w:val="auto"/>
                <w:kern w:val="0"/>
                <w:sz w:val="20"/>
                <w:szCs w:val="20"/>
              </w:rPr>
            </w:pPr>
            <w:r>
              <w:rPr>
                <w:rFonts w:hint="eastAsia" w:ascii="仿宋" w:hAnsi="仿宋" w:eastAsia="仿宋" w:cs="仿宋"/>
                <w:color w:val="auto"/>
                <w:kern w:val="0"/>
                <w:sz w:val="20"/>
                <w:szCs w:val="20"/>
              </w:rPr>
              <w:t>机房值守</w:t>
            </w:r>
          </w:p>
        </w:tc>
        <w:tc>
          <w:tcPr>
            <w:tcW w:w="2342" w:type="dxa"/>
            <w:tcBorders>
              <w:top w:val="nil"/>
              <w:left w:val="nil"/>
              <w:bottom w:val="single" w:color="auto" w:sz="4" w:space="0"/>
              <w:right w:val="single" w:color="auto" w:sz="4" w:space="0"/>
            </w:tcBorders>
            <w:shd w:val="clear" w:color="auto" w:fill="auto"/>
            <w:vAlign w:val="center"/>
          </w:tcPr>
          <w:p w14:paraId="2B0A499D">
            <w:pPr>
              <w:widowControl/>
              <w:jc w:val="center"/>
              <w:rPr>
                <w:rFonts w:ascii="仿宋" w:hAnsi="仿宋" w:eastAsia="仿宋" w:cs="仿宋"/>
                <w:color w:val="auto"/>
                <w:kern w:val="0"/>
                <w:sz w:val="20"/>
                <w:szCs w:val="20"/>
              </w:rPr>
            </w:pPr>
            <w:r>
              <w:rPr>
                <w:rFonts w:hint="eastAsia" w:ascii="仿宋" w:hAnsi="仿宋" w:eastAsia="仿宋" w:cs="仿宋"/>
                <w:color w:val="auto"/>
                <w:kern w:val="0"/>
                <w:sz w:val="20"/>
                <w:szCs w:val="20"/>
              </w:rPr>
              <w:t>安防、消防值守</w:t>
            </w:r>
          </w:p>
        </w:tc>
        <w:tc>
          <w:tcPr>
            <w:tcW w:w="1208" w:type="dxa"/>
            <w:tcBorders>
              <w:top w:val="nil"/>
              <w:left w:val="nil"/>
              <w:bottom w:val="single" w:color="auto" w:sz="4" w:space="0"/>
              <w:right w:val="single" w:color="auto" w:sz="4" w:space="0"/>
            </w:tcBorders>
            <w:shd w:val="clear" w:color="auto" w:fill="auto"/>
            <w:vAlign w:val="center"/>
          </w:tcPr>
          <w:p w14:paraId="573054B5">
            <w:pPr>
              <w:widowControl/>
              <w:jc w:val="center"/>
              <w:rPr>
                <w:rFonts w:ascii="仿宋" w:hAnsi="仿宋" w:eastAsia="仿宋" w:cs="仿宋"/>
                <w:color w:val="auto"/>
                <w:kern w:val="0"/>
                <w:sz w:val="20"/>
                <w:szCs w:val="20"/>
              </w:rPr>
            </w:pPr>
            <w:r>
              <w:rPr>
                <w:rFonts w:hint="eastAsia" w:ascii="仿宋" w:hAnsi="仿宋" w:eastAsia="仿宋" w:cs="仿宋"/>
                <w:color w:val="auto"/>
                <w:kern w:val="0"/>
                <w:sz w:val="20"/>
                <w:szCs w:val="20"/>
              </w:rPr>
              <w:t>10</w:t>
            </w:r>
          </w:p>
        </w:tc>
        <w:tc>
          <w:tcPr>
            <w:tcW w:w="3597" w:type="dxa"/>
            <w:tcBorders>
              <w:top w:val="nil"/>
              <w:left w:val="nil"/>
              <w:bottom w:val="single" w:color="auto" w:sz="4" w:space="0"/>
              <w:right w:val="single" w:color="auto" w:sz="4" w:space="0"/>
            </w:tcBorders>
            <w:shd w:val="clear" w:color="auto" w:fill="auto"/>
            <w:vAlign w:val="center"/>
          </w:tcPr>
          <w:p w14:paraId="1D6457CC">
            <w:pPr>
              <w:widowControl/>
              <w:jc w:val="left"/>
              <w:rPr>
                <w:rFonts w:ascii="仿宋" w:hAnsi="仿宋" w:eastAsia="仿宋" w:cs="仿宋"/>
                <w:color w:val="auto"/>
                <w:kern w:val="0"/>
                <w:sz w:val="20"/>
                <w:szCs w:val="20"/>
              </w:rPr>
            </w:pPr>
            <w:r>
              <w:rPr>
                <w:rFonts w:hint="eastAsia" w:ascii="仿宋" w:hAnsi="仿宋" w:eastAsia="仿宋" w:cs="仿宋"/>
                <w:color w:val="auto"/>
                <w:kern w:val="0"/>
                <w:sz w:val="20"/>
                <w:szCs w:val="20"/>
              </w:rPr>
              <w:t>1.24小时机房值守</w:t>
            </w:r>
            <w:r>
              <w:rPr>
                <w:rFonts w:hint="eastAsia" w:ascii="仿宋" w:hAnsi="仿宋" w:eastAsia="仿宋" w:cs="仿宋"/>
                <w:color w:val="auto"/>
                <w:kern w:val="0"/>
                <w:sz w:val="20"/>
                <w:szCs w:val="20"/>
              </w:rPr>
              <w:br w:type="textWrapping"/>
            </w:r>
            <w:r>
              <w:rPr>
                <w:rFonts w:hint="eastAsia" w:ascii="仿宋" w:hAnsi="仿宋" w:eastAsia="仿宋" w:cs="仿宋"/>
                <w:color w:val="auto"/>
                <w:kern w:val="0"/>
                <w:sz w:val="20"/>
                <w:szCs w:val="20"/>
              </w:rPr>
              <w:t>2.监控、消防异常及时报告修复</w:t>
            </w:r>
            <w:r>
              <w:rPr>
                <w:rFonts w:hint="eastAsia" w:ascii="仿宋" w:hAnsi="仿宋" w:eastAsia="仿宋" w:cs="仿宋"/>
                <w:color w:val="auto"/>
                <w:kern w:val="0"/>
                <w:sz w:val="20"/>
                <w:szCs w:val="20"/>
              </w:rPr>
              <w:br w:type="textWrapping"/>
            </w:r>
            <w:r>
              <w:rPr>
                <w:rFonts w:hint="eastAsia" w:ascii="仿宋" w:hAnsi="仿宋" w:eastAsia="仿宋" w:cs="仿宋"/>
                <w:color w:val="auto"/>
                <w:kern w:val="0"/>
                <w:sz w:val="20"/>
                <w:szCs w:val="20"/>
              </w:rPr>
              <w:t>3.确保监控消防系统完好</w:t>
            </w:r>
          </w:p>
        </w:tc>
      </w:tr>
      <w:tr w14:paraId="5FBA8194">
        <w:tblPrEx>
          <w:tblCellMar>
            <w:top w:w="0" w:type="dxa"/>
            <w:left w:w="108" w:type="dxa"/>
            <w:bottom w:w="0" w:type="dxa"/>
            <w:right w:w="108" w:type="dxa"/>
          </w:tblCellMar>
        </w:tblPrEx>
        <w:trPr>
          <w:trHeight w:val="999" w:hRule="atLeast"/>
          <w:jc w:val="center"/>
        </w:trPr>
        <w:tc>
          <w:tcPr>
            <w:tcW w:w="1010" w:type="dxa"/>
            <w:tcBorders>
              <w:top w:val="nil"/>
              <w:left w:val="single" w:color="auto" w:sz="4" w:space="0"/>
              <w:bottom w:val="single" w:color="auto" w:sz="4" w:space="0"/>
              <w:right w:val="single" w:color="auto" w:sz="4" w:space="0"/>
            </w:tcBorders>
            <w:shd w:val="clear" w:color="auto" w:fill="auto"/>
            <w:vAlign w:val="center"/>
          </w:tcPr>
          <w:p w14:paraId="414B09F2">
            <w:pPr>
              <w:widowControl/>
              <w:jc w:val="center"/>
              <w:rPr>
                <w:rFonts w:ascii="仿宋" w:hAnsi="仿宋" w:eastAsia="仿宋" w:cs="仿宋"/>
                <w:color w:val="auto"/>
                <w:kern w:val="0"/>
                <w:sz w:val="20"/>
                <w:szCs w:val="20"/>
              </w:rPr>
            </w:pPr>
            <w:r>
              <w:rPr>
                <w:rFonts w:hint="eastAsia" w:ascii="仿宋" w:hAnsi="仿宋" w:eastAsia="仿宋" w:cs="仿宋"/>
                <w:color w:val="auto"/>
                <w:kern w:val="0"/>
                <w:sz w:val="20"/>
                <w:szCs w:val="20"/>
              </w:rPr>
              <w:t>文档管理</w:t>
            </w:r>
          </w:p>
        </w:tc>
        <w:tc>
          <w:tcPr>
            <w:tcW w:w="2342" w:type="dxa"/>
            <w:tcBorders>
              <w:top w:val="nil"/>
              <w:left w:val="nil"/>
              <w:bottom w:val="single" w:color="auto" w:sz="4" w:space="0"/>
              <w:right w:val="single" w:color="auto" w:sz="4" w:space="0"/>
            </w:tcBorders>
            <w:shd w:val="clear" w:color="auto" w:fill="auto"/>
            <w:vAlign w:val="center"/>
          </w:tcPr>
          <w:p w14:paraId="30F444B8">
            <w:pPr>
              <w:widowControl/>
              <w:jc w:val="center"/>
              <w:rPr>
                <w:rFonts w:ascii="仿宋" w:hAnsi="仿宋" w:eastAsia="仿宋" w:cs="仿宋"/>
                <w:color w:val="auto"/>
                <w:kern w:val="0"/>
                <w:sz w:val="20"/>
                <w:szCs w:val="20"/>
              </w:rPr>
            </w:pPr>
            <w:r>
              <w:rPr>
                <w:rFonts w:hint="eastAsia" w:ascii="仿宋" w:hAnsi="仿宋" w:eastAsia="仿宋" w:cs="仿宋"/>
                <w:color w:val="auto"/>
                <w:kern w:val="0"/>
                <w:sz w:val="20"/>
                <w:szCs w:val="20"/>
              </w:rPr>
              <w:t>管理保存图纸、设备运维、培训记录等资料</w:t>
            </w:r>
          </w:p>
        </w:tc>
        <w:tc>
          <w:tcPr>
            <w:tcW w:w="1208" w:type="dxa"/>
            <w:tcBorders>
              <w:top w:val="nil"/>
              <w:left w:val="nil"/>
              <w:bottom w:val="single" w:color="auto" w:sz="4" w:space="0"/>
              <w:right w:val="single" w:color="auto" w:sz="4" w:space="0"/>
            </w:tcBorders>
            <w:shd w:val="clear" w:color="auto" w:fill="auto"/>
            <w:vAlign w:val="center"/>
          </w:tcPr>
          <w:p w14:paraId="31855B66">
            <w:pPr>
              <w:widowControl/>
              <w:jc w:val="center"/>
              <w:rPr>
                <w:rFonts w:ascii="仿宋" w:hAnsi="仿宋" w:eastAsia="仿宋" w:cs="仿宋"/>
                <w:color w:val="auto"/>
                <w:kern w:val="0"/>
                <w:sz w:val="20"/>
                <w:szCs w:val="20"/>
              </w:rPr>
            </w:pPr>
            <w:r>
              <w:rPr>
                <w:rFonts w:hint="eastAsia" w:ascii="仿宋" w:hAnsi="仿宋" w:eastAsia="仿宋" w:cs="仿宋"/>
                <w:color w:val="auto"/>
                <w:kern w:val="0"/>
                <w:sz w:val="20"/>
                <w:szCs w:val="20"/>
              </w:rPr>
              <w:t>10</w:t>
            </w:r>
          </w:p>
        </w:tc>
        <w:tc>
          <w:tcPr>
            <w:tcW w:w="3597" w:type="dxa"/>
            <w:tcBorders>
              <w:top w:val="nil"/>
              <w:left w:val="nil"/>
              <w:bottom w:val="single" w:color="auto" w:sz="4" w:space="0"/>
              <w:right w:val="single" w:color="auto" w:sz="4" w:space="0"/>
            </w:tcBorders>
            <w:shd w:val="clear" w:color="auto" w:fill="auto"/>
            <w:vAlign w:val="center"/>
          </w:tcPr>
          <w:p w14:paraId="4A920343">
            <w:pPr>
              <w:widowControl/>
              <w:jc w:val="left"/>
              <w:rPr>
                <w:rFonts w:ascii="仿宋" w:hAnsi="仿宋" w:eastAsia="仿宋" w:cs="仿宋"/>
                <w:color w:val="auto"/>
                <w:kern w:val="0"/>
                <w:sz w:val="20"/>
                <w:szCs w:val="20"/>
              </w:rPr>
            </w:pPr>
            <w:r>
              <w:rPr>
                <w:rFonts w:hint="eastAsia" w:ascii="仿宋" w:hAnsi="仿宋" w:eastAsia="仿宋" w:cs="仿宋"/>
                <w:color w:val="auto"/>
                <w:kern w:val="0"/>
                <w:sz w:val="20"/>
                <w:szCs w:val="20"/>
              </w:rPr>
              <w:t>1.建立健全好相关台账</w:t>
            </w:r>
            <w:r>
              <w:rPr>
                <w:rFonts w:hint="eastAsia" w:ascii="仿宋" w:hAnsi="仿宋" w:eastAsia="仿宋" w:cs="仿宋"/>
                <w:color w:val="auto"/>
                <w:kern w:val="0"/>
                <w:sz w:val="20"/>
                <w:szCs w:val="20"/>
              </w:rPr>
              <w:br w:type="textWrapping"/>
            </w:r>
            <w:r>
              <w:rPr>
                <w:rFonts w:hint="eastAsia" w:ascii="仿宋" w:hAnsi="仿宋" w:eastAsia="仿宋" w:cs="仿宋"/>
                <w:color w:val="auto"/>
                <w:kern w:val="0"/>
                <w:sz w:val="20"/>
                <w:szCs w:val="20"/>
              </w:rPr>
              <w:t>2.定期更新好相关台账</w:t>
            </w:r>
          </w:p>
        </w:tc>
      </w:tr>
      <w:tr w14:paraId="5C238B15">
        <w:tblPrEx>
          <w:tblCellMar>
            <w:top w:w="0" w:type="dxa"/>
            <w:left w:w="108" w:type="dxa"/>
            <w:bottom w:w="0" w:type="dxa"/>
            <w:right w:w="108" w:type="dxa"/>
          </w:tblCellMar>
        </w:tblPrEx>
        <w:trPr>
          <w:trHeight w:val="999" w:hRule="atLeast"/>
          <w:jc w:val="center"/>
        </w:trPr>
        <w:tc>
          <w:tcPr>
            <w:tcW w:w="1010" w:type="dxa"/>
            <w:tcBorders>
              <w:top w:val="nil"/>
              <w:left w:val="single" w:color="auto" w:sz="4" w:space="0"/>
              <w:bottom w:val="single" w:color="auto" w:sz="4" w:space="0"/>
              <w:right w:val="single" w:color="auto" w:sz="4" w:space="0"/>
            </w:tcBorders>
            <w:shd w:val="clear" w:color="auto" w:fill="auto"/>
            <w:vAlign w:val="center"/>
          </w:tcPr>
          <w:p w14:paraId="744F9D47">
            <w:pPr>
              <w:widowControl/>
              <w:jc w:val="center"/>
              <w:rPr>
                <w:rFonts w:ascii="仿宋" w:hAnsi="仿宋" w:eastAsia="仿宋" w:cs="仿宋"/>
                <w:color w:val="auto"/>
                <w:kern w:val="0"/>
                <w:sz w:val="20"/>
                <w:szCs w:val="20"/>
              </w:rPr>
            </w:pPr>
            <w:r>
              <w:rPr>
                <w:rFonts w:hint="eastAsia" w:ascii="仿宋" w:hAnsi="仿宋" w:eastAsia="仿宋" w:cs="仿宋"/>
                <w:color w:val="auto"/>
                <w:kern w:val="0"/>
                <w:sz w:val="20"/>
                <w:szCs w:val="20"/>
              </w:rPr>
              <w:t>人员配备</w:t>
            </w:r>
          </w:p>
        </w:tc>
        <w:tc>
          <w:tcPr>
            <w:tcW w:w="2342" w:type="dxa"/>
            <w:tcBorders>
              <w:top w:val="nil"/>
              <w:left w:val="nil"/>
              <w:bottom w:val="single" w:color="auto" w:sz="4" w:space="0"/>
              <w:right w:val="single" w:color="auto" w:sz="4" w:space="0"/>
            </w:tcBorders>
            <w:shd w:val="clear" w:color="auto" w:fill="auto"/>
            <w:vAlign w:val="center"/>
          </w:tcPr>
          <w:p w14:paraId="2FF7E202">
            <w:pPr>
              <w:widowControl/>
              <w:jc w:val="center"/>
              <w:rPr>
                <w:rFonts w:ascii="仿宋" w:hAnsi="仿宋" w:eastAsia="仿宋" w:cs="仿宋"/>
                <w:color w:val="auto"/>
                <w:kern w:val="0"/>
                <w:sz w:val="20"/>
                <w:szCs w:val="20"/>
              </w:rPr>
            </w:pPr>
            <w:r>
              <w:rPr>
                <w:rFonts w:hint="eastAsia" w:ascii="仿宋" w:hAnsi="仿宋" w:eastAsia="仿宋" w:cs="仿宋"/>
                <w:color w:val="auto"/>
                <w:kern w:val="0"/>
                <w:sz w:val="20"/>
                <w:szCs w:val="20"/>
              </w:rPr>
              <w:t>按合同约定配备服务人员</w:t>
            </w:r>
          </w:p>
        </w:tc>
        <w:tc>
          <w:tcPr>
            <w:tcW w:w="1208" w:type="dxa"/>
            <w:tcBorders>
              <w:top w:val="nil"/>
              <w:left w:val="nil"/>
              <w:bottom w:val="single" w:color="auto" w:sz="4" w:space="0"/>
              <w:right w:val="single" w:color="auto" w:sz="4" w:space="0"/>
            </w:tcBorders>
            <w:shd w:val="clear" w:color="auto" w:fill="auto"/>
            <w:vAlign w:val="center"/>
          </w:tcPr>
          <w:p w14:paraId="3FA70564">
            <w:pPr>
              <w:widowControl/>
              <w:jc w:val="center"/>
              <w:rPr>
                <w:rFonts w:ascii="仿宋" w:hAnsi="仿宋" w:eastAsia="仿宋" w:cs="仿宋"/>
                <w:color w:val="auto"/>
                <w:kern w:val="0"/>
                <w:sz w:val="20"/>
                <w:szCs w:val="20"/>
              </w:rPr>
            </w:pPr>
            <w:r>
              <w:rPr>
                <w:rFonts w:hint="eastAsia" w:ascii="仿宋" w:hAnsi="仿宋" w:eastAsia="仿宋" w:cs="仿宋"/>
                <w:color w:val="auto"/>
                <w:kern w:val="0"/>
                <w:sz w:val="20"/>
                <w:szCs w:val="20"/>
              </w:rPr>
              <w:t>10</w:t>
            </w:r>
          </w:p>
        </w:tc>
        <w:tc>
          <w:tcPr>
            <w:tcW w:w="3597" w:type="dxa"/>
            <w:tcBorders>
              <w:top w:val="nil"/>
              <w:left w:val="nil"/>
              <w:bottom w:val="single" w:color="auto" w:sz="4" w:space="0"/>
              <w:right w:val="single" w:color="auto" w:sz="4" w:space="0"/>
            </w:tcBorders>
            <w:shd w:val="clear" w:color="auto" w:fill="auto"/>
            <w:vAlign w:val="center"/>
          </w:tcPr>
          <w:p w14:paraId="77A63D84">
            <w:pPr>
              <w:widowControl/>
              <w:jc w:val="left"/>
              <w:rPr>
                <w:rFonts w:ascii="仿宋" w:hAnsi="仿宋" w:eastAsia="仿宋" w:cs="仿宋"/>
                <w:color w:val="auto"/>
                <w:kern w:val="0"/>
                <w:sz w:val="20"/>
                <w:szCs w:val="20"/>
              </w:rPr>
            </w:pPr>
            <w:r>
              <w:rPr>
                <w:rFonts w:hint="eastAsia" w:ascii="仿宋" w:hAnsi="仿宋" w:eastAsia="仿宋" w:cs="仿宋"/>
                <w:color w:val="auto"/>
                <w:kern w:val="0"/>
                <w:sz w:val="20"/>
                <w:szCs w:val="20"/>
              </w:rPr>
              <w:t>1.人员配备与合同约定一致</w:t>
            </w:r>
            <w:r>
              <w:rPr>
                <w:rFonts w:hint="eastAsia" w:ascii="仿宋" w:hAnsi="仿宋" w:eastAsia="仿宋" w:cs="仿宋"/>
                <w:color w:val="auto"/>
                <w:kern w:val="0"/>
                <w:sz w:val="20"/>
                <w:szCs w:val="20"/>
              </w:rPr>
              <w:br w:type="textWrapping"/>
            </w:r>
            <w:r>
              <w:rPr>
                <w:rFonts w:hint="eastAsia" w:ascii="仿宋" w:hAnsi="仿宋" w:eastAsia="仿宋" w:cs="仿宋"/>
                <w:color w:val="auto"/>
                <w:kern w:val="0"/>
                <w:sz w:val="20"/>
                <w:szCs w:val="20"/>
              </w:rPr>
              <w:t>2.每月上报考勤记录</w:t>
            </w:r>
          </w:p>
        </w:tc>
      </w:tr>
      <w:tr w14:paraId="084E5EC4">
        <w:tblPrEx>
          <w:tblCellMar>
            <w:top w:w="0" w:type="dxa"/>
            <w:left w:w="108" w:type="dxa"/>
            <w:bottom w:w="0" w:type="dxa"/>
            <w:right w:w="108" w:type="dxa"/>
          </w:tblCellMar>
        </w:tblPrEx>
        <w:trPr>
          <w:trHeight w:val="1469" w:hRule="atLeast"/>
          <w:jc w:val="center"/>
        </w:trPr>
        <w:tc>
          <w:tcPr>
            <w:tcW w:w="1010" w:type="dxa"/>
            <w:tcBorders>
              <w:top w:val="nil"/>
              <w:left w:val="single" w:color="auto" w:sz="4" w:space="0"/>
              <w:bottom w:val="single" w:color="auto" w:sz="4" w:space="0"/>
              <w:right w:val="single" w:color="auto" w:sz="4" w:space="0"/>
            </w:tcBorders>
            <w:shd w:val="clear" w:color="auto" w:fill="auto"/>
            <w:vAlign w:val="center"/>
          </w:tcPr>
          <w:p w14:paraId="036E176A">
            <w:pPr>
              <w:widowControl/>
              <w:jc w:val="center"/>
              <w:rPr>
                <w:rFonts w:ascii="仿宋" w:hAnsi="仿宋" w:eastAsia="仿宋" w:cs="仿宋"/>
                <w:color w:val="auto"/>
                <w:kern w:val="0"/>
                <w:sz w:val="20"/>
                <w:szCs w:val="20"/>
              </w:rPr>
            </w:pPr>
            <w:r>
              <w:rPr>
                <w:rFonts w:hint="eastAsia" w:ascii="仿宋" w:hAnsi="仿宋" w:eastAsia="仿宋" w:cs="仿宋"/>
                <w:color w:val="auto"/>
                <w:kern w:val="0"/>
                <w:sz w:val="20"/>
                <w:szCs w:val="20"/>
              </w:rPr>
              <w:t>安排任务落实</w:t>
            </w:r>
          </w:p>
        </w:tc>
        <w:tc>
          <w:tcPr>
            <w:tcW w:w="2342" w:type="dxa"/>
            <w:tcBorders>
              <w:top w:val="nil"/>
              <w:left w:val="nil"/>
              <w:bottom w:val="single" w:color="auto" w:sz="4" w:space="0"/>
              <w:right w:val="single" w:color="auto" w:sz="4" w:space="0"/>
            </w:tcBorders>
            <w:shd w:val="clear" w:color="auto" w:fill="auto"/>
            <w:vAlign w:val="center"/>
          </w:tcPr>
          <w:p w14:paraId="2395E45E">
            <w:pPr>
              <w:widowControl/>
              <w:jc w:val="center"/>
              <w:rPr>
                <w:rFonts w:ascii="仿宋" w:hAnsi="仿宋" w:eastAsia="仿宋" w:cs="仿宋"/>
                <w:color w:val="auto"/>
                <w:kern w:val="0"/>
                <w:sz w:val="20"/>
                <w:szCs w:val="20"/>
              </w:rPr>
            </w:pPr>
            <w:r>
              <w:rPr>
                <w:rFonts w:hint="eastAsia" w:ascii="仿宋" w:hAnsi="仿宋" w:eastAsia="仿宋" w:cs="仿宋"/>
                <w:color w:val="auto"/>
                <w:kern w:val="0"/>
                <w:sz w:val="20"/>
                <w:szCs w:val="20"/>
              </w:rPr>
              <w:t>任务落实执行</w:t>
            </w:r>
          </w:p>
        </w:tc>
        <w:tc>
          <w:tcPr>
            <w:tcW w:w="1208" w:type="dxa"/>
            <w:tcBorders>
              <w:top w:val="nil"/>
              <w:left w:val="nil"/>
              <w:bottom w:val="single" w:color="auto" w:sz="4" w:space="0"/>
              <w:right w:val="single" w:color="auto" w:sz="4" w:space="0"/>
            </w:tcBorders>
            <w:shd w:val="clear" w:color="auto" w:fill="auto"/>
            <w:vAlign w:val="center"/>
          </w:tcPr>
          <w:p w14:paraId="58EA6493">
            <w:pPr>
              <w:widowControl/>
              <w:jc w:val="center"/>
              <w:rPr>
                <w:rFonts w:ascii="仿宋" w:hAnsi="仿宋" w:eastAsia="仿宋" w:cs="仿宋"/>
                <w:color w:val="auto"/>
                <w:kern w:val="0"/>
                <w:sz w:val="20"/>
                <w:szCs w:val="20"/>
              </w:rPr>
            </w:pPr>
            <w:r>
              <w:rPr>
                <w:rFonts w:hint="eastAsia" w:ascii="仿宋" w:hAnsi="仿宋" w:eastAsia="仿宋" w:cs="仿宋"/>
                <w:color w:val="auto"/>
                <w:kern w:val="0"/>
                <w:sz w:val="20"/>
                <w:szCs w:val="20"/>
              </w:rPr>
              <w:t>20</w:t>
            </w:r>
          </w:p>
        </w:tc>
        <w:tc>
          <w:tcPr>
            <w:tcW w:w="3597" w:type="dxa"/>
            <w:tcBorders>
              <w:top w:val="nil"/>
              <w:left w:val="nil"/>
              <w:bottom w:val="single" w:color="auto" w:sz="4" w:space="0"/>
              <w:right w:val="single" w:color="auto" w:sz="4" w:space="0"/>
            </w:tcBorders>
            <w:shd w:val="clear" w:color="auto" w:fill="auto"/>
            <w:vAlign w:val="center"/>
          </w:tcPr>
          <w:p w14:paraId="36B416D6">
            <w:pPr>
              <w:widowControl/>
              <w:jc w:val="left"/>
              <w:rPr>
                <w:rFonts w:ascii="仿宋" w:hAnsi="仿宋" w:eastAsia="仿宋" w:cs="仿宋"/>
                <w:color w:val="auto"/>
                <w:kern w:val="0"/>
                <w:sz w:val="20"/>
                <w:szCs w:val="20"/>
              </w:rPr>
            </w:pPr>
            <w:r>
              <w:rPr>
                <w:rFonts w:hint="eastAsia" w:ascii="仿宋" w:hAnsi="仿宋" w:eastAsia="仿宋" w:cs="仿宋"/>
                <w:color w:val="auto"/>
                <w:kern w:val="0"/>
                <w:sz w:val="20"/>
                <w:szCs w:val="20"/>
              </w:rPr>
              <w:t>1.对所安排的合同范围内任务，积极接受不推脱</w:t>
            </w:r>
            <w:r>
              <w:rPr>
                <w:rFonts w:hint="eastAsia" w:ascii="仿宋" w:hAnsi="仿宋" w:eastAsia="仿宋" w:cs="仿宋"/>
                <w:color w:val="auto"/>
                <w:kern w:val="0"/>
                <w:sz w:val="20"/>
                <w:szCs w:val="20"/>
              </w:rPr>
              <w:br w:type="textWrapping"/>
            </w:r>
            <w:r>
              <w:rPr>
                <w:rFonts w:hint="eastAsia" w:ascii="仿宋" w:hAnsi="仿宋" w:eastAsia="仿宋" w:cs="仿宋"/>
                <w:color w:val="auto"/>
                <w:kern w:val="0"/>
                <w:sz w:val="20"/>
                <w:szCs w:val="20"/>
              </w:rPr>
              <w:t>2.及时高效完成任务</w:t>
            </w:r>
          </w:p>
        </w:tc>
      </w:tr>
      <w:tr w14:paraId="25BBA5CB">
        <w:tblPrEx>
          <w:tblCellMar>
            <w:top w:w="0" w:type="dxa"/>
            <w:left w:w="108" w:type="dxa"/>
            <w:bottom w:w="0" w:type="dxa"/>
            <w:right w:w="108" w:type="dxa"/>
          </w:tblCellMar>
        </w:tblPrEx>
        <w:trPr>
          <w:trHeight w:val="1044" w:hRule="atLeast"/>
          <w:jc w:val="center"/>
        </w:trPr>
        <w:tc>
          <w:tcPr>
            <w:tcW w:w="3352" w:type="dxa"/>
            <w:gridSpan w:val="2"/>
            <w:tcBorders>
              <w:top w:val="single" w:color="auto" w:sz="4" w:space="0"/>
              <w:left w:val="single" w:color="auto" w:sz="4" w:space="0"/>
              <w:bottom w:val="single" w:color="auto" w:sz="4" w:space="0"/>
              <w:right w:val="single" w:color="000000" w:sz="4" w:space="0"/>
            </w:tcBorders>
            <w:shd w:val="clear" w:color="auto" w:fill="auto"/>
            <w:vAlign w:val="center"/>
          </w:tcPr>
          <w:p w14:paraId="7B0D58FF">
            <w:pPr>
              <w:widowControl/>
              <w:jc w:val="center"/>
              <w:rPr>
                <w:rFonts w:ascii="仿宋" w:hAnsi="仿宋" w:eastAsia="仿宋" w:cs="仿宋"/>
                <w:color w:val="auto"/>
                <w:kern w:val="0"/>
                <w:sz w:val="20"/>
                <w:szCs w:val="20"/>
              </w:rPr>
            </w:pPr>
            <w:r>
              <w:rPr>
                <w:rFonts w:hint="eastAsia" w:ascii="仿宋" w:hAnsi="仿宋" w:eastAsia="仿宋" w:cs="仿宋"/>
                <w:color w:val="auto"/>
                <w:kern w:val="0"/>
                <w:sz w:val="20"/>
                <w:szCs w:val="20"/>
              </w:rPr>
              <w:t>合计（分）</w:t>
            </w:r>
          </w:p>
        </w:tc>
        <w:tc>
          <w:tcPr>
            <w:tcW w:w="1208" w:type="dxa"/>
            <w:tcBorders>
              <w:top w:val="nil"/>
              <w:left w:val="nil"/>
              <w:bottom w:val="single" w:color="auto" w:sz="4" w:space="0"/>
              <w:right w:val="single" w:color="auto" w:sz="4" w:space="0"/>
            </w:tcBorders>
            <w:shd w:val="clear" w:color="auto" w:fill="auto"/>
            <w:vAlign w:val="center"/>
          </w:tcPr>
          <w:p w14:paraId="78A2D56F">
            <w:pPr>
              <w:widowControl/>
              <w:jc w:val="center"/>
              <w:rPr>
                <w:rFonts w:ascii="仿宋" w:hAnsi="仿宋" w:eastAsia="仿宋" w:cs="仿宋"/>
                <w:color w:val="auto"/>
                <w:kern w:val="0"/>
                <w:sz w:val="20"/>
                <w:szCs w:val="20"/>
              </w:rPr>
            </w:pPr>
            <w:r>
              <w:rPr>
                <w:rFonts w:hint="eastAsia" w:ascii="仿宋" w:hAnsi="仿宋" w:eastAsia="仿宋" w:cs="仿宋"/>
                <w:color w:val="auto"/>
                <w:kern w:val="0"/>
                <w:sz w:val="20"/>
                <w:szCs w:val="20"/>
              </w:rPr>
              <w:t>100</w:t>
            </w:r>
          </w:p>
        </w:tc>
        <w:tc>
          <w:tcPr>
            <w:tcW w:w="3597" w:type="dxa"/>
            <w:tcBorders>
              <w:top w:val="nil"/>
              <w:left w:val="nil"/>
              <w:bottom w:val="single" w:color="auto" w:sz="4" w:space="0"/>
              <w:right w:val="single" w:color="auto" w:sz="4" w:space="0"/>
            </w:tcBorders>
            <w:shd w:val="clear" w:color="auto" w:fill="auto"/>
            <w:vAlign w:val="center"/>
          </w:tcPr>
          <w:p w14:paraId="09495791">
            <w:pPr>
              <w:widowControl/>
              <w:jc w:val="center"/>
              <w:rPr>
                <w:rFonts w:ascii="仿宋" w:hAnsi="仿宋" w:eastAsia="仿宋" w:cs="仿宋"/>
                <w:color w:val="auto"/>
                <w:kern w:val="0"/>
                <w:sz w:val="20"/>
                <w:szCs w:val="20"/>
              </w:rPr>
            </w:pPr>
            <w:r>
              <w:rPr>
                <w:rFonts w:hint="eastAsia" w:ascii="仿宋" w:hAnsi="仿宋" w:eastAsia="仿宋" w:cs="仿宋"/>
                <w:color w:val="auto"/>
                <w:kern w:val="0"/>
                <w:sz w:val="20"/>
                <w:szCs w:val="20"/>
              </w:rPr>
              <w:t>考核项目共10项，各项目扣完为止</w:t>
            </w:r>
          </w:p>
        </w:tc>
      </w:tr>
    </w:tbl>
    <w:p w14:paraId="53AD9450">
      <w:pPr>
        <w:pStyle w:val="13"/>
        <w:rPr>
          <w:rFonts w:hint="default" w:ascii="仿宋_GB2312" w:hAnsi="仿宋_GB2312" w:eastAsia="仿宋_GB2312" w:cs="仿宋_GB2312"/>
          <w:color w:val="auto"/>
          <w:lang w:eastAsia="zh-CN"/>
        </w:rPr>
      </w:pPr>
    </w:p>
    <w:p w14:paraId="27053DC4">
      <w:pPr>
        <w:jc w:val="center"/>
        <w:rPr>
          <w:rFonts w:hint="default"/>
          <w:color w:val="auto"/>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opperplate Gothic Bold">
    <w:altName w:val="Segoe Print"/>
    <w:panose1 w:val="020E0705020206020404"/>
    <w:charset w:val="00"/>
    <w:family w:val="swiss"/>
    <w:pitch w:val="default"/>
    <w:sig w:usb0="00000000" w:usb1="00000000" w:usb2="00000000" w:usb3="00000000" w:csb0="00000001"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EC2207B"/>
    <w:rsid w:val="185B7540"/>
    <w:rsid w:val="213E2F0F"/>
    <w:rsid w:val="26841133"/>
    <w:rsid w:val="33BC7D4B"/>
    <w:rsid w:val="3E754C90"/>
    <w:rsid w:val="3F81343C"/>
    <w:rsid w:val="7FA850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left"/>
    </w:pPr>
    <w:rPr>
      <w:rFonts w:ascii="宋体" w:hAnsi="宋体" w:eastAsia="宋体" w:cs="宋体"/>
      <w:b/>
      <w:kern w:val="2"/>
      <w:sz w:val="28"/>
      <w:szCs w:val="28"/>
      <w:lang w:val="en-US" w:eastAsia="zh-CN" w:bidi="ar-SA"/>
    </w:rPr>
  </w:style>
  <w:style w:type="paragraph" w:styleId="3">
    <w:name w:val="heading 2"/>
    <w:basedOn w:val="1"/>
    <w:next w:val="4"/>
    <w:unhideWhenUsed/>
    <w:qFormat/>
    <w:uiPriority w:val="0"/>
    <w:pPr>
      <w:keepNext/>
      <w:keepLines/>
      <w:spacing w:line="413" w:lineRule="auto"/>
      <w:jc w:val="left"/>
      <w:outlineLvl w:val="1"/>
    </w:pPr>
    <w:rPr>
      <w:rFonts w:ascii="Arial" w:hAnsi="Arial"/>
      <w:sz w:val="28"/>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jc w:val="left"/>
    </w:pPr>
    <w:rPr>
      <w:rFonts w:ascii="Copperplate Gothic Bold" w:hAnsi="Copperplate Gothic Bold"/>
      <w:sz w:val="28"/>
    </w:rPr>
  </w:style>
  <w:style w:type="paragraph" w:styleId="4">
    <w:name w:val="Normal Indent"/>
    <w:basedOn w:val="1"/>
    <w:next w:val="5"/>
    <w:qFormat/>
    <w:uiPriority w:val="0"/>
    <w:pPr>
      <w:ind w:firstLine="420"/>
    </w:pPr>
    <w:rPr>
      <w:szCs w:val="20"/>
    </w:rPr>
  </w:style>
  <w:style w:type="paragraph" w:styleId="5">
    <w:name w:val="Body Text First Indent 2"/>
    <w:basedOn w:val="6"/>
    <w:next w:val="1"/>
    <w:unhideWhenUsed/>
    <w:qFormat/>
    <w:uiPriority w:val="0"/>
    <w:pPr>
      <w:ind w:firstLine="420" w:firstLineChars="200"/>
    </w:pPr>
    <w:rPr>
      <w:szCs w:val="20"/>
    </w:rPr>
  </w:style>
  <w:style w:type="paragraph" w:styleId="6">
    <w:name w:val="Body Text Indent"/>
    <w:basedOn w:val="1"/>
    <w:qFormat/>
    <w:uiPriority w:val="0"/>
    <w:pPr>
      <w:ind w:left="420" w:leftChars="200"/>
    </w:pPr>
  </w:style>
  <w:style w:type="paragraph" w:styleId="7">
    <w:name w:val="toc 1"/>
    <w:basedOn w:val="1"/>
    <w:next w:val="1"/>
    <w:qFormat/>
    <w:uiPriority w:val="0"/>
    <w:pPr>
      <w:wordWrap w:val="0"/>
      <w:adjustRightInd w:val="0"/>
      <w:snapToGrid w:val="0"/>
      <w:spacing w:line="480" w:lineRule="auto"/>
    </w:pPr>
    <w:rPr>
      <w:rFonts w:ascii="宋体" w:hAnsi="宋体" w:eastAsia="宋体" w:cs="宋体"/>
      <w:sz w:val="28"/>
      <w:szCs w:val="28"/>
    </w:rPr>
  </w:style>
  <w:style w:type="paragraph" w:customStyle="1" w:styleId="10">
    <w:name w:val="表格-左对齐"/>
    <w:basedOn w:val="1"/>
    <w:qFormat/>
    <w:uiPriority w:val="0"/>
    <w:pPr>
      <w:wordWrap w:val="0"/>
      <w:adjustRightInd w:val="0"/>
      <w:snapToGrid w:val="0"/>
      <w:spacing w:line="360" w:lineRule="auto"/>
      <w:jc w:val="center"/>
    </w:pPr>
    <w:rPr>
      <w:rFonts w:hint="eastAsia" w:ascii="宋体" w:hAnsi="宋体" w:eastAsia="宋体" w:cs="宋体"/>
      <w:sz w:val="24"/>
      <w:szCs w:val="24"/>
    </w:rPr>
  </w:style>
  <w:style w:type="paragraph" w:customStyle="1" w:styleId="11">
    <w:name w:val="表格"/>
    <w:basedOn w:val="1"/>
    <w:autoRedefine/>
    <w:qFormat/>
    <w:uiPriority w:val="0"/>
    <w:pPr>
      <w:adjustRightInd w:val="0"/>
      <w:snapToGrid w:val="0"/>
      <w:spacing w:line="240" w:lineRule="auto"/>
      <w:jc w:val="center"/>
    </w:pPr>
    <w:rPr>
      <w:rFonts w:ascii="宋体" w:hAnsi="宋体" w:eastAsia="宋体" w:cs="宋体"/>
      <w:sz w:val="24"/>
      <w:szCs w:val="24"/>
      <w:u w:val="none"/>
    </w:rPr>
  </w:style>
  <w:style w:type="paragraph" w:customStyle="1" w:styleId="12">
    <w:name w:val="@正文"/>
    <w:basedOn w:val="1"/>
    <w:qFormat/>
    <w:uiPriority w:val="0"/>
    <w:pPr>
      <w:ind w:firstLine="200" w:firstLineChars="200"/>
    </w:pPr>
    <w:rPr>
      <w:rFonts w:ascii="Calibri" w:hAnsi="Calibri" w:eastAsia="宋体" w:cstheme="minorHAnsi"/>
      <w:color w:val="000000"/>
      <w:kern w:val="24"/>
    </w:rPr>
  </w:style>
  <w:style w:type="paragraph" w:customStyle="1" w:styleId="13">
    <w:name w:val="null3"/>
    <w:hidden/>
    <w:qFormat/>
    <w:uiPriority w:val="0"/>
    <w:rPr>
      <w:rFonts w:hint="eastAsia" w:asciiTheme="minorHAnsi" w:hAnsiTheme="minorHAnsi" w:eastAsiaTheme="minorEastAsia" w:cstheme="minorBidi"/>
      <w:lang w:val="en-US" w:eastAsia="zh-Han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0</Words>
  <Characters>0</Characters>
  <Lines>0</Lines>
  <Paragraphs>0</Paragraphs>
  <TotalTime>1</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2025-02-24T07:26:00Z</dcterms:created>
  <dc:creator>admin</dc:creator>
  <cp:lastModifiedBy>w..</cp:lastModifiedBy>
  <dcterms:modified xsi:type="dcterms:W3CDTF">2026-07-03T12:47:53Z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50DBD70EEBF74746A7EEF8B5DC19B0B3_12</vt:lpwstr>
  </property>
  <property fmtid="{D5CDD505-2E9C-101B-9397-08002B2CF9AE}" pid="4" name="KSOTemplateDocerSaveRecord">
    <vt:lpwstr>eyJoZGlkIjoiMzM4ODMwNjNiZWE4OGJkYzJkNWI1MjZhMjg0MGY0NWEiLCJ1c2VySWQiOiIyOTcwOTk0MDcifQ==</vt:lpwstr>
  </property>
</Properties>
</file>