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版本号：DQB-2026018-CS-120260514001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农作物新优品种展示评价(二次)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DQB-2026018-CS-1</w:t>
      </w:r>
      <w:r>
        <w:br/>
      </w:r>
      <w:r>
        <w:br/>
      </w:r>
      <w:r>
        <w:br/>
      </w:r>
    </w:p>
    <w:p>
      <w:pPr>
        <w:pStyle w:val="null3"/>
        <w:jc w:val="center"/>
        <w:outlineLvl w:val="2"/>
      </w:pPr>
      <w:r>
        <w:rPr>
          <w:rFonts w:ascii="仿宋_GB2312" w:hAnsi="仿宋_GB2312" w:cs="仿宋_GB2312" w:eastAsia="仿宋_GB2312"/>
          <w:sz w:val="28"/>
          <w:b/>
        </w:rPr>
        <w:t>西安市种子管理站</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西安市种子管理站</w:t>
      </w:r>
      <w:r>
        <w:rPr>
          <w:rFonts w:ascii="仿宋_GB2312" w:hAnsi="仿宋_GB2312" w:cs="仿宋_GB2312" w:eastAsia="仿宋_GB2312"/>
        </w:rPr>
        <w:t>委托，拟对</w:t>
      </w:r>
      <w:r>
        <w:rPr>
          <w:rFonts w:ascii="仿宋_GB2312" w:hAnsi="仿宋_GB2312" w:cs="仿宋_GB2312" w:eastAsia="仿宋_GB2312"/>
        </w:rPr>
        <w:t>农作物新优品种展示评价(二次)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DQB-2026018-CS-1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农作物新优品种展示评价(二次)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农作物新优品种展示评价。</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1、营业执照等主体资格证明文件：提供营业执照/事业单位法人证书/专业服务机构执业许可证/民办非企业单位登记证书/自然人身份证等。</w:t>
      </w:r>
    </w:p>
    <w:p>
      <w:pPr>
        <w:pStyle w:val="null3"/>
      </w:pPr>
      <w:r>
        <w:rPr>
          <w:rFonts w:ascii="仿宋_GB2312" w:hAnsi="仿宋_GB2312" w:cs="仿宋_GB2312" w:eastAsia="仿宋_GB2312"/>
        </w:rPr>
        <w:t>2、财务状况报告：提供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3、社保缴纳证明：提供递交响应文件截止之日前一年内任意一个月的社会保障资金缴存单据或社保机构开具的社会保险参保缴费情况证明。依法不需要缴纳社会保障资金的供应商应提供相关文件证明。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4、税收缴纳证明：提供递交响应文件截止之日前一年内任意一个月的依法缴纳税收的相关凭据，凭据应有税务机关或代收机关的公章或业务专用章。依法免税或无须缴纳税收的供应商，应提供相应证明文件。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5、近三年无重大违法、违纪书面声明：提供《近三年无重大违法、违纪书面声明》。</w:t>
      </w:r>
    </w:p>
    <w:p>
      <w:pPr>
        <w:pStyle w:val="null3"/>
      </w:pPr>
      <w:r>
        <w:rPr>
          <w:rFonts w:ascii="仿宋_GB2312" w:hAnsi="仿宋_GB2312" w:cs="仿宋_GB2312" w:eastAsia="仿宋_GB2312"/>
        </w:rPr>
        <w:t>6、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7、控股管理关系：提供直接控股和管理关系清单。若与其他供应商存在单位负责人为同一人或者存在直接控股、管理关系的，则投标无效。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8、书面声明：提供书面声明，包括声明具有履行合同所必需的设备和专业技术能力；未为本项目提供整体设计、规范编制或者项目管理、监理、检测等服务。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9、法定代表人授权委托书：法定代表人参加磋商的，须提供本人身份证复印件(附在资格证明文件中)；法定代表人授权他人参加磋商的，须提供法定代表人授权委托书，同时需提供被授权人开标前3个月内任意1个月的社保缴纳证明（依法不需要缴纳社保的被授权人应提供相关证明）。磋商文件中凡是需要法定代表人盖章之处，非法人单位的负责人均参照执行。法人的分支机构参与磋商时，除提供《法定代表人授权委托书》外，还须同时提供法人给分支机构出具的授权书。</w:t>
      </w:r>
    </w:p>
    <w:p>
      <w:pPr>
        <w:pStyle w:val="null3"/>
      </w:pPr>
      <w:r>
        <w:rPr>
          <w:rFonts w:ascii="仿宋_GB2312" w:hAnsi="仿宋_GB2312" w:cs="仿宋_GB2312" w:eastAsia="仿宋_GB2312"/>
        </w:rPr>
        <w:t>10、本项目不接受联合体响应，不允许分包。：供应商应提供《非联合体不分包响应声明》，视为独立磋商，不分包。</w:t>
      </w:r>
    </w:p>
    <w:p>
      <w:pPr>
        <w:pStyle w:val="null3"/>
      </w:pPr>
      <w:r>
        <w:rPr>
          <w:rFonts w:ascii="仿宋_GB2312" w:hAnsi="仿宋_GB2312" w:cs="仿宋_GB2312" w:eastAsia="仿宋_GB2312"/>
        </w:rPr>
        <w:t>11、肥料登记证：供应商为所投肥料产品生产厂家的，提供本单位所投肥料产品的肥料登记证或农业农村部肥料备案信息系统备案截图；供应商为所投肥料产品经销商的，提供所投肥料产品生产厂家对应产品的肥料登记证或农业农村部肥料备案信息系统备案截图。</w:t>
      </w:r>
    </w:p>
    <w:p>
      <w:pPr>
        <w:pStyle w:val="null3"/>
      </w:pPr>
      <w:r>
        <w:rPr>
          <w:rFonts w:ascii="仿宋_GB2312" w:hAnsi="仿宋_GB2312" w:cs="仿宋_GB2312" w:eastAsia="仿宋_GB2312"/>
        </w:rPr>
        <w:t>12、农药生产/经营许可证：供应商为所投农药产品生产厂家的，提供本单位农药生产许可证；供应商为所投农药产品经销商的，提供本单位农药经营许可证及所投农药产品生产厂家的农药生产许可证。</w:t>
      </w:r>
    </w:p>
    <w:p>
      <w:pPr>
        <w:pStyle w:val="null3"/>
      </w:pPr>
      <w:r>
        <w:rPr>
          <w:rFonts w:ascii="仿宋_GB2312" w:hAnsi="仿宋_GB2312" w:cs="仿宋_GB2312" w:eastAsia="仿宋_GB2312"/>
        </w:rPr>
        <w:t>13、种子经营生产许可证：供应商为所投种子产品生产厂家的，提供本单位种子经营生产许可证；供应商为所投种子产品经销商的，提供所投种子产品生产厂家的种子经营生产许可证。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西安市种子管理站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陕西省西安市文艺北路146号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029-87804388转832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姜仕路、李寅辰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原《国家计委关于印发&lt;招标代理服务收费管理暂行办法&gt;的通知》（计价格〔2002〕1980号）、《国家发展和改革委员会办公厅关于招标代理服务收费有关问题的通知》（发改办价格〔2003〕857号）的规定标准执行，按照差额累计法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西安市种子管理站</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西安市种子管理站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联系人：姜仕路、李寅辰</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农作物新优品种展示评价。</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农作物新优品种展示评价</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11,360.00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农作物新优品种展示评价</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172,640.00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农作物新优品种展示评价</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176,000.00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w:t>
            </w:r>
          </w:p>
        </w:tc>
        <w:tc>
          <w:tcPr>
            <w:tcW w:type="dxa" w:w="831"/>
          </w:tcPr>
          <w:p>
            <w:pPr>
              <w:pStyle w:val="null3"/>
            </w:pPr>
            <w:r>
              <w:rPr>
                <w:rFonts w:ascii="仿宋_GB2312" w:hAnsi="仿宋_GB2312" w:cs="仿宋_GB2312" w:eastAsia="仿宋_GB2312"/>
              </w:rPr>
              <w:t>农作物新优品种展示评价</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396,000.00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w:t>
            </w:r>
          </w:p>
        </w:tc>
        <w:tc>
          <w:tcPr>
            <w:tcW w:type="dxa" w:w="831"/>
          </w:tcPr>
          <w:p>
            <w:pPr>
              <w:pStyle w:val="null3"/>
            </w:pPr>
            <w:r>
              <w:rPr>
                <w:rFonts w:ascii="仿宋_GB2312" w:hAnsi="仿宋_GB2312" w:cs="仿宋_GB2312" w:eastAsia="仿宋_GB2312"/>
              </w:rPr>
              <w:t>农作物新优品种展示评价</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44,000.00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标的名称：农作物新优品种展示评价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rPr>
              <w:t>小麦复合肥料：共计</w:t>
            </w:r>
            <w:r>
              <w:rPr>
                <w:rFonts w:ascii="仿宋_GB2312" w:hAnsi="仿宋_GB2312" w:cs="仿宋_GB2312" w:eastAsia="仿宋_GB2312"/>
                <w:sz w:val="18"/>
              </w:rPr>
              <w:t>880</w:t>
            </w:r>
            <w:r>
              <w:rPr>
                <w:rFonts w:ascii="仿宋_GB2312" w:hAnsi="仿宋_GB2312" w:cs="仿宋_GB2312" w:eastAsia="仿宋_GB2312"/>
                <w:sz w:val="18"/>
              </w:rPr>
              <w:t>袋。</w:t>
            </w:r>
            <w:r>
              <w:rPr>
                <w:rFonts w:ascii="仿宋_GB2312" w:hAnsi="仿宋_GB2312" w:cs="仿宋_GB2312" w:eastAsia="仿宋_GB2312"/>
                <w:sz w:val="18"/>
              </w:rPr>
              <w:t xml:space="preserve">N-P205-K20 </w:t>
            </w:r>
            <w:r>
              <w:rPr>
                <w:rFonts w:ascii="仿宋_GB2312" w:hAnsi="仿宋_GB2312" w:cs="仿宋_GB2312" w:eastAsia="仿宋_GB2312"/>
                <w:sz w:val="18"/>
              </w:rPr>
              <w:t xml:space="preserve">≥ </w:t>
            </w:r>
            <w:r>
              <w:rPr>
                <w:rFonts w:ascii="仿宋_GB2312" w:hAnsi="仿宋_GB2312" w:cs="仿宋_GB2312" w:eastAsia="仿宋_GB2312"/>
                <w:sz w:val="18"/>
              </w:rPr>
              <w:t xml:space="preserve">15-15-15 </w:t>
            </w:r>
            <w:r>
              <w:rPr>
                <w:rFonts w:ascii="仿宋_GB2312" w:hAnsi="仿宋_GB2312" w:cs="仿宋_GB2312" w:eastAsia="仿宋_GB2312"/>
                <w:sz w:val="18"/>
              </w:rPr>
              <w:t>总养分≥</w:t>
            </w:r>
            <w:r>
              <w:rPr>
                <w:rFonts w:ascii="仿宋_GB2312" w:hAnsi="仿宋_GB2312" w:cs="仿宋_GB2312" w:eastAsia="仿宋_GB2312"/>
                <w:sz w:val="18"/>
              </w:rPr>
              <w:t>45%</w:t>
            </w:r>
            <w:r>
              <w:rPr>
                <w:rFonts w:ascii="仿宋_GB2312" w:hAnsi="仿宋_GB2312" w:cs="仿宋_GB2312" w:eastAsia="仿宋_GB2312"/>
                <w:sz w:val="18"/>
              </w:rPr>
              <w:t>，</w:t>
            </w:r>
            <w:r>
              <w:rPr>
                <w:rFonts w:ascii="仿宋_GB2312" w:hAnsi="仿宋_GB2312" w:cs="仿宋_GB2312" w:eastAsia="仿宋_GB2312"/>
                <w:sz w:val="18"/>
              </w:rPr>
              <w:t>40kg/</w:t>
            </w:r>
            <w:r>
              <w:rPr>
                <w:rFonts w:ascii="仿宋_GB2312" w:hAnsi="仿宋_GB2312" w:cs="仿宋_GB2312" w:eastAsia="仿宋_GB2312"/>
                <w:sz w:val="18"/>
              </w:rPr>
              <w:t xml:space="preserve">袋，每亩用量 </w:t>
            </w:r>
            <w:r>
              <w:rPr>
                <w:rFonts w:ascii="仿宋_GB2312" w:hAnsi="仿宋_GB2312" w:cs="仿宋_GB2312" w:eastAsia="仿宋_GB2312"/>
                <w:sz w:val="18"/>
              </w:rPr>
              <w:t>40kg</w:t>
            </w:r>
            <w:r>
              <w:rPr>
                <w:rFonts w:ascii="仿宋_GB2312" w:hAnsi="仿宋_GB2312" w:cs="仿宋_GB2312" w:eastAsia="仿宋_GB2312"/>
                <w:sz w:val="18"/>
              </w:rPr>
              <w:t>。符合</w:t>
            </w:r>
            <w:r>
              <w:rPr>
                <w:rFonts w:ascii="仿宋_GB2312" w:hAnsi="仿宋_GB2312" w:cs="仿宋_GB2312" w:eastAsia="仿宋_GB2312"/>
                <w:sz w:val="18"/>
              </w:rPr>
              <w:t xml:space="preserve">GB/T 15063-2020 </w:t>
            </w:r>
            <w:r>
              <w:rPr>
                <w:rFonts w:ascii="仿宋_GB2312" w:hAnsi="仿宋_GB2312" w:cs="仿宋_GB2312" w:eastAsia="仿宋_GB2312"/>
                <w:sz w:val="18"/>
              </w:rPr>
              <w:t>标准。</w:t>
            </w:r>
          </w:p>
        </w:tc>
      </w:tr>
    </w:tbl>
    <w:p>
      <w:pPr>
        <w:pStyle w:val="null3"/>
      </w:pPr>
      <w:r>
        <w:rPr>
          <w:rFonts w:ascii="仿宋_GB2312" w:hAnsi="仿宋_GB2312" w:cs="仿宋_GB2312" w:eastAsia="仿宋_GB2312"/>
        </w:rPr>
        <w:t>标的名称：农作物新优品种展示评价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rPr>
              <w:t>尿素：共</w:t>
            </w:r>
            <w:r>
              <w:rPr>
                <w:rFonts w:ascii="仿宋_GB2312" w:hAnsi="仿宋_GB2312" w:cs="仿宋_GB2312" w:eastAsia="仿宋_GB2312"/>
                <w:sz w:val="18"/>
              </w:rPr>
              <w:t>1328</w:t>
            </w:r>
            <w:r>
              <w:rPr>
                <w:rFonts w:ascii="仿宋_GB2312" w:hAnsi="仿宋_GB2312" w:cs="仿宋_GB2312" w:eastAsia="仿宋_GB2312"/>
                <w:sz w:val="18"/>
              </w:rPr>
              <w:t>袋。总氮≥</w:t>
            </w:r>
            <w:r>
              <w:rPr>
                <w:rFonts w:ascii="仿宋_GB2312" w:hAnsi="仿宋_GB2312" w:cs="仿宋_GB2312" w:eastAsia="仿宋_GB2312"/>
                <w:sz w:val="18"/>
              </w:rPr>
              <w:t>46.0%</w:t>
            </w:r>
            <w:r>
              <w:rPr>
                <w:rFonts w:ascii="仿宋_GB2312" w:hAnsi="仿宋_GB2312" w:cs="仿宋_GB2312" w:eastAsia="仿宋_GB2312"/>
                <w:sz w:val="18"/>
              </w:rPr>
              <w:t xml:space="preserve">。粒度范围 </w:t>
            </w:r>
            <w:r>
              <w:rPr>
                <w:rFonts w:ascii="仿宋_GB2312" w:hAnsi="仿宋_GB2312" w:cs="仿宋_GB2312" w:eastAsia="仿宋_GB2312"/>
                <w:sz w:val="18"/>
              </w:rPr>
              <w:t>d1.18-3.35mm</w:t>
            </w:r>
            <w:r>
              <w:rPr>
                <w:rFonts w:ascii="仿宋_GB2312" w:hAnsi="仿宋_GB2312" w:cs="仿宋_GB2312" w:eastAsia="仿宋_GB2312"/>
                <w:sz w:val="18"/>
              </w:rPr>
              <w:t>；</w:t>
            </w:r>
            <w:r>
              <w:rPr>
                <w:rFonts w:ascii="仿宋_GB2312" w:hAnsi="仿宋_GB2312" w:cs="仿宋_GB2312" w:eastAsia="仿宋_GB2312"/>
                <w:sz w:val="18"/>
              </w:rPr>
              <w:t>50kg/</w:t>
            </w:r>
            <w:r>
              <w:rPr>
                <w:rFonts w:ascii="仿宋_GB2312" w:hAnsi="仿宋_GB2312" w:cs="仿宋_GB2312" w:eastAsia="仿宋_GB2312"/>
                <w:sz w:val="18"/>
              </w:rPr>
              <w:t xml:space="preserve">袋，玉米每亩用量 </w:t>
            </w:r>
            <w:r>
              <w:rPr>
                <w:rFonts w:ascii="仿宋_GB2312" w:hAnsi="仿宋_GB2312" w:cs="仿宋_GB2312" w:eastAsia="仿宋_GB2312"/>
                <w:sz w:val="18"/>
              </w:rPr>
              <w:t>50kg</w:t>
            </w:r>
            <w:r>
              <w:rPr>
                <w:rFonts w:ascii="仿宋_GB2312" w:hAnsi="仿宋_GB2312" w:cs="仿宋_GB2312" w:eastAsia="仿宋_GB2312"/>
                <w:sz w:val="18"/>
              </w:rPr>
              <w:t>，小麦每亩用量</w:t>
            </w:r>
            <w:r>
              <w:rPr>
                <w:rFonts w:ascii="仿宋_GB2312" w:hAnsi="仿宋_GB2312" w:cs="仿宋_GB2312" w:eastAsia="仿宋_GB2312"/>
                <w:sz w:val="18"/>
              </w:rPr>
              <w:t>25kg</w:t>
            </w:r>
            <w:r>
              <w:rPr>
                <w:rFonts w:ascii="仿宋_GB2312" w:hAnsi="仿宋_GB2312" w:cs="仿宋_GB2312" w:eastAsia="仿宋_GB2312"/>
                <w:sz w:val="18"/>
              </w:rPr>
              <w:t>。符合</w:t>
            </w:r>
            <w:r>
              <w:rPr>
                <w:rFonts w:ascii="仿宋_GB2312" w:hAnsi="仿宋_GB2312" w:cs="仿宋_GB2312" w:eastAsia="仿宋_GB2312"/>
                <w:sz w:val="18"/>
              </w:rPr>
              <w:t>GB/T 2440-2017</w:t>
            </w:r>
            <w:r>
              <w:rPr>
                <w:rFonts w:ascii="仿宋_GB2312" w:hAnsi="仿宋_GB2312" w:cs="仿宋_GB2312" w:eastAsia="仿宋_GB2312"/>
                <w:sz w:val="18"/>
              </w:rPr>
              <w:t>标准。</w:t>
            </w:r>
          </w:p>
        </w:tc>
      </w:tr>
    </w:tbl>
    <w:p>
      <w:pPr>
        <w:pStyle w:val="null3"/>
      </w:pPr>
      <w:r>
        <w:rPr>
          <w:rFonts w:ascii="仿宋_GB2312" w:hAnsi="仿宋_GB2312" w:cs="仿宋_GB2312" w:eastAsia="仿宋_GB2312"/>
        </w:rPr>
        <w:t>标的名称：农作物新优品种展示评价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rPr>
              <w:t>农药用药：</w:t>
            </w:r>
            <w:r>
              <w:rPr>
                <w:rFonts w:ascii="仿宋_GB2312" w:hAnsi="仿宋_GB2312" w:cs="仿宋_GB2312" w:eastAsia="仿宋_GB2312"/>
                <w:sz w:val="18"/>
              </w:rPr>
              <w:t>880</w:t>
            </w:r>
            <w:r>
              <w:rPr>
                <w:rFonts w:ascii="仿宋_GB2312" w:hAnsi="仿宋_GB2312" w:cs="仿宋_GB2312" w:eastAsia="仿宋_GB2312"/>
                <w:sz w:val="18"/>
              </w:rPr>
              <w:t>亩小麦用农药，一亩为一套，共需</w:t>
            </w:r>
            <w:r>
              <w:rPr>
                <w:rFonts w:ascii="仿宋_GB2312" w:hAnsi="仿宋_GB2312" w:cs="仿宋_GB2312" w:eastAsia="仿宋_GB2312"/>
                <w:sz w:val="18"/>
              </w:rPr>
              <w:t>880</w:t>
            </w:r>
            <w:r>
              <w:rPr>
                <w:rFonts w:ascii="仿宋_GB2312" w:hAnsi="仿宋_GB2312" w:cs="仿宋_GB2312" w:eastAsia="仿宋_GB2312"/>
                <w:sz w:val="18"/>
              </w:rPr>
              <w:t>套。</w:t>
            </w:r>
            <w:r>
              <w:rPr>
                <w:rFonts w:ascii="仿宋_GB2312" w:hAnsi="仿宋_GB2312" w:cs="仿宋_GB2312" w:eastAsia="仿宋_GB2312"/>
                <w:sz w:val="18"/>
              </w:rPr>
              <w:t>880</w:t>
            </w:r>
            <w:r>
              <w:rPr>
                <w:rFonts w:ascii="仿宋_GB2312" w:hAnsi="仿宋_GB2312" w:cs="仿宋_GB2312" w:eastAsia="仿宋_GB2312"/>
                <w:sz w:val="18"/>
              </w:rPr>
              <w:t>亩玉米用农药，一亩为一套，共需</w:t>
            </w:r>
            <w:r>
              <w:rPr>
                <w:rFonts w:ascii="仿宋_GB2312" w:hAnsi="仿宋_GB2312" w:cs="仿宋_GB2312" w:eastAsia="仿宋_GB2312"/>
                <w:sz w:val="18"/>
              </w:rPr>
              <w:t>880</w:t>
            </w:r>
            <w:r>
              <w:rPr>
                <w:rFonts w:ascii="仿宋_GB2312" w:hAnsi="仿宋_GB2312" w:cs="仿宋_GB2312" w:eastAsia="仿宋_GB2312"/>
                <w:sz w:val="18"/>
              </w:rPr>
              <w:t>套。合计</w:t>
            </w:r>
            <w:r>
              <w:rPr>
                <w:rFonts w:ascii="仿宋_GB2312" w:hAnsi="仿宋_GB2312" w:cs="仿宋_GB2312" w:eastAsia="仿宋_GB2312"/>
                <w:sz w:val="18"/>
              </w:rPr>
              <w:t>1760</w:t>
            </w:r>
            <w:r>
              <w:rPr>
                <w:rFonts w:ascii="仿宋_GB2312" w:hAnsi="仿宋_GB2312" w:cs="仿宋_GB2312" w:eastAsia="仿宋_GB2312"/>
                <w:sz w:val="18"/>
              </w:rPr>
              <w:t>套。用药方案如下：</w:t>
            </w:r>
          </w:p>
          <w:tbl>
            <w:tblPr>
              <w:tblBorders>
                <w:top w:val="none" w:color="000000" w:sz="4"/>
                <w:left w:val="none" w:color="000000" w:sz="4"/>
                <w:bottom w:val="none" w:color="000000" w:sz="4"/>
                <w:right w:val="none" w:color="000000" w:sz="4"/>
                <w:insideH w:val="none"/>
                <w:insideV w:val="none"/>
              </w:tblBorders>
            </w:tblPr>
            <w:tblGrid>
              <w:gridCol w:w="371"/>
              <w:gridCol w:w="267"/>
              <w:gridCol w:w="439"/>
              <w:gridCol w:w="140"/>
              <w:gridCol w:w="308"/>
              <w:gridCol w:w="376"/>
              <w:gridCol w:w="339"/>
              <w:gridCol w:w="172"/>
              <w:gridCol w:w="140"/>
            </w:tblGrid>
            <w:tr>
              <w:tc>
                <w:tcPr>
                  <w:tcW w:type="dxa" w:w="2552"/>
                  <w:gridSpan w:val="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玉米用药方案</w:t>
                  </w:r>
                </w:p>
              </w:tc>
            </w:tr>
            <w:tr>
              <w:tc>
                <w:tcPr>
                  <w:tcW w:type="dxa" w:w="3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名称</w:t>
                  </w:r>
                </w:p>
              </w:tc>
              <w:tc>
                <w:tcPr>
                  <w:tcW w:type="dxa" w:w="26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规格</w:t>
                  </w:r>
                </w:p>
              </w:tc>
              <w:tc>
                <w:tcPr>
                  <w:tcW w:type="dxa" w:w="43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有效成分及含量</w:t>
                  </w:r>
                </w:p>
              </w:tc>
              <w:tc>
                <w:tcPr>
                  <w:tcW w:type="dxa" w:w="1335"/>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使用范围和使用方法</w:t>
                  </w:r>
                </w:p>
              </w:tc>
              <w:tc>
                <w:tcPr>
                  <w:tcW w:type="dxa" w:w="1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备注</w:t>
                  </w:r>
                </w:p>
              </w:tc>
            </w:tr>
            <w:tr>
              <w:tc>
                <w:tcPr>
                  <w:tcW w:type="dxa" w:w="371"/>
                  <w:vMerge/>
                  <w:tcBorders>
                    <w:top w:val="none" w:color="000000" w:sz="4"/>
                    <w:left w:val="single" w:color="000000" w:sz="4"/>
                    <w:bottom w:val="single" w:color="000000" w:sz="4"/>
                    <w:right w:val="single" w:color="000000" w:sz="4"/>
                  </w:tcBorders>
                </w:tcPr>
                <w:p/>
              </w:tc>
              <w:tc>
                <w:tcPr>
                  <w:tcW w:type="dxa" w:w="267"/>
                  <w:vMerge/>
                  <w:tcBorders>
                    <w:top w:val="single" w:color="000000" w:sz="4"/>
                    <w:left w:val="single" w:color="000000" w:sz="4"/>
                    <w:bottom w:val="single" w:color="000000" w:sz="4"/>
                    <w:right w:val="single" w:color="000000" w:sz="4"/>
                  </w:tcBorders>
                </w:tcPr>
                <w:p/>
              </w:tc>
              <w:tc>
                <w:tcPr>
                  <w:tcW w:type="dxa" w:w="439"/>
                  <w:vMerge/>
                  <w:tcBorders>
                    <w:top w:val="single" w:color="000000" w:sz="4"/>
                    <w:left w:val="single" w:color="000000" w:sz="4"/>
                    <w:bottom w:val="single" w:color="000000" w:sz="4"/>
                    <w:right w:val="single" w:color="000000" w:sz="4"/>
                  </w:tcBorders>
                </w:tcP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作物</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防止对象</w:t>
                  </w:r>
                </w:p>
              </w:tc>
              <w:tc>
                <w:tcPr>
                  <w:tcW w:type="dxa" w:w="3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用药量（制剂量</w:t>
                  </w:r>
                  <w:r>
                    <w:rPr>
                      <w:rFonts w:ascii="仿宋_GB2312" w:hAnsi="仿宋_GB2312" w:cs="仿宋_GB2312" w:eastAsia="仿宋_GB2312"/>
                      <w:sz w:val="18"/>
                    </w:rPr>
                    <w:t>/亩/使用期）</w:t>
                  </w:r>
                </w:p>
              </w:tc>
              <w:tc>
                <w:tcPr>
                  <w:tcW w:type="dxa" w:w="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使用期</w:t>
                  </w:r>
                </w:p>
              </w:tc>
              <w:tc>
                <w:tcPr>
                  <w:tcW w:type="dxa" w:w="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使用方式</w:t>
                  </w:r>
                </w:p>
              </w:tc>
              <w:tc>
                <w:tcPr>
                  <w:tcW w:type="dxa" w:w="140"/>
                  <w:vMerge/>
                  <w:tcBorders>
                    <w:top w:val="single" w:color="000000" w:sz="4"/>
                    <w:left w:val="single" w:color="000000" w:sz="4"/>
                    <w:bottom w:val="single" w:color="000000" w:sz="4"/>
                    <w:right w:val="single" w:color="000000" w:sz="4"/>
                  </w:tcBorders>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芸苔素内酯</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100g/瓶</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有效成分：</w:t>
                  </w:r>
                  <w:r>
                    <w:rPr>
                      <w:rFonts w:ascii="仿宋_GB2312" w:hAnsi="仿宋_GB2312" w:cs="仿宋_GB2312" w:eastAsia="仿宋_GB2312"/>
                      <w:sz w:val="18"/>
                    </w:rPr>
                    <w:t>0.01%</w:t>
                  </w:r>
                </w:p>
                <w:p>
                  <w:pPr>
                    <w:pStyle w:val="null3"/>
                    <w:jc w:val="both"/>
                  </w:pPr>
                  <w:r>
                    <w:rPr>
                      <w:rFonts w:ascii="仿宋_GB2312" w:hAnsi="仿宋_GB2312" w:cs="仿宋_GB2312" w:eastAsia="仿宋_GB2312"/>
                      <w:sz w:val="18"/>
                    </w:rPr>
                    <w:t>剂型：乳油</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玉米</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促进生长，增强抗逆性</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10ml/亩/使用期</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小喇叭口期</w:t>
                  </w:r>
                  <w:r>
                    <w:rPr>
                      <w:rFonts w:ascii="仿宋_GB2312" w:hAnsi="仿宋_GB2312" w:cs="仿宋_GB2312" w:eastAsia="仿宋_GB2312"/>
                      <w:sz w:val="18"/>
                    </w:rPr>
                    <w:t>/大喇叭口期</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茎叶喷雾</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磷酸二氢钾</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1kg/袋</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有效成分：磷</w:t>
                  </w:r>
                  <w:r>
                    <w:rPr>
                      <w:rFonts w:ascii="仿宋_GB2312" w:hAnsi="仿宋_GB2312" w:cs="仿宋_GB2312" w:eastAsia="仿宋_GB2312"/>
                      <w:sz w:val="18"/>
                    </w:rPr>
                    <w:t>≥51.7%，钾≥34%</w:t>
                  </w:r>
                </w:p>
                <w:p>
                  <w:pPr>
                    <w:pStyle w:val="null3"/>
                    <w:jc w:val="both"/>
                  </w:pPr>
                  <w:r>
                    <w:rPr>
                      <w:rFonts w:ascii="仿宋_GB2312" w:hAnsi="仿宋_GB2312" w:cs="仿宋_GB2312" w:eastAsia="仿宋_GB2312"/>
                      <w:sz w:val="18"/>
                    </w:rPr>
                    <w:t>剂型：粉剂（膨化）</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玉米</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补充营养</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100g/亩/使用期</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小喇叭口期</w:t>
                  </w:r>
                  <w:r>
                    <w:rPr>
                      <w:rFonts w:ascii="仿宋_GB2312" w:hAnsi="仿宋_GB2312" w:cs="仿宋_GB2312" w:eastAsia="仿宋_GB2312"/>
                      <w:sz w:val="18"/>
                    </w:rPr>
                    <w:t>/大喇叭口期</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茎叶喷雾</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吡唑醚菌酯</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100ml/瓶</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有效成分：</w:t>
                  </w:r>
                  <w:r>
                    <w:rPr>
                      <w:rFonts w:ascii="仿宋_GB2312" w:hAnsi="仿宋_GB2312" w:cs="仿宋_GB2312" w:eastAsia="仿宋_GB2312"/>
                      <w:sz w:val="18"/>
                    </w:rPr>
                    <w:t>30%</w:t>
                  </w:r>
                </w:p>
                <w:p>
                  <w:pPr>
                    <w:pStyle w:val="null3"/>
                    <w:jc w:val="both"/>
                  </w:pPr>
                  <w:r>
                    <w:rPr>
                      <w:rFonts w:ascii="仿宋_GB2312" w:hAnsi="仿宋_GB2312" w:cs="仿宋_GB2312" w:eastAsia="仿宋_GB2312"/>
                      <w:sz w:val="18"/>
                    </w:rPr>
                    <w:t>剂型：乳油</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玉米</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大斑病</w:t>
                  </w:r>
                  <w:r>
                    <w:rPr>
                      <w:rFonts w:ascii="仿宋_GB2312" w:hAnsi="仿宋_GB2312" w:cs="仿宋_GB2312" w:eastAsia="仿宋_GB2312"/>
                      <w:sz w:val="18"/>
                    </w:rPr>
                    <w:t>/小斑病</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50ml/亩/使用期</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小喇叭口期</w:t>
                  </w:r>
                  <w:r>
                    <w:rPr>
                      <w:rFonts w:ascii="仿宋_GB2312" w:hAnsi="仿宋_GB2312" w:cs="仿宋_GB2312" w:eastAsia="仿宋_GB2312"/>
                      <w:sz w:val="18"/>
                    </w:rPr>
                    <w:t>/大喇叭口期</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茎叶喷雾</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高效氯氟氰菊酯</w:t>
                  </w:r>
                  <w:r>
                    <w:rPr>
                      <w:rFonts w:ascii="仿宋_GB2312" w:hAnsi="仿宋_GB2312" w:cs="仿宋_GB2312" w:eastAsia="仿宋_GB2312"/>
                      <w:sz w:val="18"/>
                    </w:rPr>
                    <w:t>·甲维盐</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200ml/瓶</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有效成分：</w:t>
                  </w:r>
                  <w:r>
                    <w:rPr>
                      <w:rFonts w:ascii="仿宋_GB2312" w:hAnsi="仿宋_GB2312" w:cs="仿宋_GB2312" w:eastAsia="仿宋_GB2312"/>
                      <w:sz w:val="18"/>
                    </w:rPr>
                    <w:t>5%</w:t>
                  </w:r>
                </w:p>
                <w:p>
                  <w:pPr>
                    <w:pStyle w:val="null3"/>
                    <w:jc w:val="both"/>
                  </w:pPr>
                  <w:r>
                    <w:rPr>
                      <w:rFonts w:ascii="仿宋_GB2312" w:hAnsi="仿宋_GB2312" w:cs="仿宋_GB2312" w:eastAsia="仿宋_GB2312"/>
                      <w:sz w:val="18"/>
                    </w:rPr>
                    <w:t>剂型：微乳剂</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玉米</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玉米螟虫</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50ml/亩/使用期</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小喇叭口期</w:t>
                  </w:r>
                  <w:r>
                    <w:rPr>
                      <w:rFonts w:ascii="仿宋_GB2312" w:hAnsi="仿宋_GB2312" w:cs="仿宋_GB2312" w:eastAsia="仿宋_GB2312"/>
                      <w:sz w:val="18"/>
                    </w:rPr>
                    <w:t>/大喇叭口期</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茎叶喷雾</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戊唑醇</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100ml/瓶</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有效成分：</w:t>
                  </w:r>
                  <w:r>
                    <w:rPr>
                      <w:rFonts w:ascii="仿宋_GB2312" w:hAnsi="仿宋_GB2312" w:cs="仿宋_GB2312" w:eastAsia="仿宋_GB2312"/>
                      <w:sz w:val="18"/>
                    </w:rPr>
                    <w:t>430g/l</w:t>
                  </w:r>
                </w:p>
                <w:p>
                  <w:pPr>
                    <w:pStyle w:val="null3"/>
                    <w:jc w:val="both"/>
                  </w:pPr>
                  <w:r>
                    <w:rPr>
                      <w:rFonts w:ascii="仿宋_GB2312" w:hAnsi="仿宋_GB2312" w:cs="仿宋_GB2312" w:eastAsia="仿宋_GB2312"/>
                      <w:sz w:val="18"/>
                    </w:rPr>
                    <w:t>剂型：悬浮剂</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玉米</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黑粉病</w:t>
                  </w:r>
                  <w:r>
                    <w:rPr>
                      <w:rFonts w:ascii="仿宋_GB2312" w:hAnsi="仿宋_GB2312" w:cs="仿宋_GB2312" w:eastAsia="仿宋_GB2312"/>
                      <w:sz w:val="18"/>
                    </w:rPr>
                    <w:t>/锈病</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20ml/亩/使用期</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小喇叭口期</w:t>
                  </w:r>
                  <w:r>
                    <w:rPr>
                      <w:rFonts w:ascii="仿宋_GB2312" w:hAnsi="仿宋_GB2312" w:cs="仿宋_GB2312" w:eastAsia="仿宋_GB2312"/>
                      <w:sz w:val="18"/>
                    </w:rPr>
                    <w:t>/大喇叭口期</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茎叶喷雾</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烟嘧</w:t>
                  </w:r>
                  <w:r>
                    <w:rPr>
                      <w:rFonts w:ascii="仿宋_GB2312" w:hAnsi="仿宋_GB2312" w:cs="仿宋_GB2312" w:eastAsia="仿宋_GB2312"/>
                      <w:sz w:val="18"/>
                    </w:rPr>
                    <w:t>·硝磺·莠去津</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150g/瓶</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有效成分：</w:t>
                  </w:r>
                  <w:r>
                    <w:rPr>
                      <w:rFonts w:ascii="仿宋_GB2312" w:hAnsi="仿宋_GB2312" w:cs="仿宋_GB2312" w:eastAsia="仿宋_GB2312"/>
                      <w:sz w:val="18"/>
                    </w:rPr>
                    <w:t>30%</w:t>
                  </w:r>
                </w:p>
                <w:p>
                  <w:pPr>
                    <w:pStyle w:val="null3"/>
                    <w:jc w:val="both"/>
                  </w:pPr>
                  <w:r>
                    <w:rPr>
                      <w:rFonts w:ascii="仿宋_GB2312" w:hAnsi="仿宋_GB2312" w:cs="仿宋_GB2312" w:eastAsia="仿宋_GB2312"/>
                      <w:sz w:val="18"/>
                    </w:rPr>
                    <w:t>剂型：可分散油悬浮剂</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玉米</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玉米田</w:t>
                  </w:r>
                  <w:r>
                    <w:rPr>
                      <w:rFonts w:ascii="仿宋_GB2312" w:hAnsi="仿宋_GB2312" w:cs="仿宋_GB2312" w:eastAsia="仿宋_GB2312"/>
                      <w:sz w:val="18"/>
                    </w:rPr>
                    <w:t>/一年生杂草</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150g/亩/使用期</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玉米</w:t>
                  </w:r>
                  <w:r>
                    <w:rPr>
                      <w:rFonts w:ascii="仿宋_GB2312" w:hAnsi="仿宋_GB2312" w:cs="仿宋_GB2312" w:eastAsia="仿宋_GB2312"/>
                      <w:sz w:val="18"/>
                    </w:rPr>
                    <w:t>3-5期</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行间喷雾</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2552"/>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小麦用药方案</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芸苔素内酯</w:t>
                  </w:r>
                </w:p>
              </w:tc>
              <w:tc>
                <w:tcPr>
                  <w:tcW w:type="dxa" w:w="2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100g/瓶</w:t>
                  </w:r>
                </w:p>
              </w:tc>
              <w:tc>
                <w:tcPr>
                  <w:tcW w:type="dxa" w:w="4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有效成分：</w:t>
                  </w:r>
                  <w:r>
                    <w:rPr>
                      <w:rFonts w:ascii="仿宋_GB2312" w:hAnsi="仿宋_GB2312" w:cs="仿宋_GB2312" w:eastAsia="仿宋_GB2312"/>
                      <w:sz w:val="18"/>
                    </w:rPr>
                    <w:t>0.01%</w:t>
                  </w:r>
                </w:p>
                <w:p>
                  <w:pPr>
                    <w:pStyle w:val="null3"/>
                    <w:jc w:val="both"/>
                  </w:pPr>
                  <w:r>
                    <w:rPr>
                      <w:rFonts w:ascii="仿宋_GB2312" w:hAnsi="仿宋_GB2312" w:cs="仿宋_GB2312" w:eastAsia="仿宋_GB2312"/>
                      <w:sz w:val="18"/>
                    </w:rPr>
                    <w:t>剂型：乳油</w:t>
                  </w:r>
                </w:p>
              </w:tc>
              <w:tc>
                <w:tcPr>
                  <w:tcW w:type="dxa" w:w="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小麦</w:t>
                  </w:r>
                </w:p>
              </w:tc>
              <w:tc>
                <w:tcPr>
                  <w:tcW w:type="dxa" w:w="3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促进生长，增强抗逆性</w:t>
                  </w:r>
                </w:p>
              </w:tc>
              <w:tc>
                <w:tcPr>
                  <w:tcW w:type="dxa" w:w="3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10ml/亩/使用期</w:t>
                  </w:r>
                </w:p>
              </w:tc>
              <w:tc>
                <w:tcPr>
                  <w:tcW w:type="dxa" w:w="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返青拔节期</w:t>
                  </w:r>
                  <w:r>
                    <w:rPr>
                      <w:rFonts w:ascii="仿宋_GB2312" w:hAnsi="仿宋_GB2312" w:cs="仿宋_GB2312" w:eastAsia="仿宋_GB2312"/>
                      <w:sz w:val="18"/>
                    </w:rPr>
                    <w:t>/抽穗扬花期/灌浆期</w:t>
                  </w:r>
                </w:p>
              </w:tc>
              <w:tc>
                <w:tcPr>
                  <w:tcW w:type="dxa" w:w="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茎叶喷雾</w:t>
                  </w:r>
                </w:p>
              </w:tc>
              <w:tc>
                <w:tcPr>
                  <w:tcW w:type="dxa" w:w="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磷酸二氢钾</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1kg/袋</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有效成分：磷</w:t>
                  </w:r>
                  <w:r>
                    <w:rPr>
                      <w:rFonts w:ascii="仿宋_GB2312" w:hAnsi="仿宋_GB2312" w:cs="仿宋_GB2312" w:eastAsia="仿宋_GB2312"/>
                      <w:sz w:val="18"/>
                    </w:rPr>
                    <w:t>≥51.7%，钾≥34%</w:t>
                  </w:r>
                </w:p>
                <w:p>
                  <w:pPr>
                    <w:pStyle w:val="null3"/>
                    <w:jc w:val="both"/>
                  </w:pPr>
                  <w:r>
                    <w:rPr>
                      <w:rFonts w:ascii="仿宋_GB2312" w:hAnsi="仿宋_GB2312" w:cs="仿宋_GB2312" w:eastAsia="仿宋_GB2312"/>
                      <w:sz w:val="18"/>
                    </w:rPr>
                    <w:t>剂型：粉剂（膨化）</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小麦</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补充营养</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100g/亩/使用期</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返青拔节期</w:t>
                  </w:r>
                  <w:r>
                    <w:rPr>
                      <w:rFonts w:ascii="仿宋_GB2312" w:hAnsi="仿宋_GB2312" w:cs="仿宋_GB2312" w:eastAsia="仿宋_GB2312"/>
                      <w:sz w:val="18"/>
                    </w:rPr>
                    <w:t>/抽穗扬花期/灌浆期</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茎叶喷雾</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吡唑醚菌酯</w:t>
                  </w:r>
                  <w:r>
                    <w:rPr>
                      <w:rFonts w:ascii="仿宋_GB2312" w:hAnsi="仿宋_GB2312" w:cs="仿宋_GB2312" w:eastAsia="仿宋_GB2312"/>
                      <w:sz w:val="18"/>
                    </w:rPr>
                    <w:t>·咪鲜胺</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100ml/瓶</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有效成分：</w:t>
                  </w:r>
                  <w:r>
                    <w:rPr>
                      <w:rFonts w:ascii="仿宋_GB2312" w:hAnsi="仿宋_GB2312" w:cs="仿宋_GB2312" w:eastAsia="仿宋_GB2312"/>
                      <w:sz w:val="18"/>
                    </w:rPr>
                    <w:t>40%</w:t>
                  </w:r>
                </w:p>
                <w:p>
                  <w:pPr>
                    <w:pStyle w:val="null3"/>
                    <w:jc w:val="both"/>
                  </w:pPr>
                  <w:r>
                    <w:rPr>
                      <w:rFonts w:ascii="仿宋_GB2312" w:hAnsi="仿宋_GB2312" w:cs="仿宋_GB2312" w:eastAsia="仿宋_GB2312"/>
                      <w:sz w:val="18"/>
                    </w:rPr>
                    <w:t>剂型：水乳剂</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小麦</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白粉病</w:t>
                  </w:r>
                  <w:r>
                    <w:rPr>
                      <w:rFonts w:ascii="仿宋_GB2312" w:hAnsi="仿宋_GB2312" w:cs="仿宋_GB2312" w:eastAsia="仿宋_GB2312"/>
                      <w:sz w:val="18"/>
                    </w:rPr>
                    <w:t>/锈病/赤霉病</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50ml/亩/使用期</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返青拔节期</w:t>
                  </w:r>
                  <w:r>
                    <w:rPr>
                      <w:rFonts w:ascii="仿宋_GB2312" w:hAnsi="仿宋_GB2312" w:cs="仿宋_GB2312" w:eastAsia="仿宋_GB2312"/>
                      <w:sz w:val="18"/>
                    </w:rPr>
                    <w:t>/抽穗扬花期/灌浆期</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茎叶喷雾</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高效氯氟氰菊酯</w:t>
                  </w:r>
                  <w:r>
                    <w:rPr>
                      <w:rFonts w:ascii="仿宋_GB2312" w:hAnsi="仿宋_GB2312" w:cs="仿宋_GB2312" w:eastAsia="仿宋_GB2312"/>
                      <w:sz w:val="18"/>
                    </w:rPr>
                    <w:t>·噻虫胺</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200ml/瓶</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有效成分：</w:t>
                  </w:r>
                  <w:r>
                    <w:rPr>
                      <w:rFonts w:ascii="仿宋_GB2312" w:hAnsi="仿宋_GB2312" w:cs="仿宋_GB2312" w:eastAsia="仿宋_GB2312"/>
                      <w:sz w:val="18"/>
                    </w:rPr>
                    <w:t>12%</w:t>
                  </w:r>
                </w:p>
                <w:p>
                  <w:pPr>
                    <w:pStyle w:val="null3"/>
                    <w:jc w:val="both"/>
                  </w:pPr>
                  <w:r>
                    <w:rPr>
                      <w:rFonts w:ascii="仿宋_GB2312" w:hAnsi="仿宋_GB2312" w:cs="仿宋_GB2312" w:eastAsia="仿宋_GB2312"/>
                      <w:sz w:val="18"/>
                    </w:rPr>
                    <w:t>剂型：微乳剂</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小麦</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蚜虫</w:t>
                  </w:r>
                  <w:r>
                    <w:rPr>
                      <w:rFonts w:ascii="仿宋_GB2312" w:hAnsi="仿宋_GB2312" w:cs="仿宋_GB2312" w:eastAsia="仿宋_GB2312"/>
                      <w:sz w:val="18"/>
                    </w:rPr>
                    <w:t>/吸浆虫</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50ml/亩/使用期</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返青拔节期</w:t>
                  </w:r>
                  <w:r>
                    <w:rPr>
                      <w:rFonts w:ascii="仿宋_GB2312" w:hAnsi="仿宋_GB2312" w:cs="仿宋_GB2312" w:eastAsia="仿宋_GB2312"/>
                      <w:sz w:val="18"/>
                    </w:rPr>
                    <w:t>/抽穗扬花期/灌浆期</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茎叶喷雾</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戊唑醇</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100ml/瓶</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有效成分：</w:t>
                  </w:r>
                  <w:r>
                    <w:rPr>
                      <w:rFonts w:ascii="仿宋_GB2312" w:hAnsi="仿宋_GB2312" w:cs="仿宋_GB2312" w:eastAsia="仿宋_GB2312"/>
                      <w:sz w:val="18"/>
                    </w:rPr>
                    <w:t>430g/l</w:t>
                  </w:r>
                </w:p>
                <w:p>
                  <w:pPr>
                    <w:pStyle w:val="null3"/>
                    <w:jc w:val="both"/>
                  </w:pPr>
                  <w:r>
                    <w:rPr>
                      <w:rFonts w:ascii="仿宋_GB2312" w:hAnsi="仿宋_GB2312" w:cs="仿宋_GB2312" w:eastAsia="仿宋_GB2312"/>
                      <w:sz w:val="18"/>
                    </w:rPr>
                    <w:t>剂型：悬浮剂</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小麦</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黑粉病</w:t>
                  </w:r>
                  <w:r>
                    <w:rPr>
                      <w:rFonts w:ascii="仿宋_GB2312" w:hAnsi="仿宋_GB2312" w:cs="仿宋_GB2312" w:eastAsia="仿宋_GB2312"/>
                      <w:sz w:val="18"/>
                    </w:rPr>
                    <w:t>/锈病</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20ml/亩/使用期</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返青拔节期</w:t>
                  </w:r>
                  <w:r>
                    <w:rPr>
                      <w:rFonts w:ascii="仿宋_GB2312" w:hAnsi="仿宋_GB2312" w:cs="仿宋_GB2312" w:eastAsia="仿宋_GB2312"/>
                      <w:sz w:val="18"/>
                    </w:rPr>
                    <w:t>/抽穗扬花期/灌浆期</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茎叶喷雾</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阿维菌素</w:t>
                  </w:r>
                  <w:r>
                    <w:rPr>
                      <w:rFonts w:ascii="仿宋_GB2312" w:hAnsi="仿宋_GB2312" w:cs="仿宋_GB2312" w:eastAsia="仿宋_GB2312"/>
                      <w:sz w:val="18"/>
                    </w:rPr>
                    <w:t>·联苯肼酯</w:t>
                  </w:r>
                </w:p>
              </w:tc>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100ml/瓶</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有效成分：</w:t>
                  </w:r>
                  <w:r>
                    <w:rPr>
                      <w:rFonts w:ascii="仿宋_GB2312" w:hAnsi="仿宋_GB2312" w:cs="仿宋_GB2312" w:eastAsia="仿宋_GB2312"/>
                      <w:sz w:val="18"/>
                    </w:rPr>
                    <w:t>33%</w:t>
                  </w:r>
                </w:p>
                <w:p>
                  <w:pPr>
                    <w:pStyle w:val="null3"/>
                    <w:jc w:val="both"/>
                  </w:pPr>
                  <w:r>
                    <w:rPr>
                      <w:rFonts w:ascii="仿宋_GB2312" w:hAnsi="仿宋_GB2312" w:cs="仿宋_GB2312" w:eastAsia="仿宋_GB2312"/>
                      <w:sz w:val="18"/>
                    </w:rPr>
                    <w:t>剂型：悬浮剂</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小麦</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杀虫剂</w:t>
                  </w:r>
                </w:p>
              </w:tc>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10ml/亩/使用期</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返青拔节期</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茎叶喷雾</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bl>
          <w:p/>
        </w:tc>
      </w:tr>
    </w:tbl>
    <w:p>
      <w:pPr>
        <w:pStyle w:val="null3"/>
      </w:pPr>
      <w:r>
        <w:rPr>
          <w:rFonts w:ascii="仿宋_GB2312" w:hAnsi="仿宋_GB2312" w:cs="仿宋_GB2312" w:eastAsia="仿宋_GB2312"/>
        </w:rPr>
        <w:t>标的名称：农作物新优品种展示评价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rPr>
              <w:t>玉米复合肥料：共</w:t>
            </w:r>
            <w:r>
              <w:rPr>
                <w:rFonts w:ascii="仿宋_GB2312" w:hAnsi="仿宋_GB2312" w:cs="仿宋_GB2312" w:eastAsia="仿宋_GB2312"/>
                <w:sz w:val="18"/>
              </w:rPr>
              <w:t>1666</w:t>
            </w:r>
            <w:r>
              <w:rPr>
                <w:rFonts w:ascii="仿宋_GB2312" w:hAnsi="仿宋_GB2312" w:cs="仿宋_GB2312" w:eastAsia="仿宋_GB2312"/>
                <w:sz w:val="18"/>
              </w:rPr>
              <w:t>袋。</w:t>
            </w:r>
            <w:r>
              <w:rPr>
                <w:rFonts w:ascii="仿宋_GB2312" w:hAnsi="仿宋_GB2312" w:cs="仿宋_GB2312" w:eastAsia="仿宋_GB2312"/>
                <w:sz w:val="18"/>
              </w:rPr>
              <w:t xml:space="preserve">N-P205-K20 </w:t>
            </w:r>
            <w:r>
              <w:rPr>
                <w:rFonts w:ascii="仿宋_GB2312" w:hAnsi="仿宋_GB2312" w:cs="仿宋_GB2312" w:eastAsia="仿宋_GB2312"/>
                <w:sz w:val="18"/>
              </w:rPr>
              <w:t xml:space="preserve">≥ </w:t>
            </w:r>
            <w:r>
              <w:rPr>
                <w:rFonts w:ascii="仿宋_GB2312" w:hAnsi="仿宋_GB2312" w:cs="仿宋_GB2312" w:eastAsia="仿宋_GB2312"/>
                <w:sz w:val="18"/>
              </w:rPr>
              <w:t xml:space="preserve">23-12-5 </w:t>
            </w:r>
            <w:r>
              <w:rPr>
                <w:rFonts w:ascii="仿宋_GB2312" w:hAnsi="仿宋_GB2312" w:cs="仿宋_GB2312" w:eastAsia="仿宋_GB2312"/>
                <w:sz w:val="18"/>
              </w:rPr>
              <w:t>总养分≥</w:t>
            </w:r>
            <w:r>
              <w:rPr>
                <w:rFonts w:ascii="仿宋_GB2312" w:hAnsi="仿宋_GB2312" w:cs="仿宋_GB2312" w:eastAsia="仿宋_GB2312"/>
                <w:sz w:val="18"/>
              </w:rPr>
              <w:t>40%</w:t>
            </w:r>
            <w:r>
              <w:rPr>
                <w:rFonts w:ascii="仿宋_GB2312" w:hAnsi="仿宋_GB2312" w:cs="仿宋_GB2312" w:eastAsia="仿宋_GB2312"/>
                <w:sz w:val="18"/>
              </w:rPr>
              <w:t>，</w:t>
            </w:r>
            <w:r>
              <w:rPr>
                <w:rFonts w:ascii="仿宋_GB2312" w:hAnsi="仿宋_GB2312" w:cs="仿宋_GB2312" w:eastAsia="仿宋_GB2312"/>
                <w:sz w:val="18"/>
              </w:rPr>
              <w:t>40kg/</w:t>
            </w:r>
            <w:r>
              <w:rPr>
                <w:rFonts w:ascii="仿宋_GB2312" w:hAnsi="仿宋_GB2312" w:cs="仿宋_GB2312" w:eastAsia="仿宋_GB2312"/>
                <w:sz w:val="18"/>
              </w:rPr>
              <w:t>袋，每亩用量</w:t>
            </w:r>
            <w:r>
              <w:rPr>
                <w:rFonts w:ascii="仿宋_GB2312" w:hAnsi="仿宋_GB2312" w:cs="仿宋_GB2312" w:eastAsia="仿宋_GB2312"/>
                <w:sz w:val="18"/>
              </w:rPr>
              <w:t>75kg</w:t>
            </w:r>
            <w:r>
              <w:rPr>
                <w:rFonts w:ascii="仿宋_GB2312" w:hAnsi="仿宋_GB2312" w:cs="仿宋_GB2312" w:eastAsia="仿宋_GB2312"/>
                <w:sz w:val="18"/>
              </w:rPr>
              <w:t>。符合</w:t>
            </w:r>
            <w:r>
              <w:rPr>
                <w:rFonts w:ascii="仿宋_GB2312" w:hAnsi="仿宋_GB2312" w:cs="仿宋_GB2312" w:eastAsia="仿宋_GB2312"/>
                <w:sz w:val="18"/>
              </w:rPr>
              <w:t xml:space="preserve">GB/T 15063-2020 </w:t>
            </w:r>
            <w:r>
              <w:rPr>
                <w:rFonts w:ascii="仿宋_GB2312" w:hAnsi="仿宋_GB2312" w:cs="仿宋_GB2312" w:eastAsia="仿宋_GB2312"/>
                <w:sz w:val="18"/>
              </w:rPr>
              <w:t>标准。</w:t>
            </w:r>
          </w:p>
        </w:tc>
      </w:tr>
    </w:tbl>
    <w:p>
      <w:pPr>
        <w:pStyle w:val="null3"/>
      </w:pPr>
      <w:r>
        <w:rPr>
          <w:rFonts w:ascii="仿宋_GB2312" w:hAnsi="仿宋_GB2312" w:cs="仿宋_GB2312" w:eastAsia="仿宋_GB2312"/>
        </w:rPr>
        <w:t>标的名称：农作物新优品种展示评价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玉米种子：符合</w:t>
            </w:r>
            <w:r>
              <w:rPr>
                <w:rFonts w:ascii="仿宋_GB2312" w:hAnsi="仿宋_GB2312" w:cs="仿宋_GB2312" w:eastAsia="仿宋_GB2312"/>
                <w:sz w:val="18"/>
              </w:rPr>
              <w:t>GB 4404.1</w:t>
            </w:r>
            <w:r>
              <w:rPr>
                <w:rFonts w:ascii="仿宋_GB2312" w:hAnsi="仿宋_GB2312" w:cs="仿宋_GB2312" w:eastAsia="仿宋_GB2312"/>
                <w:sz w:val="18"/>
              </w:rPr>
              <w:t>—</w:t>
            </w:r>
            <w:r>
              <w:rPr>
                <w:rFonts w:ascii="仿宋_GB2312" w:hAnsi="仿宋_GB2312" w:cs="仿宋_GB2312" w:eastAsia="仿宋_GB2312"/>
                <w:sz w:val="18"/>
              </w:rPr>
              <w:t>2024</w:t>
            </w:r>
            <w:r>
              <w:rPr>
                <w:rFonts w:ascii="仿宋_GB2312" w:hAnsi="仿宋_GB2312" w:cs="仿宋_GB2312" w:eastAsia="仿宋_GB2312"/>
                <w:sz w:val="18"/>
              </w:rPr>
              <w:t>标准。采购</w:t>
            </w:r>
            <w:r>
              <w:rPr>
                <w:rFonts w:ascii="仿宋_GB2312" w:hAnsi="仿宋_GB2312" w:cs="仿宋_GB2312" w:eastAsia="仿宋_GB2312"/>
                <w:sz w:val="18"/>
              </w:rPr>
              <w:t>5</w:t>
            </w:r>
            <w:r>
              <w:rPr>
                <w:rFonts w:ascii="仿宋_GB2312" w:hAnsi="仿宋_GB2312" w:cs="仿宋_GB2312" w:eastAsia="仿宋_GB2312"/>
                <w:sz w:val="18"/>
              </w:rPr>
              <w:t>类不同品种种子，近年通过陕西省审定适宜西安区域种植的新品种</w:t>
            </w:r>
            <w:r>
              <w:rPr>
                <w:rFonts w:ascii="仿宋_GB2312" w:hAnsi="仿宋_GB2312" w:cs="仿宋_GB2312" w:eastAsia="仿宋_GB2312"/>
                <w:sz w:val="18"/>
              </w:rPr>
              <w:t>4</w:t>
            </w:r>
            <w:r>
              <w:rPr>
                <w:rFonts w:ascii="仿宋_GB2312" w:hAnsi="仿宋_GB2312" w:cs="仿宋_GB2312" w:eastAsia="仿宋_GB2312"/>
                <w:sz w:val="18"/>
              </w:rPr>
              <w:t>个，每个</w:t>
            </w:r>
            <w:r>
              <w:rPr>
                <w:rFonts w:ascii="仿宋_GB2312" w:hAnsi="仿宋_GB2312" w:cs="仿宋_GB2312" w:eastAsia="仿宋_GB2312"/>
                <w:sz w:val="18"/>
              </w:rPr>
              <w:t>200</w:t>
            </w:r>
            <w:r>
              <w:rPr>
                <w:rFonts w:ascii="仿宋_GB2312" w:hAnsi="仿宋_GB2312" w:cs="仿宋_GB2312" w:eastAsia="仿宋_GB2312"/>
                <w:sz w:val="18"/>
              </w:rPr>
              <w:t>袋，对照品种</w:t>
            </w:r>
            <w:r>
              <w:rPr>
                <w:rFonts w:ascii="仿宋_GB2312" w:hAnsi="仿宋_GB2312" w:cs="仿宋_GB2312" w:eastAsia="仿宋_GB2312"/>
                <w:sz w:val="18"/>
              </w:rPr>
              <w:t>1</w:t>
            </w:r>
            <w:r>
              <w:rPr>
                <w:rFonts w:ascii="仿宋_GB2312" w:hAnsi="仿宋_GB2312" w:cs="仿宋_GB2312" w:eastAsia="仿宋_GB2312"/>
                <w:sz w:val="18"/>
              </w:rPr>
              <w:t>个，</w:t>
            </w:r>
            <w:r>
              <w:rPr>
                <w:rFonts w:ascii="仿宋_GB2312" w:hAnsi="仿宋_GB2312" w:cs="仿宋_GB2312" w:eastAsia="仿宋_GB2312"/>
                <w:sz w:val="18"/>
              </w:rPr>
              <w:t>80</w:t>
            </w:r>
            <w:r>
              <w:rPr>
                <w:rFonts w:ascii="仿宋_GB2312" w:hAnsi="仿宋_GB2312" w:cs="仿宋_GB2312" w:eastAsia="仿宋_GB2312"/>
                <w:sz w:val="18"/>
              </w:rPr>
              <w:t>袋，合计</w:t>
            </w:r>
            <w:r>
              <w:rPr>
                <w:rFonts w:ascii="仿宋_GB2312" w:hAnsi="仿宋_GB2312" w:cs="仿宋_GB2312" w:eastAsia="仿宋_GB2312"/>
                <w:sz w:val="18"/>
              </w:rPr>
              <w:t>880</w:t>
            </w:r>
            <w:r>
              <w:rPr>
                <w:rFonts w:ascii="仿宋_GB2312" w:hAnsi="仿宋_GB2312" w:cs="仿宋_GB2312" w:eastAsia="仿宋_GB2312"/>
                <w:sz w:val="18"/>
              </w:rPr>
              <w:t>袋，每袋规格不低于</w:t>
            </w:r>
            <w:r>
              <w:rPr>
                <w:rFonts w:ascii="仿宋_GB2312" w:hAnsi="仿宋_GB2312" w:cs="仿宋_GB2312" w:eastAsia="仿宋_GB2312"/>
                <w:sz w:val="18"/>
              </w:rPr>
              <w:t>1.5kg</w:t>
            </w:r>
            <w:r>
              <w:rPr>
                <w:rFonts w:ascii="仿宋_GB2312" w:hAnsi="仿宋_GB2312" w:cs="仿宋_GB2312" w:eastAsia="仿宋_GB2312"/>
                <w:sz w:val="18"/>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西安市种子管理站指定地点。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合同签订后，达到付款条件起</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所有产品到达指定地点且验收合格后，达到付款条件起</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（1）质保期不少于1年。 （2）所有产品质量必须符合国家或行业最新规范。所有产品及辅材必须是未使用过的新产品、渠道正当。 （3）质保期出现的质量问题由中标供应商负责解决并承担所有费用。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（1）成交供应商不能按期完成服务的，应向采购人赔付违约金。 （2）成交供应商所交服务不符合国家法律法规、磋商文件、响应文件和合同规定的，采购人有权拒收，并由中标供应商承担一切费用。 （3）采购人、成交供应商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 （4）合同执行中发生争议的，采购人、成交供应商双方应协商解决，协商达不成一致时，可向采购人所在地人民法院提请诉讼。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（1）本项目落实《国务院办公厅关于在政府采购中实施本国产品标准及相关政策的通知 》-（国办发〔2025〕34号）政策，适用于政府采购货物项目和服务项目中涉及的货物：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（2）落实异常低价审查 （2.1）评审中出现下列情形之一的，磋商小组应当启动异常低价投标（响应）审查程序： （2.1.1）投标（响应）报价低于全部通过符合性审查供应商投标（响应）报价平均值65%的，即投标（响应）报价&lt;全部通过符合性审查供应商投标（响应）报价平均值×65%； （2.1.2）投标（响应）报价低于通过符合性审查的次低报价供应商投标（响应）报价65%的，即投标（响应）报价&lt;通过符合性审查的次低报价供应商投标（响应）报价×65%； （2.1.3）投标（响应）报价低于采购项目最高限价65%的，即投标（响应）报价&lt;采购项目最高限价×65%； （2.1.4）磋商小组基于专业判断，认为供应商报价过低，有可能影响产品质量或者不能诚信履约的其他情形。 （2.2）相关法律法规对供应商报价有规定的，从其规定。 （2.3）磋商小组启动异常低价投标（响应）审查后，属于（2.1）中第（2.1.1）项至第（2.1.4）项情形的，应当要求相关供应商在评审现场合理的时间内对投标（响应）价格作出解释，提供项目具体成本测算等与报价合理性相关的书面说明及必要的证明材料，包括但不限于原材料成本、人工成本、制造费用等。其中，属于第（2.1.3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采购人、采购代理机构应当为磋商小组在评审现场及时获取同类项目中标（成交）价格、类似产品市场价格水平、行业人工费用标准、国家有关部门指导行业协会发布的行业平均成本等相关信息资料提供便利。磋商小组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异常低价投标（响应）审查的启动原因、审查意见和审查结果应当在评审报告中记录，并随供应商提供的相关书面说明及证明材料，以及磋商小组有关互联网浏览、查询历史一并归档。 （3）供应商需要在线提交所有通过电子化交易平台实施的政府采购项目的响应文件，同时，线下提交纸质响应文件贰份；若电子响应文件与纸质响应文件不一致的，以电子响应文件为准；响应文件装订成册密封（在书脊处标明项目名称、供应商名称（机打或手写均可），逐页标注连页码），在封口处加盖供应商公章；纸质响应文件递交截止时间与线上开评标时间一致；纸质响应文件可邮寄递交，应于递交响应文件截止时间前邮寄到代理机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提供营业执照/事业单位法人证书/专业服务机构执业许可证/民办非企业单位登记证书/自然人身份证等。</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附在资格证明文件中)；法定代表人授权他人参加磋商的，须提供法定代表人授权委托书，同时需提供被授权人开标前3个月内任意1个月的社保缴纳证明（依法不需要缴纳社保的被授权人应提供相关证明）。磋商文件中凡是需要法定代表人盖章之处，非法人单位的负责人均参照执行。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本项目不接受联合体响应，不允许分包。</w:t>
            </w:r>
          </w:p>
        </w:tc>
        <w:tc>
          <w:tcPr>
            <w:tcW w:type="dxa" w:w="3322"/>
          </w:tcPr>
          <w:p>
            <w:pPr>
              <w:pStyle w:val="null3"/>
            </w:pPr>
            <w:r>
              <w:rPr>
                <w:rFonts w:ascii="仿宋_GB2312" w:hAnsi="仿宋_GB2312" w:cs="仿宋_GB2312" w:eastAsia="仿宋_GB2312"/>
              </w:rPr>
              <w:t>供应商应提供《非联合体不分包响应声明》，视为独立磋商，不分包。</w:t>
            </w:r>
          </w:p>
        </w:tc>
        <w:tc>
          <w:tcPr>
            <w:tcW w:type="dxa" w:w="1661"/>
          </w:tcPr>
          <w:p>
            <w:pPr>
              <w:pStyle w:val="null3"/>
            </w:pPr>
            <w:r>
              <w:rPr>
                <w:rFonts w:ascii="仿宋_GB2312" w:hAnsi="仿宋_GB2312" w:cs="仿宋_GB2312" w:eastAsia="仿宋_GB2312"/>
              </w:rPr>
              <w:t>非联合体不分包响应声明</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肥料登记证</w:t>
            </w:r>
          </w:p>
        </w:tc>
        <w:tc>
          <w:tcPr>
            <w:tcW w:type="dxa" w:w="3322"/>
          </w:tcPr>
          <w:p>
            <w:pPr>
              <w:pStyle w:val="null3"/>
            </w:pPr>
            <w:r>
              <w:rPr>
                <w:rFonts w:ascii="仿宋_GB2312" w:hAnsi="仿宋_GB2312" w:cs="仿宋_GB2312" w:eastAsia="仿宋_GB2312"/>
              </w:rPr>
              <w:t>供应商为所投肥料产品生产厂家的，提供本单位所投肥料产品的肥料登记证或农业农村部肥料备案信息系统备案截图；供应商为所投肥料产品经销商的，提供所投肥料产品生产厂家对应产品的肥料登记证或农业农村部肥料备案信息系统备案截图。</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农药生产/经营许可证</w:t>
            </w:r>
          </w:p>
        </w:tc>
        <w:tc>
          <w:tcPr>
            <w:tcW w:type="dxa" w:w="3322"/>
          </w:tcPr>
          <w:p>
            <w:pPr>
              <w:pStyle w:val="null3"/>
            </w:pPr>
            <w:r>
              <w:rPr>
                <w:rFonts w:ascii="仿宋_GB2312" w:hAnsi="仿宋_GB2312" w:cs="仿宋_GB2312" w:eastAsia="仿宋_GB2312"/>
              </w:rPr>
              <w:t>供应商为所投农药产品生产厂家的，提供本单位农药生产许可证；供应商为所投农药产品经销商的，提供本单位农药经营许可证及所投农药产品生产厂家的农药生产许可证。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种子经营生产许可证</w:t>
            </w:r>
          </w:p>
        </w:tc>
        <w:tc>
          <w:tcPr>
            <w:tcW w:type="dxa" w:w="3322"/>
          </w:tcPr>
          <w:p>
            <w:pPr>
              <w:pStyle w:val="null3"/>
            </w:pPr>
            <w:r>
              <w:rPr>
                <w:rFonts w:ascii="仿宋_GB2312" w:hAnsi="仿宋_GB2312" w:cs="仿宋_GB2312" w:eastAsia="仿宋_GB2312"/>
              </w:rPr>
              <w:t>供应商为所投种子产品生产厂家的，提供本单位种子经营生产许可证；供应商为所投种子产品经销商的，提供所投种子产品生产厂家的种子经营生产许可证。</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（1）落实异常低价审查 （1.1）评审中出现下列情形之一的，磋商小组应当启动异常低价投标（响应）审查程序： （1.1.1）投标（响应）报价低于全部通过符合性审查供应商投标（响应）报价平均值65%的，即投标（响应）报价&lt;全部通过符合性审查供应商投标（响应）报价平均值×65%； （1.1.2）投标（响应）报价低于通过符合性审查的次低报价供应商投标（响应）报价65%的，即投标（响应）报价&lt;通过符合性审查的次低报价供应商投标（响应）报价×65%； （1.1.3）投标（响应）报价低于采购项目最高限价65%的，即投标（响应）报价&lt;采购项目最高限价×65%； （1.1.4）磋商小组基于专业判断，认为供应商报价过低，有可能影响产品质量或者不能诚信履约的其他情形。 （1.2）相关法律法规对供应商报价有规定的，从其规定。 （1.3）磋商小组启动异常低价投标（响应）审查后，属于（1.1）中第（1.1.1）项至第（1.1.4）项情形的，应当要求相关供应商在评审现场合理的时间内对投标（响应）价格作出解释，提供项目具体成本测算等与报价合理性相关的书面说明及必要的证明材料，包括但不限于原材料成本、人工成本、制造费用等。其中，属于第（1.1.3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采购人、采购代理机构应当为磋商小组在评审现场及时获取同类项目中标（成交）价格、类似产品市场价格水平、行业人工费用标准、国家有关部门指导行业协会发布的行业平均成本等相关信息资料提供便利。磋商小组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异常低价投标（响应）审查的启动原因、审查意见和审查结果应当在评审报告中记录，并随供应商提供的相关书面说明及证明材料，以及磋商小组有关互联网浏览、查询历史一并归档。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响应文件语言及有效期符合招标文件要求。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响应文件封面、投标函、法定代表人授权委托书三处的项目名称、项目编号、包号(如有)</w:t>
            </w:r>
          </w:p>
        </w:tc>
        <w:tc>
          <w:tcPr>
            <w:tcW w:type="dxa" w:w="3322"/>
          </w:tcPr>
          <w:p>
            <w:pPr>
              <w:pStyle w:val="null3"/>
            </w:pPr>
            <w:r>
              <w:rPr>
                <w:rFonts w:ascii="仿宋_GB2312" w:hAnsi="仿宋_GB2312" w:cs="仿宋_GB2312" w:eastAsia="仿宋_GB2312"/>
              </w:rPr>
              <w:t>三处均无遗漏，且与所投项目名称、项目编号、包号(如有)一致。</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均按磋商文件要求签章(评分标准中要求提供的证明材料除外)。</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（1）响应报价符合唯一性要求： （2）响应报价表填写符合要求；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分项报价表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完全理解接受并签署磋商文件商务条款响应表。</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分项报价表 中小企业声明函 供应商应提交的相关资格证明材料 报价表 非联合体不分包响应声明 控股管理关系 法定代表人授权书 响应文件封面 近三年无重大违法、违纪书面声明 残疾人福利性单位声明函 标的清单 响应函 书面声明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技术参数指标</w:t>
            </w:r>
          </w:p>
        </w:tc>
        <w:tc>
          <w:tcPr>
            <w:tcW w:type="dxa" w:w="2492"/>
          </w:tcPr>
          <w:p>
            <w:pPr>
              <w:pStyle w:val="null3"/>
            </w:pPr>
            <w:r>
              <w:rPr>
                <w:rFonts w:ascii="仿宋_GB2312" w:hAnsi="仿宋_GB2312" w:cs="仿宋_GB2312" w:eastAsia="仿宋_GB2312"/>
              </w:rPr>
              <w:t>产品性能指标满足磋商文件要求，符合国家相关标准和行业标准；投标人供应商须提供技术参数佐证材料，佐证材料包括生产厂家出具的相关证明材料、检测报告或其他证明材料等。产品技术指标完全满足磋商文件要求且证明资料齐全得10分，按磋商文件内最低要求，每出现1个负偏离，扣1分，扣完为止，未提供证明材料视为负偏离。</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所投产品进货渠道正规，有对本项目完整合法有效的供货协议，确保供应的产品无假货、无产权纠纷。供应商为生产厂家的提供所投生产承诺书或相关证明材料，供应商为经销商的提供所投产品合法来源渠道证明文件（包括但不限于：产品制造商授权或销售协议或代理协议等）。 承诺书、产品合法来源渠道证明文件完整，每有一类产品提供齐全的得1分，满分5分。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根据供应商提供的项目实施方案，包含：①项目实施规划②组织协调方案③供货进度计划④供货方案⑤质量保障及处理措施（内容包括但不限于安全保障措施、采购环节控制、运输等）。 方案各部分内容全面详细、阐述条理清晰详尽、符合本项目采购需求得15分；以上分项每缺少一项内容扣3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供应商具备完善的应急措施，包含：①应急服务方案②应急保障③应急组织与分工④风险识别与预防。方案各部分内容全面详细、阐述条理清晰详尽、符合本项目采购需求的得4分，以上分项每缺少一项内容扣1分，每有一处内容存在缺陷扣0.5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售后服务能力</w:t>
            </w:r>
          </w:p>
        </w:tc>
        <w:tc>
          <w:tcPr>
            <w:tcW w:type="dxa" w:w="2492"/>
          </w:tcPr>
          <w:p>
            <w:pPr>
              <w:pStyle w:val="null3"/>
            </w:pPr>
            <w:r>
              <w:rPr>
                <w:rFonts w:ascii="仿宋_GB2312" w:hAnsi="仿宋_GB2312" w:cs="仿宋_GB2312" w:eastAsia="仿宋_GB2312"/>
              </w:rPr>
              <w:t>供应商具备完善的售后服务能力，包含：①售后服务方案②售后服务体系③服务内容④故障响应时间、响应方式⑤产品质量问题退货、换货方案⑥售后人员保证性。 方案各部分内容全面详细、阐述条理清晰详尽、符合本项目采购需求的得18分，以上分项每缺少一项内容扣3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提供针对本项目的拟投入人员配备方案，包括①人员岗位分工明确②管理及岗位制度③专业技术人员投入情况，进行赋分。方案各部分内容全面详细、阐述条理清晰详尽、符合本项目采购需求的得9分，以上分项每缺少一项内容扣3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提供2021年1月1日至今（以签订合同时间为准）已完成的类似（肥料产品）项目业绩证明材料（附合同复印件加盖公章），每提供 1 份有效业绩得 3分，最高得9分。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响应价格最低的响应报价为评标基准价，其价格分为满分。其他供应商的价格分统一按照下列公式计算:响应报价得分=价格分x(评标基准价/响应报价)价格分计算四舍五入，保留两位小数 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详见附件：非联合体不分包响应声明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