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5321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一、计划工期：</w:t>
      </w:r>
    </w:p>
    <w:p w14:paraId="6E2F722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highlight w:val="none"/>
        </w:rPr>
      </w:pPr>
      <w:r>
        <w:rPr>
          <w:rFonts w:hint="eastAsia" w:ascii="仿宋_GB2312" w:hAnsi="仿宋_GB2312" w:eastAsia="仿宋_GB2312" w:cs="仿宋_GB2312"/>
          <w:sz w:val="21"/>
          <w:highlight w:val="none"/>
          <w:lang w:val="en-US" w:eastAsia="zh-CN"/>
        </w:rPr>
        <w:t>60</w:t>
      </w:r>
      <w:r>
        <w:rPr>
          <w:rFonts w:ascii="仿宋_GB2312" w:hAnsi="仿宋_GB2312" w:eastAsia="仿宋_GB2312" w:cs="仿宋_GB2312"/>
          <w:sz w:val="21"/>
          <w:highlight w:val="none"/>
        </w:rPr>
        <w:t>日历天。</w:t>
      </w:r>
    </w:p>
    <w:p w14:paraId="6C99F9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二、质保期：</w:t>
      </w:r>
    </w:p>
    <w:p w14:paraId="0B161EB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</w:pPr>
      <w:r>
        <w:rPr>
          <w:rFonts w:hint="eastAsia" w:ascii="仿宋_GB2312" w:hAnsi="仿宋_GB2312" w:eastAsia="仿宋_GB2312" w:cs="仿宋_GB2312"/>
          <w:sz w:val="21"/>
        </w:rPr>
        <w:t>基础设施工程、房屋建筑的地基基础工程和主体结构工程，为设计文件规定的该工程的合理使用年限</w:t>
      </w:r>
      <w:r>
        <w:rPr>
          <w:rFonts w:ascii="仿宋_GB2312" w:hAnsi="仿宋_GB2312" w:eastAsia="仿宋_GB2312" w:cs="仿宋_GB2312"/>
          <w:sz w:val="21"/>
        </w:rPr>
        <w:t>。</w:t>
      </w:r>
    </w:p>
    <w:p w14:paraId="697EEA5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三、缺陷责任期：</w:t>
      </w:r>
    </w:p>
    <w:p w14:paraId="7F59DA3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</w:pPr>
      <w:r>
        <w:rPr>
          <w:rFonts w:ascii="仿宋_GB2312" w:hAnsi="仿宋_GB2312" w:eastAsia="仿宋_GB2312" w:cs="仿宋_GB2312"/>
          <w:sz w:val="21"/>
        </w:rPr>
        <w:t>自竣工验收之日起</w:t>
      </w:r>
      <w:r>
        <w:rPr>
          <w:rFonts w:ascii="仿宋_GB2312" w:hAnsi="仿宋_GB2312" w:eastAsia="仿宋_GB2312" w:cs="仿宋_GB2312"/>
          <w:sz w:val="21"/>
          <w:u w:val="single"/>
        </w:rPr>
        <w:t xml:space="preserve"> 1 </w:t>
      </w:r>
      <w:r>
        <w:rPr>
          <w:rFonts w:ascii="仿宋_GB2312" w:hAnsi="仿宋_GB2312" w:eastAsia="仿宋_GB2312" w:cs="仿宋_GB2312"/>
          <w:sz w:val="21"/>
        </w:rPr>
        <w:t>年。</w:t>
      </w:r>
    </w:p>
    <w:p w14:paraId="6BE6C95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</w:pPr>
      <w:r>
        <w:rPr>
          <w:rFonts w:ascii="仿宋_GB2312" w:hAnsi="仿宋_GB2312" w:eastAsia="仿宋_GB2312" w:cs="仿宋_GB2312"/>
          <w:sz w:val="21"/>
        </w:rPr>
        <w:t>四、付款条件及比例：</w:t>
      </w:r>
    </w:p>
    <w:p w14:paraId="3077D1F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_GB2312" w:hAnsi="仿宋_GB2312" w:eastAsia="仿宋_GB2312" w:cs="仿宋_GB2312"/>
          <w:sz w:val="21"/>
        </w:rPr>
      </w:pPr>
      <w:r>
        <w:rPr>
          <w:rFonts w:hint="eastAsia" w:ascii="仿宋_GB2312" w:hAnsi="仿宋_GB2312" w:eastAsia="仿宋_GB2312" w:cs="仿宋_GB2312"/>
          <w:sz w:val="21"/>
        </w:rPr>
        <w:t>1、合同签订后，甲方向乙方支付合同价款的 40%作为预付款。</w:t>
      </w:r>
    </w:p>
    <w:p w14:paraId="0D0A2C5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_GB2312" w:hAnsi="仿宋_GB2312" w:eastAsia="仿宋_GB2312" w:cs="仿宋_GB2312"/>
          <w:sz w:val="21"/>
        </w:rPr>
      </w:pPr>
      <w:r>
        <w:rPr>
          <w:rFonts w:hint="eastAsia" w:ascii="仿宋_GB2312" w:hAnsi="仿宋_GB2312" w:eastAsia="仿宋_GB2312" w:cs="仿宋_GB2312"/>
          <w:sz w:val="21"/>
        </w:rPr>
        <w:t>2、工程竣工，验收合格后支付至合同总价款的85%。</w:t>
      </w:r>
    </w:p>
    <w:p w14:paraId="2F8871E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_GB2312" w:hAnsi="仿宋_GB2312" w:eastAsia="仿宋_GB2312" w:cs="仿宋_GB2312"/>
          <w:sz w:val="21"/>
        </w:rPr>
      </w:pPr>
      <w:r>
        <w:rPr>
          <w:rFonts w:hint="eastAsia" w:ascii="仿宋_GB2312" w:hAnsi="仿宋_GB2312" w:eastAsia="仿宋_GB2312" w:cs="仿宋_GB2312"/>
          <w:sz w:val="21"/>
        </w:rPr>
        <w:t>3、审计部门审计完成后，支付至审计结算价款的97%，剩余3%待缺陷责任期满后一次性无息支付。</w:t>
      </w:r>
    </w:p>
    <w:p w14:paraId="734321F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_GB2312" w:hAnsi="仿宋_GB2312" w:eastAsia="仿宋_GB2312" w:cs="仿宋_GB2312"/>
          <w:sz w:val="21"/>
        </w:rPr>
      </w:pPr>
      <w:r>
        <w:rPr>
          <w:rFonts w:hint="eastAsia" w:ascii="仿宋_GB2312" w:hAnsi="仿宋_GB2312" w:eastAsia="仿宋_GB2312" w:cs="仿宋_GB2312"/>
          <w:sz w:val="21"/>
        </w:rPr>
        <w:t>4、注：在付款前，成交供应商须开具全额（等额）增值税发票给采购人。</w:t>
      </w:r>
    </w:p>
    <w:p w14:paraId="520CE6C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五、质量要求：</w:t>
      </w:r>
    </w:p>
    <w:p w14:paraId="05FF627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</w:pPr>
      <w:r>
        <w:rPr>
          <w:rFonts w:ascii="仿宋_GB2312" w:hAnsi="仿宋_GB2312" w:eastAsia="仿宋_GB2312" w:cs="仿宋_GB2312"/>
          <w:sz w:val="21"/>
        </w:rPr>
        <w:t>达到国家现行行业施工验收规范“合格”标准。</w:t>
      </w:r>
    </w:p>
    <w:p w14:paraId="11393DD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六、合同定价方式：</w:t>
      </w:r>
    </w:p>
    <w:p w14:paraId="72DEFA26">
      <w:r>
        <w:rPr>
          <w:rFonts w:ascii="仿宋_GB2312" w:hAnsi="仿宋_GB2312" w:eastAsia="仿宋_GB2312" w:cs="仿宋_GB2312"/>
          <w:sz w:val="21"/>
        </w:rPr>
        <w:t>本合同价款采用</w:t>
      </w:r>
      <w:r>
        <w:rPr>
          <w:rFonts w:ascii="仿宋_GB2312" w:hAnsi="仿宋_GB2312" w:eastAsia="仿宋_GB2312" w:cs="仿宋_GB2312"/>
          <w:sz w:val="21"/>
          <w:u w:val="single"/>
        </w:rPr>
        <w:t xml:space="preserve"> （固定总价）</w:t>
      </w:r>
      <w:r>
        <w:rPr>
          <w:rFonts w:ascii="仿宋_GB2312" w:hAnsi="仿宋_GB2312" w:eastAsia="仿宋_GB2312" w:cs="仿宋_GB2312"/>
          <w:sz w:val="21"/>
        </w:rPr>
        <w:t>方式确定。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94F45"/>
    <w:rsid w:val="1499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2026-10-08T04:11:00Z</dcterms:created>
  <dc:creator>QQQQ</dc:creator>
  <cp:lastModifiedBy>QQQQ</cp:lastModifiedBy>
  <dcterms:modified xsi:type="dcterms:W3CDTF">2026-10-08T04:12:00Z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AF7CC12514594B9984607EA1B2297CA2_11</vt:lpwstr>
  </property>
  <property fmtid="{D5CDD505-2E9C-101B-9397-08002B2CF9AE}" pid="4" name="KSOTemplateDocerSaveRecord">
    <vt:lpwstr>eyJoZGlkIjoiOTcyZTNiZTIzMTFiYjc4MmExNzQ3MzFlOTI4NmYyYmEiLCJ1c2VySWQiOiIzODkzMjE1NzcifQ==</vt:lpwstr>
  </property>
</Properties>
</file>