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版本号：ZJTC2026-002420260704001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餐厅食品代加工服务采购项目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ZJTC2026-0024</w:t>
      </w:r>
      <w:r>
        <w:br/>
      </w:r>
      <w:r>
        <w:br/>
      </w:r>
      <w:r>
        <w:br/>
      </w:r>
    </w:p>
    <w:p>
      <w:pPr>
        <w:pStyle w:val="null3"/>
        <w:jc w:val="center"/>
        <w:outlineLvl w:val="2"/>
      </w:pPr>
      <w:r>
        <w:rPr>
          <w:rFonts w:ascii="仿宋_GB2312" w:hAnsi="仿宋_GB2312" w:cs="仿宋_GB2312" w:eastAsia="仿宋_GB2312"/>
          <w:sz w:val="28"/>
          <w:b/>
        </w:rPr>
        <w:t>渭南市三贤中学</w:t>
      </w:r>
    </w:p>
    <w:p>
      <w:pPr>
        <w:pStyle w:val="null3"/>
        <w:jc w:val="center"/>
        <w:outlineLvl w:val="2"/>
      </w:pPr>
      <w:r>
        <w:rPr>
          <w:rFonts w:ascii="仿宋_GB2312" w:hAnsi="仿宋_GB2312" w:cs="仿宋_GB2312" w:eastAsia="仿宋_GB2312"/>
          <w:sz w:val="28"/>
          <w:b/>
        </w:rPr>
        <w:t>陕西至简天成项目管理有限公司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陕西至简天成项目管理有限公司</w:t>
      </w:r>
      <w:r>
        <w:rPr>
          <w:rFonts w:ascii="仿宋_GB2312" w:hAnsi="仿宋_GB2312" w:cs="仿宋_GB2312" w:eastAsia="仿宋_GB2312"/>
        </w:rPr>
        <w:t>（以下简称“代理机构”）受</w:t>
      </w:r>
      <w:r>
        <w:rPr>
          <w:rFonts w:ascii="仿宋_GB2312" w:hAnsi="仿宋_GB2312" w:cs="仿宋_GB2312" w:eastAsia="仿宋_GB2312"/>
        </w:rPr>
        <w:t>渭南市三贤中学</w:t>
      </w:r>
      <w:r>
        <w:rPr>
          <w:rFonts w:ascii="仿宋_GB2312" w:hAnsi="仿宋_GB2312" w:cs="仿宋_GB2312" w:eastAsia="仿宋_GB2312"/>
        </w:rPr>
        <w:t>委托，拟对</w:t>
      </w:r>
      <w:r>
        <w:rPr>
          <w:rFonts w:ascii="仿宋_GB2312" w:hAnsi="仿宋_GB2312" w:cs="仿宋_GB2312" w:eastAsia="仿宋_GB2312"/>
        </w:rPr>
        <w:t>餐厅食品代加工服务采购项目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ZJTC2026-0024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餐厅食品代加工服务采购项目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渭南市三贤中学餐厅食品代加工服务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采购包1（餐厅食品代加工服务）：属于专门面向中小企业采购。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的经审计的财务会计报告（成立时间至提交投标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3、税收缴纳证明：提供投标截止日近半年内任意一月的纳税凭据或完税证明，依法免税的应提供相关证明材料</w:t>
      </w:r>
    </w:p>
    <w:p>
      <w:pPr>
        <w:pStyle w:val="null3"/>
      </w:pPr>
      <w:r>
        <w:rPr>
          <w:rFonts w:ascii="仿宋_GB2312" w:hAnsi="仿宋_GB2312" w:cs="仿宋_GB2312" w:eastAsia="仿宋_GB2312"/>
        </w:rPr>
        <w:t>4、社会保障资金缴纳证明：提供投标截止日近半年内任意一月的社会保障资金缴存单据或社保机构开具的社会保险参保缴费情况证明，依法不需要缴纳社会保障资金的应提供相关证明材料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7、授权委托书：法定代表人授权书（附法定代表人、被授权人身份证复印件及被授权人开标前三个月内任意一个月在本单位的社保缴纳证明），法定代表人直接参加投标，须提供法定代表人身份证明；</w:t>
      </w:r>
    </w:p>
    <w:p>
      <w:pPr>
        <w:pStyle w:val="null3"/>
      </w:pPr>
      <w:r>
        <w:rPr>
          <w:rFonts w:ascii="仿宋_GB2312" w:hAnsi="仿宋_GB2312" w:cs="仿宋_GB2312" w:eastAsia="仿宋_GB2312"/>
        </w:rPr>
        <w:t>8、信誉要求：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投标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9、联合体：本项目不接受联合体投标</w:t>
      </w:r>
    </w:p>
    <w:p>
      <w:pPr>
        <w:pStyle w:val="null3"/>
      </w:pPr>
      <w:r>
        <w:rPr>
          <w:rFonts w:ascii="仿宋_GB2312" w:hAnsi="仿宋_GB2312" w:cs="仿宋_GB2312" w:eastAsia="仿宋_GB2312"/>
        </w:rPr>
        <w:t>10、单位负责人为同一人或者存在直接控股、管理关系的不同供应商不得参加同一合同项下的政府采购活动：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11、其他资质：供应商具备合法有效的餐饮服务经营许可证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渭南市三贤中学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临渭区杜化路5号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0913-3039969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陕西至简天成项目管理有限公司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西安市莲湖区土门十字西二环南段10号艺腾国际商务大厦503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17629052930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渭南市临渭区政府采购管理股经办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办法&gt;的通知》（计价格[2002]1980号）和（发改办价格[2003]857号）中的收费标准计取。按上述标准计算的代理服务费低于6000元的，代理服务费按6000元收取。 开⼾名称：陕西⾄简天成项⽬管理有限公司； 开⼾银⾏：456630100100048544； 账号：兴业银⾏股份有限公司西安⻓安北路⽀⾏；</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渭南市三贤中学</w:t>
      </w:r>
      <w:r>
        <w:rPr>
          <w:rFonts w:ascii="仿宋_GB2312" w:hAnsi="仿宋_GB2312" w:cs="仿宋_GB2312" w:eastAsia="仿宋_GB2312"/>
        </w:rPr>
        <w:t>和</w:t>
      </w:r>
      <w:r>
        <w:rPr>
          <w:rFonts w:ascii="仿宋_GB2312" w:hAnsi="仿宋_GB2312" w:cs="仿宋_GB2312" w:eastAsia="仿宋_GB2312"/>
        </w:rPr>
        <w:t>陕西至简天成项目管理有限公司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渭南市三贤中学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陕西至简天成项目管理有限公司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渭南市三贤中学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陕西至简天成项目管理有限公司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四、构成本投标文件的各组成部分，未经采购人书面同意，供应商不得擅自复印或用于非本采购项目所需的其他目的。</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符合国家现行技术规范和标准合格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陕西至简天成项目管理有限公司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陕西至简天成项目管理有限公司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陕西至简天成项目管理有限公司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联系人：苏工</w:t>
      </w:r>
    </w:p>
    <w:p>
      <w:pPr>
        <w:pStyle w:val="null3"/>
      </w:pPr>
      <w:r>
        <w:rPr>
          <w:rFonts w:ascii="仿宋_GB2312" w:hAnsi="仿宋_GB2312" w:cs="仿宋_GB2312" w:eastAsia="仿宋_GB2312"/>
        </w:rPr>
        <w:t>联系电话：17629052930</w:t>
      </w:r>
    </w:p>
    <w:p>
      <w:pPr>
        <w:pStyle w:val="null3"/>
      </w:pPr>
      <w:r>
        <w:rPr>
          <w:rFonts w:ascii="仿宋_GB2312" w:hAnsi="仿宋_GB2312" w:cs="仿宋_GB2312" w:eastAsia="仿宋_GB2312"/>
        </w:rPr>
        <w:t>地址：西安市莲湖区土门十字西二环南段10号艺腾国际商务大厦503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渭南市三贤中学餐厅食品代加工服务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渭南市三贤中学餐厅食品代加工服务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标的名称：渭南市三贤中学餐厅食品代加工服务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pPr>
            <w:r>
              <w:rPr>
                <w:rFonts w:ascii="仿宋_GB2312" w:hAnsi="仿宋_GB2312" w:cs="仿宋_GB2312" w:eastAsia="仿宋_GB2312"/>
                <w:sz w:val="21"/>
              </w:rPr>
              <w:t>服务技术要求：</w:t>
            </w:r>
          </w:p>
          <w:p>
            <w:pPr>
              <w:pStyle w:val="null3"/>
              <w:spacing w:before="105" w:after="105"/>
              <w:jc w:val="left"/>
            </w:pPr>
            <w:r>
              <w:rPr>
                <w:rFonts w:ascii="仿宋_GB2312" w:hAnsi="仿宋_GB2312" w:cs="仿宋_GB2312" w:eastAsia="仿宋_GB2312"/>
                <w:sz w:val="21"/>
                <w:b/>
              </w:rPr>
              <w:t>★</w:t>
            </w:r>
            <w:r>
              <w:rPr>
                <w:rFonts w:ascii="仿宋_GB2312" w:hAnsi="仿宋_GB2312" w:cs="仿宋_GB2312" w:eastAsia="仿宋_GB2312"/>
                <w:sz w:val="21"/>
              </w:rPr>
              <w:t>1、</w:t>
            </w:r>
            <w:r>
              <w:rPr>
                <w:rFonts w:ascii="仿宋_GB2312" w:hAnsi="仿宋_GB2312" w:cs="仿宋_GB2312" w:eastAsia="仿宋_GB2312"/>
                <w:sz w:val="21"/>
              </w:rPr>
              <w:t>采购人对供应商派驻人员有岗位考核权，对无有效健康证、违反食品安全操作规范、违反校方管理制度、不适合餐饮服务岗位的人员，有权要求供应商在 3 个工作日内予以更换，供应商须按要求执行</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2、</w:t>
            </w:r>
            <w:r>
              <w:rPr>
                <w:rFonts w:ascii="仿宋_GB2312" w:hAnsi="仿宋_GB2312" w:cs="仿宋_GB2312" w:eastAsia="仿宋_GB2312"/>
                <w:sz w:val="21"/>
              </w:rPr>
              <w:t>供应商须严格遵守国家及地方食品安全法律法规，建立食品安全关键控制点管控机制，服务期内不得发生一般及以上食品安全责任事故</w:t>
            </w:r>
          </w:p>
          <w:p>
            <w:pPr>
              <w:pStyle w:val="null3"/>
              <w:jc w:val="both"/>
            </w:pPr>
            <w:r>
              <w:rPr>
                <w:rFonts w:ascii="仿宋_GB2312" w:hAnsi="仿宋_GB2312" w:cs="仿宋_GB2312" w:eastAsia="仿宋_GB2312"/>
                <w:sz w:val="21"/>
              </w:rPr>
              <w:t>3、供应商须按采购人作息时间提供每日早、午、晚三餐及宵夜服务，具体供餐时段由按采购人通知执行；</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4、所有从业人员须经食品安全知识培训并考核合格后方可上岗；操作间、餐厅、餐具、炊具及从业人员个人卫生须符合《餐饮服务食品安全操作规范》及学校卫生管理要求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5、原材料由采购人负责采购，供应商须结合供餐需求协助制定月度原材料采购计划，参与原材料进场验收，严格按验收标准把控原料质量；建立食材节约管控机制，规范加工流程，降低食材损耗</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6、供应商餐饮服务全过程须符合《中华人民共和国食品安全法》《餐饮服务食品安全操作规范》要求，严格执行从业人员个人卫生管理、食品原料存储、加工制作、餐用具消毒、场所清洁、三防（防蝇、防鼠、防尘）设施管控等规范；直接接触入口食品的从业人员须佩戴清洁的工作衣帽、口罩及一次性手套，使用专用工具传递、分餐食品，不得徒手接触入口食品；食品原料分类分架、隔墙离地存放，加工场所地面、墙面、台面保持清洁，做好防霉防潮措施</w:t>
            </w:r>
          </w:p>
          <w:p>
            <w:pPr>
              <w:pStyle w:val="null3"/>
              <w:jc w:val="both"/>
            </w:pPr>
            <w:r>
              <w:rPr>
                <w:rFonts w:ascii="仿宋_GB2312" w:hAnsi="仿宋_GB2312" w:cs="仿宋_GB2312" w:eastAsia="仿宋_GB2312"/>
                <w:sz w:val="21"/>
              </w:rPr>
              <w:t>7、供应商须针对本项目制定食品安全事故、火灾、停水停电、突发公共卫生事件等专项应急预案，明确应急处置流程、责任分工、处置措施</w:t>
            </w:r>
          </w:p>
          <w:p>
            <w:pPr>
              <w:pStyle w:val="null3"/>
            </w:pPr>
            <w:r>
              <w:rPr>
                <w:rFonts w:ascii="仿宋_GB2312" w:hAnsi="仿宋_GB2312" w:cs="仿宋_GB2312" w:eastAsia="仿宋_GB2312"/>
              </w:rPr>
              <w:t>★</w:t>
            </w:r>
            <w:r>
              <w:rPr>
                <w:rFonts w:ascii="仿宋_GB2312" w:hAnsi="仿宋_GB2312" w:cs="仿宋_GB2312" w:eastAsia="仿宋_GB2312"/>
                <w:sz w:val="21"/>
              </w:rPr>
              <w:t>8、配置人员要求所有从业人员上岗前须取得有效健康合格证明</w:t>
            </w:r>
          </w:p>
          <w:p>
            <w:pPr>
              <w:pStyle w:val="null3"/>
              <w:spacing w:before="105" w:after="105"/>
              <w:jc w:val="left"/>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1、合同总价计算方式：按月收取学生伙食费、教职工伙食费总和的22%*（1-下浮率）</w:t>
            </w:r>
          </w:p>
          <w:p>
            <w:pPr>
              <w:pStyle w:val="null3"/>
              <w:jc w:val="left"/>
            </w:pPr>
            <w:r>
              <w:rPr>
                <w:rFonts w:ascii="仿宋_GB2312" w:hAnsi="仿宋_GB2312" w:cs="仿宋_GB2312" w:eastAsia="仿宋_GB2312"/>
                <w:sz w:val="21"/>
              </w:rPr>
              <w:t>2、合同总价包括人工费、管理费、工伤保险、医疗、税金、技术培训费、等其他一切相关费用。合同总价不受市场价变化或实际工作量变化的影响，合同价格为含税价，提供服务所发生的一切税费（包括增值税）等都已包含于合同价款中。</w:t>
            </w:r>
          </w:p>
          <w:p>
            <w:pPr>
              <w:pStyle w:val="null3"/>
              <w:jc w:val="both"/>
            </w:pPr>
            <w:r>
              <w:rPr>
                <w:rFonts w:ascii="仿宋_GB2312" w:hAnsi="仿宋_GB2312" w:cs="仿宋_GB2312" w:eastAsia="仿宋_GB2312"/>
                <w:sz w:val="21"/>
              </w:rPr>
              <w:t>3、甲方按照服务考核细则进行考核，违反相关制度将从每月劳务费中扣除部分费用，并将扣除费用转入学生伙食费用于食材购买。</w:t>
            </w:r>
          </w:p>
          <w:p>
            <w:pPr>
              <w:pStyle w:val="null3"/>
              <w:jc w:val="both"/>
            </w:pPr>
            <w:r>
              <w:rPr>
                <w:rFonts w:ascii="仿宋_GB2312" w:hAnsi="仿宋_GB2312" w:cs="仿宋_GB2312" w:eastAsia="仿宋_GB2312"/>
                <w:sz w:val="21"/>
              </w:rPr>
              <w:t>4、因供应商人员操作、管理疏漏导致的安全事故、人员伤害、经济纠纷，由供应商承担全部责任并负责处理；因采购人原因导致的事故，由双方按责任划分承担相应责任；</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（一）岗位设置 供应商拟派服务人员须至少包含以下岗位类型：管理人员、厨师长、热菜厨师、风味档口厨师、面点师、帮厨人员、保洁人员。各岗位职责如下： 1. 管理人员：负责餐厅餐饮服务及全面管理工作； 2. 厨师长：负责后厨管理及菜品制作统筹； 3. 炒菜技师、风味技师、面案技师：负责产品烹饪制作； 4. 帮厨人员：负责餐厅产品加工及辅助服务工作； 5. 保洁人员：负责餐厅所有区域卫生清洁工作。 （二）人员数量要求 管理人员不少于 1 名，厨师长不少于 1 名，炒菜技师不少于2 名，风味技师不少于 2 名，面案技师不少于 2名，帮厨人员不少于 23名，保洁人员不少于 7 名。供应商可根据实际运营需求增配人员，但不得低于上述最低配置。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1、本项目报价方式为下浮率，基准价为按月收取学生伙食费、教职工伙食费总和的22%。 2、结算价计算方式：按月结算；按月收取学生伙食费、教职工伙食费总和的22%*（1-下浮率） 注：如下浮率为10%，最终结算金额=收取学生伙食费、教职工伙食费总和的22%*（1-10%）</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自合同签订之日起一年（服务期满后，乙方服务合格，同等条件下，乙方可优先续约，最多可以续签两次。）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渭南市三贤中学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采购人按照政府采购合同约定的服务标准组织对投标人的履约情况进行验收，并出具验收报告。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其他，采取按月结算，次月付款的方式，每月（共12月）支付一次承包服务费，达到付款条件起10个工作日内，支付合同总金额的100.0%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（1）供应商若中途停止供餐或因违反食品安全要求及学校有关规定给学校及师生造成损失,供应商应付相应法律责任及全部经济责任。 （2）供应商在合同期间不履职尽责，不接受采购人管理;对上级部门在检查过程中指出的问题不及时整改，被行政处罚;发生食品安全事故等，采购人有权终止合同。 （3）合同期满后,供应商应负责将采购人所有资产完好交还甲方,否则采购人将按资产的实际损失收取修理费或赔偿费。 （4）供应商逾期无法办理从业人员健康证,采购人有权责令供应商整改。因供应商不具备上述证件而使采购人被相关部门处罚,供应商应负赔偿责任。 （5）若供应商违反合同中任一条款,采购人将有权责令其限期整改,整改不到位的，终止合同。 （6）若供应商将经营权转包给他人经营的,采购人有权中止合同。 （7）双方在执行合同中所发生的一切争议，应通过协商解决。如协商不成，可向采购人所在地法院起诉。</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1.本项目专门面向中小企业采购。 2.本项目属性为服务。 3.本项目合同包1采购标的所属行业为：餐饮业； 4.本项目是否属于信用担保试点范围：否。 5.供应商应接受地方疾病预防控制中心、卫生监督部门及我省反兴奋剂部门的监督检查和业务指导，按照《中华人民共和国食品安全法》的要求做好食品卫生和食品安全工作。 6.采购人通过定期或不定期邀请卫生监督管理部门、消防部门及具有先进管理经验的管理者对餐饮系统的服务运营进行监督检查，对于发现的问题要责令及时整改，对于严重的食品卫生与安全问题，要进行相应的经济处罚，触犯法律的要依法追究其法律责任，以有效保障和提高食品卫生与安全管理的质量和水平。 7、本项目报价方式为下浮率，基准价为按月收取学生伙食费、教职工伙食费总和的22%。 8、结算价计算方式：按月结算；按月收取学生伙食费、教职工伙食费总和的22%*（1-下浮率） 注：如下浮率为10%，最终结算金额=收取学生伙食费、教职工伙食费总和的22%*（1-10%）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经审计的财务会计报告（成立时间至提交投标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提供投标截止日近半年内任意一月的纳税凭据或完税证明，依法免税的应提供相关证明材料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提供投标截止日近半年内任意一月的社会保障资金缴存单据或社保机构开具的社会保险参保缴费情况证明，依法不需要缴纳社会保障资金的应提供相关证明材料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法定代表人授权书（附法定代表人、被授权人身份证复印件及被授权人开标前三个月内任意一个月在本单位的社保缴纳证明），法定代表人直接参加投标，须提供法定代表人身份证明；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投标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其他资质</w:t>
            </w:r>
          </w:p>
        </w:tc>
        <w:tc>
          <w:tcPr>
            <w:tcW w:type="dxa" w:w="3322"/>
          </w:tcPr>
          <w:p>
            <w:pPr>
              <w:pStyle w:val="null3"/>
            </w:pPr>
            <w:r>
              <w:rPr>
                <w:rFonts w:ascii="仿宋_GB2312" w:hAnsi="仿宋_GB2312" w:cs="仿宋_GB2312" w:eastAsia="仿宋_GB2312"/>
              </w:rPr>
              <w:t>供应商具备合法有效的餐饮服务经营许可证</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中小企业声明函 商务应答表 供应商应提交的相关资格证明材料 服务内容及服务要求应答表 投标函 残疾人福利性单位声明函 响应报价表 服务方案 标的清单 陕西省政府采购供应商拒绝政府采购领域商业贿赂承诺书 投标文件封面 监狱企业的证明文件 其他相关资料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响应报价表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投标文件内容齐全、无遗漏（除评审因素外）</w:t>
            </w:r>
          </w:p>
        </w:tc>
        <w:tc>
          <w:tcPr>
            <w:tcW w:type="dxa" w:w="1661"/>
          </w:tcPr>
          <w:p>
            <w:pPr>
              <w:pStyle w:val="null3"/>
            </w:pPr>
            <w:r>
              <w:rPr>
                <w:rFonts w:ascii="仿宋_GB2312" w:hAnsi="仿宋_GB2312" w:cs="仿宋_GB2312" w:eastAsia="仿宋_GB2312"/>
              </w:rPr>
              <w:t>开标一览表 中小企业声明函 商务应答表 供应商应提交的相关资格证明材料 服务内容及服务要求应答表 投标函 残疾人福利性单位声明函 响应报价表 服务方案 标的清单 陕西省政府采购供应商拒绝政府采购领域商业贿赂承诺书 投标文件封面 监狱企业的证明文件 其他相关资料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对投标文件响应程度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中小企业声明函 商务应答表 供应商应提交的相关资格证明材料 服务内容及服务要求应答表 投标函 残疾人福利性单位声明函 响应报价表 服务方案 标的清单 陕西省政府采购供应商拒绝政府采购领域商业贿赂承诺书 投标文件封面 监狱企业的证明文件 其他相关资料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应满足投标文件中要求的服务期</w:t>
            </w:r>
          </w:p>
        </w:tc>
        <w:tc>
          <w:tcPr>
            <w:tcW w:type="dxa" w:w="1661"/>
          </w:tcPr>
          <w:p>
            <w:pPr>
              <w:pStyle w:val="null3"/>
            </w:pPr>
            <w:r>
              <w:rPr>
                <w:rFonts w:ascii="仿宋_GB2312" w:hAnsi="仿宋_GB2312" w:cs="仿宋_GB2312" w:eastAsia="仿宋_GB2312"/>
              </w:rPr>
              <w:t>商务应答表 服务内容及服务要求应答表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应满足投标文件中的规定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开标一览表 中小企业声明函 商务应答表 供应商应提交的相关资格证明材料 服务内容及服务要求应答表 投标函 残疾人福利性单位声明函 响应报价表 服务方案 标的清单 陕西省政府采购供应商拒绝政府采购领域商业贿赂承诺书 投标文件封面 监狱企业的证明文件 其他相关资料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商务要求-同类项目业绩</w:t>
            </w:r>
          </w:p>
        </w:tc>
        <w:tc>
          <w:tcPr>
            <w:tcW w:type="dxa" w:w="2492"/>
          </w:tcPr>
          <w:p>
            <w:pPr>
              <w:pStyle w:val="null3"/>
            </w:pPr>
            <w:r>
              <w:rPr>
                <w:rFonts w:ascii="仿宋_GB2312" w:hAnsi="仿宋_GB2312" w:cs="仿宋_GB2312" w:eastAsia="仿宋_GB2312"/>
              </w:rPr>
              <w:t>2022 年 1 月至今（以合同签订时间为准），供应商具有学校食堂餐饮服务或食品代加工同类项目业绩，每提供 1 份有效合同得 2.5 分，满分 5 分。注：需提供合同关键页（含项目名称、服务内容、签订时间、双方盖章页）扫描件，未提供或材料不清晰不得分。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其他相关资料</w:t>
            </w:r>
          </w:p>
        </w:tc>
      </w:tr>
      <w:tr>
        <w:tc>
          <w:tcPr>
            <w:tcW w:type="dxa" w:w="831"/>
            <w:vMerge/>
          </w:tcPr>
          <w:p/>
        </w:tc>
        <w:tc>
          <w:tcPr>
            <w:tcW w:type="dxa" w:w="1661"/>
          </w:tcPr>
          <w:p>
            <w:pPr>
              <w:pStyle w:val="null3"/>
            </w:pPr>
            <w:r>
              <w:rPr>
                <w:rFonts w:ascii="仿宋_GB2312" w:hAnsi="仿宋_GB2312" w:cs="仿宋_GB2312" w:eastAsia="仿宋_GB2312"/>
              </w:rPr>
              <w:t>商务要求-项目人员配置</w:t>
            </w:r>
          </w:p>
        </w:tc>
        <w:tc>
          <w:tcPr>
            <w:tcW w:type="dxa" w:w="2492"/>
          </w:tcPr>
          <w:p>
            <w:pPr>
              <w:pStyle w:val="null3"/>
            </w:pPr>
            <w:r>
              <w:rPr>
                <w:rFonts w:ascii="仿宋_GB2312" w:hAnsi="仿宋_GB2312" w:cs="仿宋_GB2312" w:eastAsia="仿宋_GB2312"/>
              </w:rPr>
              <w:t>本项满分 15 分，按以下三个维度分项计分：1. 岗位配置匹配度（6 分）：人员配置方案完全响应本项目 7 类岗位及用工人数要求（管理干部 1 人、厨师长 1 人、炒菜技师 2 人、风味技师 2 人、面案技师 2 人、帮厨 23 人、保洁 7 人，合计 38 人），得 6 分；每缺失 1 类岗位扣 1 分，任意一类岗位用工人数不足的扣 1 分，扣完为止。2. 岗位职责清晰度（5 分）：针对上述 7 类岗位，逐类明确具体工作职责、工作范围与作业标准的，得 5 分；每缺失 1 类岗位的职责说明扣 1 分，扣完为止。3. 人员保障措施（4 分）：① 明确承诺按时足额发放所有派驻人员薪酬、全员缴纳工伤保险的，得 2 分；② 制定关键岗位人员顶岗储备方案，明确人员突发缺岗时的补位流程，确保不影响正常供餐的，得 2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其他相关资料</w:t>
            </w:r>
          </w:p>
        </w:tc>
      </w:tr>
      <w:tr>
        <w:tc>
          <w:tcPr>
            <w:tcW w:type="dxa" w:w="831"/>
            <w:vMerge/>
          </w:tcPr>
          <w:p/>
        </w:tc>
        <w:tc>
          <w:tcPr>
            <w:tcW w:type="dxa" w:w="1661"/>
          </w:tcPr>
          <w:p>
            <w:pPr>
              <w:pStyle w:val="null3"/>
            </w:pPr>
            <w:r>
              <w:rPr>
                <w:rFonts w:ascii="仿宋_GB2312" w:hAnsi="仿宋_GB2312" w:cs="仿宋_GB2312" w:eastAsia="仿宋_GB2312"/>
              </w:rPr>
              <w:t>商务要求-内部管理制度建设</w:t>
            </w:r>
          </w:p>
        </w:tc>
        <w:tc>
          <w:tcPr>
            <w:tcW w:type="dxa" w:w="2492"/>
          </w:tcPr>
          <w:p>
            <w:pPr>
              <w:pStyle w:val="null3"/>
            </w:pPr>
            <w:r>
              <w:rPr>
                <w:rFonts w:ascii="仿宋_GB2312" w:hAnsi="仿宋_GB2312" w:cs="仿宋_GB2312" w:eastAsia="仿宋_GB2312"/>
              </w:rPr>
              <w:t>本项满分 5 分，每满足 1 项得 1 分，缺项不得分：1. 各岗位工作职责制度：覆盖全部 7 类岗位的权责划分与作业规范；2. 日常运营自查制度：明确每日、每周、每月三级自查内容、对应责任人、问题整改闭环要求；3. 员工奖惩考核制度：明确考勤规范、操作规范、服务质量 3 类考核标准及对应奖惩措施；4. 从业人员培训制度：明确岗前培训、月度定期培训的内容（食品安全、操作规范、服务礼仪）及考核要求；5. 投诉处理闭环制度：明确投诉受理渠道、响应时限、整改反馈、回访全流程要求。</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其他相关资料</w:t>
            </w:r>
          </w:p>
        </w:tc>
      </w:tr>
      <w:tr>
        <w:tc>
          <w:tcPr>
            <w:tcW w:type="dxa" w:w="831"/>
            <w:vMerge/>
          </w:tcPr>
          <w:p/>
        </w:tc>
        <w:tc>
          <w:tcPr>
            <w:tcW w:type="dxa" w:w="1661"/>
          </w:tcPr>
          <w:p>
            <w:pPr>
              <w:pStyle w:val="null3"/>
            </w:pPr>
            <w:r>
              <w:rPr>
                <w:rFonts w:ascii="仿宋_GB2312" w:hAnsi="仿宋_GB2312" w:cs="仿宋_GB2312" w:eastAsia="仿宋_GB2312"/>
              </w:rPr>
              <w:t>技术要求-质量保证方案</w:t>
            </w:r>
          </w:p>
        </w:tc>
        <w:tc>
          <w:tcPr>
            <w:tcW w:type="dxa" w:w="2492"/>
          </w:tcPr>
          <w:p>
            <w:pPr>
              <w:pStyle w:val="null3"/>
            </w:pPr>
            <w:r>
              <w:rPr>
                <w:rFonts w:ascii="仿宋_GB2312" w:hAnsi="仿宋_GB2312" w:cs="仿宋_GB2312" w:eastAsia="仿宋_GB2312"/>
              </w:rPr>
              <w:t>一、评审内容 根据项目实际需求提供质量保证方案。内容包含：①环境与卫生；②安全执行标准、检验检查；③日常检查的措施；④食品品质新鲜。 二、评审标准 1、完整性：方案须全面，对评审内容中的各项要求描述详细； 2、针对性：方案能够紧扣项目实际情况，内容科学合理； 3、针对性：方案能够紧扣项目实际情况，内容科学合理。 三、赋分依据（满分20分） ①食品质量、安全与卫生：每完全满足一个评审标准得2分，满分5分； ②安全执行标准、检验检查：每完全满足一个评审标准得2分，满分5分； ③日常检查的措施：每完全满足一个评审标准得2分，满分5分； ④食品品质新鲜：每完全满足一个评审标准得2分，满分5分.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其他相关资料</w:t>
            </w:r>
          </w:p>
        </w:tc>
      </w:tr>
      <w:tr>
        <w:tc>
          <w:tcPr>
            <w:tcW w:type="dxa" w:w="831"/>
            <w:vMerge/>
          </w:tcPr>
          <w:p/>
        </w:tc>
        <w:tc>
          <w:tcPr>
            <w:tcW w:type="dxa" w:w="1661"/>
          </w:tcPr>
          <w:p>
            <w:pPr>
              <w:pStyle w:val="null3"/>
            </w:pPr>
            <w:r>
              <w:rPr>
                <w:rFonts w:ascii="仿宋_GB2312" w:hAnsi="仿宋_GB2312" w:cs="仿宋_GB2312" w:eastAsia="仿宋_GB2312"/>
              </w:rPr>
              <w:t>技术要求-日常运营保障措施</w:t>
            </w:r>
          </w:p>
        </w:tc>
        <w:tc>
          <w:tcPr>
            <w:tcW w:type="dxa" w:w="2492"/>
          </w:tcPr>
          <w:p>
            <w:pPr>
              <w:pStyle w:val="null3"/>
            </w:pPr>
            <w:r>
              <w:rPr>
                <w:rFonts w:ascii="仿宋_GB2312" w:hAnsi="仿宋_GB2312" w:cs="仿宋_GB2312" w:eastAsia="仿宋_GB2312"/>
              </w:rPr>
              <w:t>本项满分 15 分，按以下四个维度分项计分：1. 供餐时效保障（4 分）：① 明确早餐、午餐、晚餐的开餐、收餐具体时间节点的，得 2 分；② 制定延迟供餐的预警机制及应急处置流程，明确提前告知师生时限要求的，得 2 分。2. 餐厨垃圾处置（4 分）：① 明确餐厨垃圾分类标准、专用收集容器配置要求的，得 2 分；② 制定日产日清管理规范及清运台账记录要求的，得 1 分；③ 明确餐厨垃圾存放区域每日清洁消毒要求的，得 1 分。3. 设施设备运维（4 分）：① 制定灶具、蒸箱、冷藏柜、消毒柜等核心设备的日常维护保养频次及对应责任人的，得 2 分；② 明确设备故障报修流程及临时替代供餐方案的，得 2 分。4. 库房管理（3 分）：① 明确生熟分开、荤素分开、干货与冷藏分开 3 项存储要求的，得 1 分，缺 1 项不得分；② 制定食材保质期管控及 “先进先出” 执行规范的，得 1 分；③ 明确冷藏 / 冷冻库房温湿度每日监测及记录要求的，得 1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其他相关资料</w:t>
            </w:r>
          </w:p>
        </w:tc>
      </w:tr>
      <w:tr>
        <w:tc>
          <w:tcPr>
            <w:tcW w:type="dxa" w:w="831"/>
            <w:vMerge/>
          </w:tcPr>
          <w:p/>
        </w:tc>
        <w:tc>
          <w:tcPr>
            <w:tcW w:type="dxa" w:w="1661"/>
          </w:tcPr>
          <w:p>
            <w:pPr>
              <w:pStyle w:val="null3"/>
            </w:pPr>
            <w:r>
              <w:rPr>
                <w:rFonts w:ascii="仿宋_GB2312" w:hAnsi="仿宋_GB2312" w:cs="仿宋_GB2312" w:eastAsia="仿宋_GB2312"/>
              </w:rPr>
              <w:t>菜品搭配与营养方案</w:t>
            </w:r>
          </w:p>
        </w:tc>
        <w:tc>
          <w:tcPr>
            <w:tcW w:type="dxa" w:w="2492"/>
          </w:tcPr>
          <w:p>
            <w:pPr>
              <w:pStyle w:val="null3"/>
            </w:pPr>
            <w:r>
              <w:rPr>
                <w:rFonts w:ascii="仿宋_GB2312" w:hAnsi="仿宋_GB2312" w:cs="仿宋_GB2312" w:eastAsia="仿宋_GB2312"/>
              </w:rPr>
              <w:t>本项满分 12 分，按以下四个维度分项计分：1. 食谱完整性（3 分）：提供完整的一周学生餐示例食谱（覆盖早中晚三餐），且一周内主菜无重复的，得 3 分；缺餐次或主菜有重复的不得分。2. 品类丰富度（3 分）：每餐均包含主食、荤菜、素菜、汤品四大品类的，得 3 分；每缺 1 类扣 1 分，扣完为止。3. 营养搭配原则（3 分）：明确荤素搭配、粗细搭配、干湿搭配 3 项具体配餐标准与执行要求的，得 3 分；每缺 1 类扣 1 分，扣完为止。4. 特殊需求保障（3 分）：制定针对食物过敏、民族饮食禁忌、特殊医嘱 3 类个性化需求的供餐方案的，得 3 分；每缺 1 类扣 1 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其他相关资料</w:t>
            </w:r>
          </w:p>
        </w:tc>
      </w:tr>
      <w:tr>
        <w:tc>
          <w:tcPr>
            <w:tcW w:type="dxa" w:w="831"/>
            <w:vMerge/>
          </w:tcPr>
          <w:p/>
        </w:tc>
        <w:tc>
          <w:tcPr>
            <w:tcW w:type="dxa" w:w="1661"/>
          </w:tcPr>
          <w:p>
            <w:pPr>
              <w:pStyle w:val="null3"/>
            </w:pPr>
            <w:r>
              <w:rPr>
                <w:rFonts w:ascii="仿宋_GB2312" w:hAnsi="仿宋_GB2312" w:cs="仿宋_GB2312" w:eastAsia="仿宋_GB2312"/>
              </w:rPr>
              <w:t>技术要求-突发事件应急预案</w:t>
            </w:r>
          </w:p>
        </w:tc>
        <w:tc>
          <w:tcPr>
            <w:tcW w:type="dxa" w:w="2492"/>
          </w:tcPr>
          <w:p>
            <w:pPr>
              <w:pStyle w:val="null3"/>
            </w:pPr>
            <w:r>
              <w:rPr>
                <w:rFonts w:ascii="仿宋_GB2312" w:hAnsi="仿宋_GB2312" w:cs="仿宋_GB2312" w:eastAsia="仿宋_GB2312"/>
              </w:rPr>
              <w:t>本项满分 15 分，按以下五个维度分项计分：1. 食品安全事故应急预案（4 分）：明确事故分级、现场处置、上报流程、师生救治、溯源排查、善后整改 6 个核心环节的，得 4 分；每缺 1 个环节扣 1 分，扣完为止。2. 能源中断应急方案（3 分）：针对停水、停电、停气 3 类场景，分别制定应急供餐保障措施的，得 3 分；每缺 1 类场景扣 1 分，扣完为止。3. 食材供应中断预案（3 分）：明确 2 家及以上备选食材供应商名单及应急调配流程的，得 3 分；备选供应商不足 2 家或无调配流程的不得分。4. 人员缺岗应急预案（2 分）：制定管理干部、厨师长 2 类关键岗位突发缺岗的顶岗调配机制的，得 2 分；缺 1 类岗位不得分。5. 消防安全应急预案（3 分）：明确火灾处置流程、人员疏散路线、消防器材使用要求 3 项内容的，得 3 分；每缺 1 项扣 1 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其他相关资料</w:t>
            </w:r>
          </w:p>
        </w:tc>
      </w:tr>
      <w:tr>
        <w:tc>
          <w:tcPr>
            <w:tcW w:type="dxa" w:w="831"/>
            <w:vMerge/>
          </w:tcPr>
          <w:p/>
        </w:tc>
        <w:tc>
          <w:tcPr>
            <w:tcW w:type="dxa" w:w="1661"/>
          </w:tcPr>
          <w:p>
            <w:pPr>
              <w:pStyle w:val="null3"/>
            </w:pPr>
            <w:r>
              <w:rPr>
                <w:rFonts w:ascii="仿宋_GB2312" w:hAnsi="仿宋_GB2312" w:cs="仿宋_GB2312" w:eastAsia="仿宋_GB2312"/>
              </w:rPr>
              <w:t>技术要求-服务提升方案</w:t>
            </w:r>
          </w:p>
        </w:tc>
        <w:tc>
          <w:tcPr>
            <w:tcW w:type="dxa" w:w="2492"/>
          </w:tcPr>
          <w:p>
            <w:pPr>
              <w:pStyle w:val="null3"/>
            </w:pPr>
            <w:r>
              <w:rPr>
                <w:rFonts w:ascii="仿宋_GB2312" w:hAnsi="仿宋_GB2312" w:cs="仿宋_GB2312" w:eastAsia="仿宋_GB2312"/>
              </w:rPr>
              <w:t>本项满分 3 分，每满足 1 项得 1 分，缺项不得分：1. 明确每学期师生满意度调查的频次、开展方式、核心调研维度；2. 明确每月菜品更新迭代流程及师生意见征集渠道；3. 制定从业人员服务用语、着装标准、行为规范 3 项服务礼仪要求。</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其他相关资料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满足投标文件要求且投标下浮率最高的投标报价为评标基准价， 其价格分为满分。其他供应商的价 格分统一按照下列公式计算：投标价得分=（（1-下浮率）/有效报价 ) ×价格权重（10%） ×100。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详见附件：响应报价表</w:t>
      </w:r>
    </w:p>
    <w:p>
      <w:pPr>
        <w:pStyle w:val="null3"/>
        <w:ind w:firstLine="960"/>
      </w:pPr>
      <w:r>
        <w:rPr>
          <w:rFonts w:ascii="仿宋_GB2312" w:hAnsi="仿宋_GB2312" w:cs="仿宋_GB2312" w:eastAsia="仿宋_GB2312"/>
        </w:rPr>
        <w:t>详见附件：其他相关资料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