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版本号：SZT2026-SN-QC-ZC-FW-0366..20260513001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高新区市容环卫绿化综合管理服务项目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SZT2026-SN-QC-ZC-FW-0366..</w:t>
      </w:r>
      <w:r>
        <w:br/>
      </w:r>
      <w:r>
        <w:br/>
      </w:r>
      <w:r>
        <w:br/>
      </w:r>
    </w:p>
    <w:p>
      <w:pPr>
        <w:pStyle w:val="null3"/>
        <w:jc w:val="center"/>
        <w:outlineLvl w:val="2"/>
      </w:pPr>
      <w:r>
        <w:rPr>
          <w:rFonts w:ascii="仿宋_GB2312" w:hAnsi="仿宋_GB2312" w:cs="仿宋_GB2312" w:eastAsia="仿宋_GB2312"/>
          <w:sz w:val="28"/>
          <w:b/>
        </w:rPr>
        <w:t>西安高新技术产业开发区城市管理和综合执法局</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委托，拟对</w:t>
      </w:r>
      <w:r>
        <w:rPr>
          <w:rFonts w:ascii="仿宋_GB2312" w:hAnsi="仿宋_GB2312" w:cs="仿宋_GB2312" w:eastAsia="仿宋_GB2312"/>
        </w:rPr>
        <w:t>高新区市容环卫绿化综合管理服务项目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SZT2026-SN-QC-ZC-FW-0366..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高新区市容环卫绿化综合管理服务项目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为提高西安高新区市容环境养护管理水平，营造良好的投资和人居生活环境，实现品质高新景观最优城区目标，按照高新区管理作业标准,现开展高新区市容环卫绿化综合管理服务项目的采购工作。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2、控股管理关系：提供直接控股和直接管理关系清单。若与其他供应商存在单位负责人为同一人或者存在直接控股、管理关系的，则投标无效。</w:t>
      </w:r>
    </w:p>
    <w:p>
      <w:pPr>
        <w:pStyle w:val="null3"/>
      </w:pPr>
      <w:r>
        <w:rPr>
          <w:rFonts w:ascii="仿宋_GB2312" w:hAnsi="仿宋_GB2312" w:cs="仿宋_GB2312" w:eastAsia="仿宋_GB2312"/>
        </w:rPr>
        <w:t>3、不接受联合体投标，不允许分包：本项目不接受联合体投标，不允许分包。投标人应提供《非联合体不分包投标声明》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2、控股管理关系：提供直接控股和直接管理关系清单。若与其他供应商存在单位负责人为同一人或者存在直接控股、管理关系的，则投标无效。</w:t>
      </w:r>
    </w:p>
    <w:p>
      <w:pPr>
        <w:pStyle w:val="null3"/>
      </w:pPr>
      <w:r>
        <w:rPr>
          <w:rFonts w:ascii="仿宋_GB2312" w:hAnsi="仿宋_GB2312" w:cs="仿宋_GB2312" w:eastAsia="仿宋_GB2312"/>
        </w:rPr>
        <w:t>3、不接受联合体投标，不允许分包：本项目不接受联合体投标，不允许分包。投标人应提供《非联合体不分包投标声明》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西安市高新区锦业路1号都市之门D座1909</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029-89199037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赵倩、陈璐、李娜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029-87304326-873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采购包1：61,484,800.00元</w:t>
            </w:r>
          </w:p>
          <w:p>
            <w:pPr>
              <w:pStyle w:val="null3"/>
            </w:pPr>
            <w:r>
              <w:rPr>
                <w:rFonts w:ascii="仿宋_GB2312" w:hAnsi="仿宋_GB2312" w:cs="仿宋_GB2312" w:eastAsia="仿宋_GB2312"/>
              </w:rPr>
              <w:t>采购包2：48,974,488.40元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每标段中标金额为基数参考《国家计委关于印发&lt;招标代理服务收费管理暂行办法&gt;的通知》（计价格〔2002〕1980号）及《国家发改委关于降低部分建设项目收费标准规范收费行为等有关问题的通知》（发改价格〔2011〕534号）规定按标准下浮30%收取。2、各包中标人在领取中标通知书前，须向采购代理机构一次性支付采购代理服务费。 代理费缴存账户： 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符合国家标准及采购人验收要求。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符合国家标准及采购人验收要求。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为提高西安高新区市容环境养护管理水平，营造良好的投资和人居生活环境，实现品质高新景观最优城区目标，按照高新区管理作业标准,现开展高新区市容环卫绿化综合管理服务项目的采购工作。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61,484,800.00</w:t>
      </w:r>
    </w:p>
    <w:p>
      <w:pPr>
        <w:pStyle w:val="null3"/>
      </w:pPr>
      <w:r>
        <w:rPr>
          <w:rFonts w:ascii="仿宋_GB2312" w:hAnsi="仿宋_GB2312" w:cs="仿宋_GB2312" w:eastAsia="仿宋_GB2312"/>
        </w:rPr>
        <w:t>采购包最高限价（元）: 61,484,800.00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环卫绿化综合管理服务A标段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61,484,800.00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48,974,488.40</w:t>
      </w:r>
    </w:p>
    <w:p>
      <w:pPr>
        <w:pStyle w:val="null3"/>
      </w:pPr>
      <w:r>
        <w:rPr>
          <w:rFonts w:ascii="仿宋_GB2312" w:hAnsi="仿宋_GB2312" w:cs="仿宋_GB2312" w:eastAsia="仿宋_GB2312"/>
        </w:rPr>
        <w:t>采购包最高限价（元）: 48,974,488.40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环卫绿化综合管理服务B标段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48,974,488.40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标的名称：环卫绿化综合管理服务A标段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具体技术参数与性能指标详见附件。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标的名称：环卫绿化综合管理服务B标段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具体技术参数与性能指标详见附件。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详见技术参数与性能指标附件。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详见技术参数与性能指标附件。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详见技术参数与性能指标附件。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一年，年度考核合格者，在双方自愿、合同内容不变的情况下可以进行续签，续签不超过2次。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一年，年度考核合格者，在双方自愿、合同内容不变的情况下可以进行续签，续签不超过2次。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西安高新区范围内，具体以采购人要求为准。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西安高新区范围内，具体以采购人要求为准。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按照招标文件及采购合同约定执行。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按照当月养护面积与养护单价据实结算基数，根据每月考评得分分值计算本月应付服务费用（以技术参数与性能指标为准）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按照当月养护面积与养护单价据实结算基数，根据每月考评得分分值计算本月应付服务费用（以技术参数与性能指标为准）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按照招标文件及采购合同约定执行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领取中标通知书前，须向采购代理机构提供纸质版响应文件3套，且提供的投标文件必须与在陕西省政府采购综合管理平台的项目电子化交易系统中递交的电子投标文件内容一致，纸质版投标文件必须装订成册签字盖章。 2、如招标文件中融资相关内容与新政策要求有出入，按照最新要求执行。 3、本项目共分为2个合同包，每个合同包确定1家中标人，投标人可同时参与多个合同包，但最终只能中1个合同包。评审时按照采购包号顺序进行评审，若投标人在评审时已在合同包1被推荐为排序第一的中标候选人，则该投标人在合同包2中不再参与中标候选人的推荐。 4、本项目各包采购预算金额如下： 采购包1： 61484800.00元（环卫49022549.5元，绿化12462250.5元） 采购包2：48974488.4元（环卫38736754.5元，绿化10237733.9元）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2.具有履行合同所必需的服务能力（格式详见附件）； 3.具有依法缴纳税收和社会保障资金的良好记录（提供开标前12个月内任一月份的社保和缴纳税收的证明，税种须包含增值税或企业所得税，依法不需要缴纳社会保障资金、免税或无须缴纳税款的供应商，应提供相关证明文件)；4.参加政府采购活动前三年内，在经营活动中没有重大违法记录（格式详见附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资格响应表（A标段）.docx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经审计的2025年度的财务报告或提交2025年11月1日至今其基本账户开户银行出具的资信证明或财政部门认可的政府采购专业担保机构出具的磋商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资格响应表（A标段）.docx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资格响应表（A标段）.docx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2.具有履行合同所必需的服务能力（格式详见附件）； 3.具有依法缴纳税收和社会保障资金的良好记录（提供开标前12个月内任一月份的社保和缴纳税收的证明，税种须包含增值税或企业所得税，依法不需要缴纳社会保障资金、免税或无须缴纳税款的供应商，应提供相关证明文件)；4.参加政府采购活动前三年内，在经营活动中没有重大违法记录（格式详见附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资格响应表（B标段.docx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经审计的2025年度的财务报告或提交2025年11月1日至今其基本账户开户银行出具的资信证明或财政部门认可的政府采购专业担保机构出具的磋商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资格响应表（B标段.docx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资格响应表（B标段.docx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资格响应表（A标段）.docx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资格响应表（A标段）.docx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资格响应表（A标段）.docx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资格响应表（B标段.docx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资格响应表（B标段.docx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资格响应表（B标段.docx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服务期限符合招标文件要求</w:t>
            </w:r>
          </w:p>
        </w:tc>
        <w:tc>
          <w:tcPr>
            <w:tcW w:type="dxa" w:w="1661"/>
          </w:tcPr>
          <w:p>
            <w:pPr>
              <w:pStyle w:val="null3"/>
            </w:pPr>
            <w:r>
              <w:rPr>
                <w:rFonts w:ascii="仿宋_GB2312" w:hAnsi="仿宋_GB2312" w:cs="仿宋_GB2312" w:eastAsia="仿宋_GB2312"/>
              </w:rPr>
              <w:t>商务偏离表（A标段）.docx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支付方式、支付约定</w:t>
            </w:r>
          </w:p>
        </w:tc>
        <w:tc>
          <w:tcPr>
            <w:tcW w:type="dxa" w:w="3322"/>
          </w:tcPr>
          <w:p>
            <w:pPr>
              <w:pStyle w:val="null3"/>
            </w:pPr>
            <w:r>
              <w:rPr>
                <w:rFonts w:ascii="仿宋_GB2312" w:hAnsi="仿宋_GB2312" w:cs="仿宋_GB2312" w:eastAsia="仿宋_GB2312"/>
              </w:rPr>
              <w:t>支付方式、支付约定符合招标文件要求</w:t>
            </w:r>
          </w:p>
        </w:tc>
        <w:tc>
          <w:tcPr>
            <w:tcW w:type="dxa" w:w="1661"/>
          </w:tcPr>
          <w:p>
            <w:pPr>
              <w:pStyle w:val="null3"/>
            </w:pPr>
            <w:r>
              <w:rPr>
                <w:rFonts w:ascii="仿宋_GB2312" w:hAnsi="仿宋_GB2312" w:cs="仿宋_GB2312" w:eastAsia="仿宋_GB2312"/>
              </w:rPr>
              <w:t>商务偏离表（A标段）.docx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1、报价唯一；2、报价货币符合招标文件要求;3、未超出采购预算或招标文件规定的综合单价最高限价。</w:t>
            </w:r>
          </w:p>
        </w:tc>
        <w:tc>
          <w:tcPr>
            <w:tcW w:type="dxa" w:w="1661"/>
          </w:tcPr>
          <w:p>
            <w:pPr>
              <w:pStyle w:val="null3"/>
            </w:pPr>
            <w:r>
              <w:rPr>
                <w:rFonts w:ascii="仿宋_GB2312" w:hAnsi="仿宋_GB2312" w:cs="仿宋_GB2312" w:eastAsia="仿宋_GB2312"/>
              </w:rPr>
              <w:t>开标一览表 A标段-分项报价表.xlsx A标段-园林绿化应急项目清单.xlsx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满足招标文件合同条款未出现负偏离且响应的内容中未附有采购人不能接受的附加条件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合同条款偏离表（A标段）.docx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服务期限符合招标文件要求</w:t>
            </w:r>
          </w:p>
        </w:tc>
        <w:tc>
          <w:tcPr>
            <w:tcW w:type="dxa" w:w="1661"/>
          </w:tcPr>
          <w:p>
            <w:pPr>
              <w:pStyle w:val="null3"/>
            </w:pPr>
            <w:r>
              <w:rPr>
                <w:rFonts w:ascii="仿宋_GB2312" w:hAnsi="仿宋_GB2312" w:cs="仿宋_GB2312" w:eastAsia="仿宋_GB2312"/>
              </w:rPr>
              <w:t>商务偏离表（B标段.docx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支付方式、支付约定</w:t>
            </w:r>
          </w:p>
        </w:tc>
        <w:tc>
          <w:tcPr>
            <w:tcW w:type="dxa" w:w="3322"/>
          </w:tcPr>
          <w:p>
            <w:pPr>
              <w:pStyle w:val="null3"/>
            </w:pPr>
            <w:r>
              <w:rPr>
                <w:rFonts w:ascii="仿宋_GB2312" w:hAnsi="仿宋_GB2312" w:cs="仿宋_GB2312" w:eastAsia="仿宋_GB2312"/>
              </w:rPr>
              <w:t>支付方式、支付约定符合招标文件要求</w:t>
            </w:r>
          </w:p>
        </w:tc>
        <w:tc>
          <w:tcPr>
            <w:tcW w:type="dxa" w:w="1661"/>
          </w:tcPr>
          <w:p>
            <w:pPr>
              <w:pStyle w:val="null3"/>
            </w:pPr>
            <w:r>
              <w:rPr>
                <w:rFonts w:ascii="仿宋_GB2312" w:hAnsi="仿宋_GB2312" w:cs="仿宋_GB2312" w:eastAsia="仿宋_GB2312"/>
              </w:rPr>
              <w:t>商务偏离表（B标段.docx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1、报价唯一；2、报价货币符合招标文件要求;3、未超出采购预算或招标文件规定的综合单价最高限价。</w:t>
            </w:r>
          </w:p>
        </w:tc>
        <w:tc>
          <w:tcPr>
            <w:tcW w:type="dxa" w:w="1661"/>
          </w:tcPr>
          <w:p>
            <w:pPr>
              <w:pStyle w:val="null3"/>
            </w:pPr>
            <w:r>
              <w:rPr>
                <w:rFonts w:ascii="仿宋_GB2312" w:hAnsi="仿宋_GB2312" w:cs="仿宋_GB2312" w:eastAsia="仿宋_GB2312"/>
              </w:rPr>
              <w:t>开标一览表 B标段-分项报价表.xlsx B标段-园林绿化应急项目清单.xlsx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满足招标文件合同条款未出现负偏离且响应的内容中未附有采购人不能接受的附加条件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合同条款偏离表（B标段.docx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内容至少包括①道路清扫保洁方案；②生活垃圾清运服务方案；③公厕管理养护服务方案；④道路绿化养护方案；⑤突发事件应急保障方案。 评审标准：每项内容服务方案内容全面详细、阐述条理清晰详尽、符合本项目采购需求得5分，满分25分，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服务内容响应表（A标段）.docx</w:t>
            </w:r>
          </w:p>
          <w:p>
            <w:pPr>
              <w:pStyle w:val="null3"/>
            </w:pPr>
            <w:r>
              <w:rPr>
                <w:rFonts w:ascii="仿宋_GB2312" w:hAnsi="仿宋_GB2312" w:cs="仿宋_GB2312" w:eastAsia="仿宋_GB2312"/>
              </w:rPr>
              <w:t>服务方案（A标段）.docx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道路清扫保洁服务质量目标、标准及保证措施；②生活垃圾清运服务质量目标、标准及保证措施；③公厕管理养护服务质量目标、标准及保证措施；④道路绿化养护服务质量目标、标准及保证措施。 每项内容服务方案内容全面详细、阐述条理清晰详尽、符合本项目采购需求得5分，满分20分，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服务保障措施（A标段）.docx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项目负责人需为本单位人员，具备相关证书计2分，没有得0分。（提供证书及开标前连续3个月社保缴纳证明，否则不计分）。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项目负责人（A标段）.docx</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项目团队配置：①项目管理团队整体配置方案（提供人员配置表，列明各管理团队人员、基本情况及岗位职责）；②道路清扫保洁人员配置；③生活垃圾清运人员配置；④公厕及驿站管理养护人员配置；⑤道路绿化养护人员配置；⑥人员日常培训方案。 评审标准：项目团队配置合理、团队人员职责划分明确、团队配置满足项目情况及需要，人员专业能力能有效保障项目服务质量，内容描述详细，架构清晰的每项得3分，满分18分，评审内容每存在一处缺陷扣1分，扣完为止；未提供不得分。（说明：存在下列情形之一的属于内容缺陷：①逻辑混乱、与项目特点不匹配、凭空编造、逻辑漏洞；②出现常识性错误、存在不适用项目实际情况的情形；③只有标题没有实质性内容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项目服务团队（A标段）.docx</w:t>
            </w:r>
          </w:p>
        </w:tc>
      </w:tr>
      <w:tr>
        <w:tc>
          <w:tcPr>
            <w:tcW w:type="dxa" w:w="831"/>
            <w:vMerge/>
          </w:tcPr>
          <w:p/>
        </w:tc>
        <w:tc>
          <w:tcPr>
            <w:tcW w:type="dxa" w:w="1661"/>
          </w:tcPr>
          <w:p>
            <w:pPr>
              <w:pStyle w:val="null3"/>
            </w:pPr>
            <w:r>
              <w:rPr>
                <w:rFonts w:ascii="仿宋_GB2312" w:hAnsi="仿宋_GB2312" w:cs="仿宋_GB2312" w:eastAsia="仿宋_GB2312"/>
              </w:rPr>
              <w:t>拟投入机械设备配置</w:t>
            </w:r>
          </w:p>
        </w:tc>
        <w:tc>
          <w:tcPr>
            <w:tcW w:type="dxa" w:w="2492"/>
          </w:tcPr>
          <w:p>
            <w:pPr>
              <w:pStyle w:val="null3"/>
            </w:pPr>
            <w:r>
              <w:rPr>
                <w:rFonts w:ascii="仿宋_GB2312" w:hAnsi="仿宋_GB2312" w:cs="仿宋_GB2312" w:eastAsia="仿宋_GB2312"/>
              </w:rPr>
              <w:t>内容至少包括①道路清扫保洁及垃圾清运车辆配置；②环卫及绿化劳动工具配置；③绿化养护机械设备配置；④机械设备日常使用方案；⑤机械设备维修保障方案。 评审标准：投入机械设备配置合理、详细、阐述条理清晰详尽、符合本项目采购需求的每项得4分，满分20分，评审内容每存在一处缺陷扣1分，扣完为止；未提供不得分。（说明：存在下列情形之一的属于内容缺陷：①逻辑混乱、与项目特点不匹配、凭空编造、逻辑漏洞；②出现常识性错误、存在不适用项目实际情况的情形；③只有标题没有实质性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拟投入机械设备配置（A标段）.docx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1月1日至今（以合同签订日期为准）的同类（绿化或环卫类）业绩，投标文件中提供合同关键页（合同首页、服务内容页及双方签字盖章页）复印件并加盖投标人公章，提供1个得1分，满分5分，没有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业绩（A标段）.docx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实质性满足招标文件要求且最后投标总报价最低的投标总报价为投标基准价，其价格分为满分10分。 其它投标总报价得分=（投标基准价/最后投标总报价）*10分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A标段-分项报价表.xlsx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内容至少包括①道路清扫保洁方案；②生活垃圾清运服务方案；③公厕管理养护服务方案；④道路绿化养护方案；⑤突发事件应急保障方案。 评审标准：每项内容服务方案内容全面详细、阐述条理清晰详尽、符合本项目采购需求得5分，满分25分，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服务方案（B标段.docx</w:t>
            </w:r>
          </w:p>
          <w:p>
            <w:pPr>
              <w:pStyle w:val="null3"/>
            </w:pPr>
            <w:r>
              <w:rPr>
                <w:rFonts w:ascii="仿宋_GB2312" w:hAnsi="仿宋_GB2312" w:cs="仿宋_GB2312" w:eastAsia="仿宋_GB2312"/>
              </w:rPr>
              <w:t>服务内容响应表（B标段.docx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内容至少包括①道路清扫保洁服务质量目标、标准及保证措施；②公厕管理养护服务质量目标、标准及保证措施；③道路绿化养护服务质量目标、标准及保证措施。 每项内容服务方案内容全面详细、阐述条理清晰详尽、符合本项目采购需求得6分，满分18分，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服务保障措施（B标段）.docx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项目负责人需为本单位人员，具备相关证书计2分，没有得0分。（提供证书及开标前连续3个月社保缴纳证明，否则不计分）。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项目负责人（B标段.docx</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项目团队配置：①项目管理团队整体配置方案（提供人员配置表，列明各管理团队人员、基本情况及岗位职责）；②道路清扫保洁人员配置；③公厕及驿站管理养护人员配置；④道路绿化养护人员配置；⑤人员日常培训方案。 评审标准：项目团队配置合理、团队人员职责划分明确、团队配置满足项目情况及需要，人员专业能力能有效保障项目服务质量，内容描述详细，架构清晰的每项得4分，满分20分，评审内容每存在一处缺陷扣1分，扣完为止；未提供不得分。（说明：存在下列情形之一的属于内容缺陷：①逻辑混乱、与项目特点不匹配、凭空编造、逻辑漏洞；②出现常识性错误、存在不适用项目实际情况的情形；③只有标题没有实质性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项目服务团队（B标段.docx</w:t>
            </w:r>
          </w:p>
        </w:tc>
      </w:tr>
      <w:tr>
        <w:tc>
          <w:tcPr>
            <w:tcW w:type="dxa" w:w="831"/>
            <w:vMerge/>
          </w:tcPr>
          <w:p/>
        </w:tc>
        <w:tc>
          <w:tcPr>
            <w:tcW w:type="dxa" w:w="1661"/>
          </w:tcPr>
          <w:p>
            <w:pPr>
              <w:pStyle w:val="null3"/>
            </w:pPr>
            <w:r>
              <w:rPr>
                <w:rFonts w:ascii="仿宋_GB2312" w:hAnsi="仿宋_GB2312" w:cs="仿宋_GB2312" w:eastAsia="仿宋_GB2312"/>
              </w:rPr>
              <w:t>拟投入机械设备配置</w:t>
            </w:r>
          </w:p>
        </w:tc>
        <w:tc>
          <w:tcPr>
            <w:tcW w:type="dxa" w:w="2492"/>
          </w:tcPr>
          <w:p>
            <w:pPr>
              <w:pStyle w:val="null3"/>
            </w:pPr>
            <w:r>
              <w:rPr>
                <w:rFonts w:ascii="仿宋_GB2312" w:hAnsi="仿宋_GB2312" w:cs="仿宋_GB2312" w:eastAsia="仿宋_GB2312"/>
              </w:rPr>
              <w:t>内容至少包括①道路清扫保洁及垃圾清运车辆配置；②环卫及绿化劳动工具配置；③绿化养护机械设备配置；④机械设备日常使用方案；⑤机械设备维修保障方案。 评审标准：投入机械设备配置合理、详细、阐述条理清晰详尽、符合本项目采购需求的每项得4分，满分20分，评审内容每存在一处缺陷扣1分，扣完为止；未提供不得分。（说明：存在下列情形之一的属于内容缺陷：①逻辑混乱、与项目特点不匹配、凭空编造、逻辑漏洞；②出现常识性错误、存在不适用项目实际情况的情形；③只有标题没有实质性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拟投入机械设备配置（B标段.docx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1月1日至今（以合同签订日期为准）的同类（绿化或环卫类）业绩，投标文件中提供合同关键页（合同首页、服务内容页及双方签字盖章页）复印件并加盖投标人公章，提供1个得1分，满分5分，没有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业绩（B标段.docx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实质性满足招标文件要求且最后投标总报价最低的投标总报价为投标基准价，其价格分为满分10分。 其它投标总报价得分=（投标基准价/最后投标总报价）*10分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B标段-分项报价表.xlsx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详见附件：服务保障措施（A标段）.docx</w:t>
      </w:r>
    </w:p>
    <w:p>
      <w:pPr>
        <w:pStyle w:val="null3"/>
        <w:ind w:firstLine="960"/>
      </w:pPr>
      <w:r>
        <w:rPr>
          <w:rFonts w:ascii="仿宋_GB2312" w:hAnsi="仿宋_GB2312" w:cs="仿宋_GB2312" w:eastAsia="仿宋_GB2312"/>
        </w:rPr>
        <w:t>详见附件：服务方案（A标段）.docx</w:t>
      </w:r>
    </w:p>
    <w:p>
      <w:pPr>
        <w:pStyle w:val="null3"/>
        <w:ind w:firstLine="960"/>
      </w:pPr>
      <w:r>
        <w:rPr>
          <w:rFonts w:ascii="仿宋_GB2312" w:hAnsi="仿宋_GB2312" w:cs="仿宋_GB2312" w:eastAsia="仿宋_GB2312"/>
        </w:rPr>
        <w:t>详见附件：服务内容响应表（A标段）.docx</w:t>
      </w:r>
    </w:p>
    <w:p>
      <w:pPr>
        <w:pStyle w:val="null3"/>
        <w:ind w:firstLine="960"/>
      </w:pPr>
      <w:r>
        <w:rPr>
          <w:rFonts w:ascii="仿宋_GB2312" w:hAnsi="仿宋_GB2312" w:cs="仿宋_GB2312" w:eastAsia="仿宋_GB2312"/>
        </w:rPr>
        <w:t>详见附件：合同条款偏离表（A标段）.docx</w:t>
      </w:r>
    </w:p>
    <w:p>
      <w:pPr>
        <w:pStyle w:val="null3"/>
        <w:ind w:firstLine="960"/>
      </w:pPr>
      <w:r>
        <w:rPr>
          <w:rFonts w:ascii="仿宋_GB2312" w:hAnsi="仿宋_GB2312" w:cs="仿宋_GB2312" w:eastAsia="仿宋_GB2312"/>
        </w:rPr>
        <w:t>详见附件：拟投入机械设备配置（A标段）.docx</w:t>
      </w:r>
    </w:p>
    <w:p>
      <w:pPr>
        <w:pStyle w:val="null3"/>
        <w:ind w:firstLine="960"/>
      </w:pPr>
      <w:r>
        <w:rPr>
          <w:rFonts w:ascii="仿宋_GB2312" w:hAnsi="仿宋_GB2312" w:cs="仿宋_GB2312" w:eastAsia="仿宋_GB2312"/>
        </w:rPr>
        <w:t>详见附件：商务偏离表（A标段）.docx</w:t>
      </w:r>
    </w:p>
    <w:p>
      <w:pPr>
        <w:pStyle w:val="null3"/>
        <w:ind w:firstLine="960"/>
      </w:pPr>
      <w:r>
        <w:rPr>
          <w:rFonts w:ascii="仿宋_GB2312" w:hAnsi="仿宋_GB2312" w:cs="仿宋_GB2312" w:eastAsia="仿宋_GB2312"/>
        </w:rPr>
        <w:t>详见附件：项目服务团队（A标段）.docx</w:t>
      </w:r>
    </w:p>
    <w:p>
      <w:pPr>
        <w:pStyle w:val="null3"/>
        <w:ind w:firstLine="960"/>
      </w:pPr>
      <w:r>
        <w:rPr>
          <w:rFonts w:ascii="仿宋_GB2312" w:hAnsi="仿宋_GB2312" w:cs="仿宋_GB2312" w:eastAsia="仿宋_GB2312"/>
        </w:rPr>
        <w:t>详见附件：项目负责人（A标段）.docx</w:t>
      </w:r>
    </w:p>
    <w:p>
      <w:pPr>
        <w:pStyle w:val="null3"/>
        <w:ind w:firstLine="960"/>
      </w:pPr>
      <w:r>
        <w:rPr>
          <w:rFonts w:ascii="仿宋_GB2312" w:hAnsi="仿宋_GB2312" w:cs="仿宋_GB2312" w:eastAsia="仿宋_GB2312"/>
        </w:rPr>
        <w:t>详见附件：业绩（A标段）.docx</w:t>
      </w:r>
    </w:p>
    <w:p>
      <w:pPr>
        <w:pStyle w:val="null3"/>
        <w:ind w:firstLine="960"/>
      </w:pPr>
      <w:r>
        <w:rPr>
          <w:rFonts w:ascii="仿宋_GB2312" w:hAnsi="仿宋_GB2312" w:cs="仿宋_GB2312" w:eastAsia="仿宋_GB2312"/>
        </w:rPr>
        <w:t>详见附件：资格响应表（A标段）.docx</w:t>
      </w:r>
    </w:p>
    <w:p>
      <w:pPr>
        <w:pStyle w:val="null3"/>
        <w:ind w:firstLine="960"/>
      </w:pPr>
      <w:r>
        <w:rPr>
          <w:rFonts w:ascii="仿宋_GB2312" w:hAnsi="仿宋_GB2312" w:cs="仿宋_GB2312" w:eastAsia="仿宋_GB2312"/>
        </w:rPr>
        <w:t>详见附件：A标段-分项报价表.xlsx</w:t>
      </w:r>
    </w:p>
    <w:p>
      <w:pPr>
        <w:pStyle w:val="null3"/>
        <w:ind w:firstLine="960"/>
      </w:pPr>
      <w:r>
        <w:rPr>
          <w:rFonts w:ascii="仿宋_GB2312" w:hAnsi="仿宋_GB2312" w:cs="仿宋_GB2312" w:eastAsia="仿宋_GB2312"/>
        </w:rPr>
        <w:t>详见附件：A标段-园林绿化应急项目清单.xlsx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详见附件：服务保障措施（B标段）.docx</w:t>
      </w:r>
    </w:p>
    <w:p>
      <w:pPr>
        <w:pStyle w:val="null3"/>
        <w:ind w:firstLine="960"/>
      </w:pPr>
      <w:r>
        <w:rPr>
          <w:rFonts w:ascii="仿宋_GB2312" w:hAnsi="仿宋_GB2312" w:cs="仿宋_GB2312" w:eastAsia="仿宋_GB2312"/>
        </w:rPr>
        <w:t>详见附件：服务方案（B标段.docx</w:t>
      </w:r>
    </w:p>
    <w:p>
      <w:pPr>
        <w:pStyle w:val="null3"/>
        <w:ind w:firstLine="960"/>
      </w:pPr>
      <w:r>
        <w:rPr>
          <w:rFonts w:ascii="仿宋_GB2312" w:hAnsi="仿宋_GB2312" w:cs="仿宋_GB2312" w:eastAsia="仿宋_GB2312"/>
        </w:rPr>
        <w:t>详见附件：服务内容响应表（B标段.docx</w:t>
      </w:r>
    </w:p>
    <w:p>
      <w:pPr>
        <w:pStyle w:val="null3"/>
        <w:ind w:firstLine="960"/>
      </w:pPr>
      <w:r>
        <w:rPr>
          <w:rFonts w:ascii="仿宋_GB2312" w:hAnsi="仿宋_GB2312" w:cs="仿宋_GB2312" w:eastAsia="仿宋_GB2312"/>
        </w:rPr>
        <w:t>详见附件：合同条款偏离表（B标段.docx</w:t>
      </w:r>
    </w:p>
    <w:p>
      <w:pPr>
        <w:pStyle w:val="null3"/>
        <w:ind w:firstLine="960"/>
      </w:pPr>
      <w:r>
        <w:rPr>
          <w:rFonts w:ascii="仿宋_GB2312" w:hAnsi="仿宋_GB2312" w:cs="仿宋_GB2312" w:eastAsia="仿宋_GB2312"/>
        </w:rPr>
        <w:t>详见附件：拟投入机械设备配置（B标段.docx</w:t>
      </w:r>
    </w:p>
    <w:p>
      <w:pPr>
        <w:pStyle w:val="null3"/>
        <w:ind w:firstLine="960"/>
      </w:pPr>
      <w:r>
        <w:rPr>
          <w:rFonts w:ascii="仿宋_GB2312" w:hAnsi="仿宋_GB2312" w:cs="仿宋_GB2312" w:eastAsia="仿宋_GB2312"/>
        </w:rPr>
        <w:t>详见附件：商务偏离表（B标段.docx</w:t>
      </w:r>
    </w:p>
    <w:p>
      <w:pPr>
        <w:pStyle w:val="null3"/>
        <w:ind w:firstLine="960"/>
      </w:pPr>
      <w:r>
        <w:rPr>
          <w:rFonts w:ascii="仿宋_GB2312" w:hAnsi="仿宋_GB2312" w:cs="仿宋_GB2312" w:eastAsia="仿宋_GB2312"/>
        </w:rPr>
        <w:t>详见附件：项目服务团队（B标段.docx</w:t>
      </w:r>
    </w:p>
    <w:p>
      <w:pPr>
        <w:pStyle w:val="null3"/>
        <w:ind w:firstLine="960"/>
      </w:pPr>
      <w:r>
        <w:rPr>
          <w:rFonts w:ascii="仿宋_GB2312" w:hAnsi="仿宋_GB2312" w:cs="仿宋_GB2312" w:eastAsia="仿宋_GB2312"/>
        </w:rPr>
        <w:t>详见附件：项目负责人（B标段.docx</w:t>
      </w:r>
    </w:p>
    <w:p>
      <w:pPr>
        <w:pStyle w:val="null3"/>
        <w:ind w:firstLine="960"/>
      </w:pPr>
      <w:r>
        <w:rPr>
          <w:rFonts w:ascii="仿宋_GB2312" w:hAnsi="仿宋_GB2312" w:cs="仿宋_GB2312" w:eastAsia="仿宋_GB2312"/>
        </w:rPr>
        <w:t>详见附件：业绩（B标段.docx</w:t>
      </w:r>
    </w:p>
    <w:p>
      <w:pPr>
        <w:pStyle w:val="null3"/>
        <w:ind w:firstLine="960"/>
      </w:pPr>
      <w:r>
        <w:rPr>
          <w:rFonts w:ascii="仿宋_GB2312" w:hAnsi="仿宋_GB2312" w:cs="仿宋_GB2312" w:eastAsia="仿宋_GB2312"/>
        </w:rPr>
        <w:t>详见附件：资格响应表（B标段.docx</w:t>
      </w:r>
    </w:p>
    <w:p>
      <w:pPr>
        <w:pStyle w:val="null3"/>
        <w:ind w:firstLine="960"/>
      </w:pPr>
      <w:r>
        <w:rPr>
          <w:rFonts w:ascii="仿宋_GB2312" w:hAnsi="仿宋_GB2312" w:cs="仿宋_GB2312" w:eastAsia="仿宋_GB2312"/>
        </w:rPr>
        <w:t>详见附件：B标段-分项报价表.xlsx</w:t>
      </w:r>
    </w:p>
    <w:p>
      <w:pPr>
        <w:pStyle w:val="null3"/>
        <w:ind w:firstLine="960"/>
      </w:pPr>
      <w:r>
        <w:rPr>
          <w:rFonts w:ascii="仿宋_GB2312" w:hAnsi="仿宋_GB2312" w:cs="仿宋_GB2312" w:eastAsia="仿宋_GB2312"/>
        </w:rPr>
        <w:t>详见附件：B标段-园林绿化应急项目清单.xlsx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