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1C96">
      <w:pPr>
        <w:pStyle w:val="5"/>
      </w:pPr>
    </w:p>
    <w:p w14:paraId="49E58974">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58303888">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 ）</w:t>
      </w:r>
    </w:p>
    <w:p w14:paraId="14B6DB55">
      <w:pPr>
        <w:pStyle w:val="26"/>
      </w:pP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1482CFF">
      <w:pPr>
        <w:pStyle w:val="20"/>
        <w:ind w:firstLine="183"/>
        <w:rPr>
          <w:color w:val="auto"/>
        </w:rPr>
      </w:pPr>
    </w:p>
    <w:p w14:paraId="2E03C3D7">
      <w:pPr>
        <w:pStyle w:val="30"/>
        <w:ind w:firstLine="727"/>
        <w:rPr>
          <w:color w:val="auto"/>
          <w:sz w:val="36"/>
          <w:szCs w:val="36"/>
        </w:rPr>
      </w:pPr>
    </w:p>
    <w:p w14:paraId="243AF6E0">
      <w:pPr>
        <w:pStyle w:val="30"/>
        <w:spacing w:line="240" w:lineRule="auto"/>
        <w:ind w:right="424" w:rightChars="150" w:firstLine="727"/>
        <w:rPr>
          <w:color w:val="auto"/>
          <w:sz w:val="36"/>
          <w:szCs w:val="36"/>
        </w:rPr>
      </w:pPr>
    </w:p>
    <w:p w14:paraId="3CA9744B">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延安市森林草原消防机动大队主副食配送服务</w:t>
      </w:r>
    </w:p>
    <w:p w14:paraId="79D043DC">
      <w:pPr>
        <w:spacing w:line="240" w:lineRule="auto"/>
        <w:ind w:left="2539" w:leftChars="256" w:right="707" w:rightChars="250" w:hanging="1815" w:hangingChars="500"/>
        <w:rPr>
          <w:rFonts w:hint="eastAsia"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2026-14</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延安市森林草原消防机动大队</w:t>
      </w:r>
    </w:p>
    <w:p w14:paraId="5A625861">
      <w:pPr>
        <w:spacing w:line="240" w:lineRule="auto"/>
        <w:ind w:left="3265" w:leftChars="256" w:right="707" w:rightChars="250" w:hanging="2541" w:hangingChars="7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  延安市公共资源交易中心</w:t>
      </w:r>
    </w:p>
    <w:p w14:paraId="72B45EA1">
      <w:pPr>
        <w:spacing w:line="240" w:lineRule="auto"/>
        <w:ind w:left="3260" w:leftChars="1024" w:right="707" w:rightChars="250" w:hanging="363" w:hangingChars="100"/>
        <w:rPr>
          <w:rFonts w:hint="eastAsia"/>
          <w:b/>
          <w:bCs/>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0214197E">
      <w:pPr>
        <w:spacing w:line="240" w:lineRule="auto"/>
        <w:ind w:left="3260" w:leftChars="1024" w:right="707" w:rightChars="250" w:hanging="363" w:hangingChars="100"/>
        <w:rPr>
          <w:rFonts w:hint="eastAsia"/>
          <w:b/>
          <w:bCs/>
          <w:color w:val="auto"/>
          <w:sz w:val="36"/>
          <w:szCs w:val="36"/>
          <w:lang w:val="en-US" w:eastAsia="zh-CN"/>
        </w:rPr>
      </w:pPr>
    </w:p>
    <w:p w14:paraId="2A7D1F80">
      <w:pPr>
        <w:spacing w:line="240" w:lineRule="auto"/>
        <w:ind w:left="3260" w:leftChars="1024" w:right="707" w:rightChars="250" w:hanging="363" w:hangingChars="100"/>
        <w:rPr>
          <w:rFonts w:hint="default" w:eastAsia="华文仿宋"/>
          <w:b/>
          <w:bCs/>
          <w:color w:val="auto"/>
          <w:sz w:val="36"/>
          <w:szCs w:val="36"/>
          <w:highlight w:val="none"/>
          <w:lang w:val="en-US" w:eastAsia="zh-CN"/>
        </w:rPr>
      </w:pPr>
      <w:r>
        <w:rPr>
          <w:rFonts w:hint="eastAsia"/>
          <w:b/>
          <w:bCs/>
          <w:color w:val="auto"/>
          <w:sz w:val="36"/>
          <w:szCs w:val="36"/>
          <w:highlight w:val="none"/>
          <w:lang w:val="en-US" w:eastAsia="zh-CN"/>
        </w:rPr>
        <w:t>2026年5月13日</w:t>
      </w:r>
    </w:p>
    <w:p w14:paraId="52197E8A">
      <w:pPr>
        <w:spacing w:line="240" w:lineRule="auto"/>
        <w:ind w:right="424" w:rightChars="150" w:firstLine="726" w:firstLineChars="200"/>
        <w:rPr>
          <w:color w:val="auto"/>
          <w:sz w:val="36"/>
          <w:szCs w:val="36"/>
        </w:rPr>
      </w:pPr>
    </w:p>
    <w:p w14:paraId="64F503CB">
      <w:pPr>
        <w:pStyle w:val="14"/>
        <w:tabs>
          <w:tab w:val="right" w:leader="dot" w:pos="9072"/>
        </w:tabs>
        <w:spacing w:beforeLines="50" w:afterLines="50" w:line="500" w:lineRule="exact"/>
        <w:jc w:val="center"/>
        <w:rPr>
          <w:rFonts w:hint="eastAsia" w:ascii="黑体" w:hAnsi="黑体" w:eastAsia="黑体"/>
          <w:color w:val="auto"/>
          <w:sz w:val="44"/>
          <w:szCs w:val="44"/>
        </w:rPr>
      </w:pPr>
      <w:bookmarkStart w:id="0" w:name="_Toc30340_WPSOffice_Level1"/>
      <w:bookmarkStart w:id="1" w:name="_Toc30102_WPSOffice_Level1"/>
      <w:bookmarkStart w:id="2" w:name="_Toc10222_WPSOffice_Level1"/>
    </w:p>
    <w:p w14:paraId="1130A058">
      <w:pPr>
        <w:rPr>
          <w:rFonts w:hint="eastAsia"/>
        </w:r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left="0" w:leftChars="0" w:firstLine="2254" w:firstLineChars="797"/>
        <w:rPr>
          <w:rFonts w:hint="eastAsia" w:ascii="黑体" w:hAnsi="黑体" w:eastAsia="黑体" w:cs="黑体"/>
          <w:color w:val="auto"/>
        </w:rPr>
      </w:pPr>
    </w:p>
    <w:p w14:paraId="75364477">
      <w:pPr>
        <w:pStyle w:val="14"/>
        <w:numPr>
          <w:ilvl w:val="0"/>
          <w:numId w:val="2"/>
        </w:numPr>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 xml:space="preserve"> 磋商邀请函</w:t>
      </w:r>
    </w:p>
    <w:p w14:paraId="2756F9C8">
      <w:pPr>
        <w:pStyle w:val="14"/>
        <w:numPr>
          <w:ilvl w:val="0"/>
          <w:numId w:val="2"/>
        </w:numPr>
        <w:tabs>
          <w:tab w:val="right" w:leader="dot" w:pos="9072"/>
        </w:tabs>
        <w:spacing w:line="500" w:lineRule="exact"/>
        <w:ind w:left="0" w:leftChars="0" w:firstLine="2254" w:firstLineChars="797"/>
        <w:rPr>
          <w:rFonts w:hint="eastAsia" w:ascii="黑体" w:hAnsi="黑体" w:eastAsia="黑体" w:cs="黑体"/>
          <w:color w:val="auto"/>
          <w:lang w:eastAsia="zh-CN"/>
        </w:rPr>
      </w:pPr>
      <w:r>
        <w:rPr>
          <w:rFonts w:hint="eastAsia" w:ascii="黑体" w:hAnsi="黑体" w:eastAsia="黑体" w:cs="黑体"/>
          <w:color w:val="auto"/>
        </w:rPr>
        <w:t>第二章  供应商须知</w:t>
      </w:r>
    </w:p>
    <w:p w14:paraId="6B174315">
      <w:pPr>
        <w:pStyle w:val="14"/>
        <w:numPr>
          <w:ilvl w:val="0"/>
          <w:numId w:val="0"/>
        </w:numPr>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kern w:val="2"/>
          <w:sz w:val="28"/>
          <w:szCs w:val="28"/>
          <w:lang w:val="en-US" w:eastAsia="zh-CN" w:bidi="ar-SA"/>
        </w:rPr>
        <w:t>一、</w:t>
      </w:r>
      <w:r>
        <w:rPr>
          <w:rFonts w:hint="eastAsia" w:ascii="黑体" w:hAnsi="黑体" w:eastAsia="黑体" w:cs="黑体"/>
          <w:color w:val="auto"/>
        </w:rPr>
        <w:t>定义</w:t>
      </w:r>
    </w:p>
    <w:p w14:paraId="00895F70">
      <w:pPr>
        <w:pStyle w:val="14"/>
        <w:numPr>
          <w:ilvl w:val="0"/>
          <w:numId w:val="0"/>
        </w:numPr>
        <w:tabs>
          <w:tab w:val="right" w:leader="dot" w:pos="9072"/>
        </w:tabs>
        <w:spacing w:line="500" w:lineRule="exact"/>
        <w:ind w:left="0" w:leftChars="0" w:firstLine="2254" w:firstLineChars="797"/>
        <w:rPr>
          <w:rFonts w:hint="eastAsia"/>
          <w:lang w:eastAsia="zh-CN"/>
        </w:rPr>
      </w:pPr>
      <w:r>
        <w:rPr>
          <w:rFonts w:hint="eastAsia" w:ascii="黑体" w:hAnsi="黑体" w:eastAsia="黑体" w:cs="黑体"/>
          <w:color w:val="auto"/>
          <w:kern w:val="2"/>
          <w:sz w:val="28"/>
          <w:szCs w:val="28"/>
          <w:lang w:val="en-US" w:eastAsia="zh-CN" w:bidi="ar-SA"/>
        </w:rPr>
        <w:t>二、</w:t>
      </w:r>
      <w:r>
        <w:rPr>
          <w:rFonts w:hint="eastAsia" w:ascii="黑体" w:hAnsi="黑体" w:eastAsia="黑体" w:cs="黑体"/>
          <w:color w:val="auto"/>
        </w:rPr>
        <w:t>供应商注意事项</w:t>
      </w:r>
    </w:p>
    <w:p w14:paraId="48C0855F">
      <w:pPr>
        <w:pStyle w:val="14"/>
        <w:numPr>
          <w:ilvl w:val="0"/>
          <w:numId w:val="0"/>
        </w:numPr>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kern w:val="2"/>
          <w:sz w:val="28"/>
          <w:szCs w:val="28"/>
          <w:lang w:val="en-US" w:eastAsia="zh-CN" w:bidi="ar-SA"/>
        </w:rPr>
        <w:t>三、</w:t>
      </w:r>
      <w:r>
        <w:rPr>
          <w:rFonts w:hint="eastAsia" w:ascii="黑体" w:hAnsi="黑体" w:eastAsia="黑体" w:cs="黑体"/>
          <w:color w:val="auto"/>
        </w:rPr>
        <w:t>电子磋商文件</w:t>
      </w:r>
    </w:p>
    <w:p w14:paraId="6E79551A">
      <w:pPr>
        <w:pStyle w:val="14"/>
        <w:numPr>
          <w:ilvl w:val="0"/>
          <w:numId w:val="0"/>
        </w:numPr>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kern w:val="2"/>
          <w:sz w:val="28"/>
          <w:szCs w:val="28"/>
          <w:lang w:val="en-US" w:eastAsia="zh-CN" w:bidi="ar-SA"/>
        </w:rPr>
        <w:t>四、</w:t>
      </w:r>
      <w:r>
        <w:rPr>
          <w:rFonts w:hint="eastAsia" w:ascii="黑体" w:hAnsi="黑体" w:eastAsia="黑体" w:cs="黑体"/>
          <w:color w:val="auto"/>
        </w:rPr>
        <w:t>磋商报价</w:t>
      </w:r>
    </w:p>
    <w:p w14:paraId="39E5500D">
      <w:pPr>
        <w:pStyle w:val="14"/>
        <w:numPr>
          <w:ilvl w:val="0"/>
          <w:numId w:val="0"/>
        </w:numPr>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kern w:val="2"/>
          <w:sz w:val="28"/>
          <w:szCs w:val="28"/>
          <w:lang w:val="en-US" w:eastAsia="zh-CN" w:bidi="ar-SA"/>
        </w:rPr>
        <w:t>五、</w:t>
      </w:r>
      <w:r>
        <w:rPr>
          <w:rFonts w:hint="eastAsia" w:ascii="黑体" w:hAnsi="黑体" w:eastAsia="黑体" w:cs="黑体"/>
          <w:color w:val="auto"/>
        </w:rPr>
        <w:t>电子响应文件</w:t>
      </w:r>
    </w:p>
    <w:p w14:paraId="15BD52A3">
      <w:pPr>
        <w:pStyle w:val="14"/>
        <w:numPr>
          <w:ilvl w:val="0"/>
          <w:numId w:val="0"/>
        </w:numPr>
        <w:tabs>
          <w:tab w:val="right" w:leader="dot" w:pos="9072"/>
        </w:tabs>
        <w:spacing w:line="500" w:lineRule="exact"/>
        <w:ind w:left="0" w:leftChars="0" w:firstLine="2254" w:firstLineChars="797"/>
        <w:rPr>
          <w:rFonts w:hint="eastAsia" w:ascii="黑体" w:hAnsi="黑体" w:eastAsia="黑体" w:cs="黑体"/>
          <w:color w:val="auto"/>
          <w:lang w:eastAsia="zh-CN"/>
        </w:rPr>
      </w:pPr>
      <w:r>
        <w:rPr>
          <w:rFonts w:hint="eastAsia" w:ascii="黑体" w:hAnsi="黑体" w:eastAsia="黑体" w:cs="黑体"/>
          <w:color w:val="auto"/>
        </w:rPr>
        <w:t>六、开启电子响应文件</w:t>
      </w:r>
    </w:p>
    <w:p w14:paraId="3229097A">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七、组织评审</w:t>
      </w:r>
    </w:p>
    <w:p w14:paraId="7D325B12">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八、成交</w:t>
      </w:r>
    </w:p>
    <w:p w14:paraId="7CF78292">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九、签订政府采购合同</w:t>
      </w:r>
    </w:p>
    <w:p w14:paraId="11393FE9">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十、其他</w:t>
      </w:r>
    </w:p>
    <w:p w14:paraId="258930B7">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第三章  磋商内容及采购要求</w:t>
      </w:r>
    </w:p>
    <w:p w14:paraId="009E0872">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第四章  合同草案条款</w:t>
      </w:r>
    </w:p>
    <w:p w14:paraId="60A31917">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第五章  电子响应文件构成及格式</w:t>
      </w:r>
    </w:p>
    <w:p w14:paraId="6EA8E229">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第一部分  资格证明文件</w:t>
      </w:r>
    </w:p>
    <w:p w14:paraId="6EDF0147">
      <w:pPr>
        <w:pStyle w:val="14"/>
        <w:tabs>
          <w:tab w:val="right" w:leader="dot" w:pos="9072"/>
        </w:tabs>
        <w:spacing w:line="500" w:lineRule="exact"/>
        <w:ind w:left="0" w:leftChars="0" w:firstLine="2254" w:firstLineChars="797"/>
        <w:rPr>
          <w:rFonts w:hint="eastAsia" w:ascii="黑体" w:hAnsi="黑体" w:eastAsia="黑体" w:cs="黑体"/>
          <w:color w:val="auto"/>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2254" w:firstLineChars="797"/>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1F4E2172">
      <w:pPr>
        <w:outlineLvl w:val="9"/>
        <w:rPr>
          <w:rFonts w:hint="eastAsia" w:ascii="黑体" w:hAnsi="黑体" w:eastAsia="黑体"/>
          <w:b w:val="0"/>
          <w:color w:val="auto"/>
          <w:szCs w:val="32"/>
          <w:lang w:eastAsia="zh-CN"/>
        </w:rPr>
        <w:sectPr>
          <w:headerReference r:id="rId5" w:type="default"/>
          <w:footerReference r:id="rId6"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jc w:val="center"/>
        <w:rPr>
          <w:rFonts w:ascii="黑体" w:hAnsi="黑体"/>
          <w:b w:val="0"/>
          <w:color w:val="auto"/>
          <w:szCs w:val="32"/>
        </w:rPr>
      </w:pPr>
      <w:bookmarkStart w:id="3" w:name="_Toc24418"/>
      <w:bookmarkStart w:id="4" w:name="_Toc26235"/>
      <w:bookmarkStart w:id="5" w:name="_Toc21489"/>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31"/>
        <w:spacing w:line="500" w:lineRule="exact"/>
        <w:ind w:firstLine="567"/>
        <w:rPr>
          <w:rFonts w:ascii="华文仿宋" w:hAnsi="华文仿宋" w:cs="华文仿宋"/>
          <w:color w:val="auto"/>
          <w:highlight w:val="none"/>
        </w:rPr>
      </w:pPr>
      <w:bookmarkStart w:id="6" w:name="_Toc15046_WPSOffice_Level2"/>
      <w:bookmarkStart w:id="7" w:name="_Toc8775_WPSOffice_Level2"/>
      <w:bookmarkStart w:id="8" w:name="_Toc6471"/>
      <w:bookmarkStart w:id="9" w:name="_Toc22804_WPSOffice_Level2"/>
      <w:r>
        <w:rPr>
          <w:rFonts w:hint="eastAsia" w:ascii="华文仿宋" w:hAnsi="华文仿宋" w:cs="华文仿宋"/>
          <w:b/>
          <w:bCs/>
          <w:color w:val="auto"/>
          <w:lang w:eastAsia="zh-CN"/>
        </w:rPr>
        <w:t>延安市森林草原消防机动大队主副食配送服务</w:t>
      </w:r>
      <w:r>
        <w:rPr>
          <w:rFonts w:hint="eastAsia" w:ascii="华文仿宋" w:hAnsi="华文仿宋" w:cs="华文仿宋"/>
          <w:color w:val="auto"/>
          <w:highlight w:val="none"/>
        </w:rPr>
        <w:t>潜在的供应商可在全国公共资源交易平台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5-27  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3"/>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619_WPSOffice_Level2"/>
      <w:bookmarkStart w:id="11" w:name="_Toc7698"/>
      <w:bookmarkStart w:id="12" w:name="_Toc28286_WPSOffice_Level2"/>
      <w:bookmarkStart w:id="13" w:name="_Toc181_WPSOffice_Level2"/>
      <w:r>
        <w:rPr>
          <w:rFonts w:hint="eastAsia"/>
          <w:b w:val="0"/>
          <w:bCs w:val="0"/>
          <w:color w:val="auto"/>
          <w:lang w:eastAsia="zh-CN"/>
        </w:rPr>
        <w:t>延安市森林草原消防机动大队主副食配送服务</w:t>
      </w:r>
    </w:p>
    <w:p w14:paraId="4D09738F">
      <w:pPr>
        <w:numPr>
          <w:ilvl w:val="0"/>
          <w:numId w:val="0"/>
        </w:numPr>
        <w:spacing w:line="500" w:lineRule="exact"/>
        <w:ind w:firstLine="566" w:firstLineChars="200"/>
        <w:rPr>
          <w:rFonts w:hint="eastAsia" w:eastAsia="仿宋"/>
          <w:b/>
          <w:bCs/>
          <w:color w:val="auto"/>
          <w:lang w:val="en-US" w:eastAsia="zh-CN"/>
        </w:rPr>
      </w:pPr>
      <w:r>
        <w:rPr>
          <w:rFonts w:hint="eastAsia"/>
          <w:b/>
          <w:bCs/>
          <w:color w:val="auto"/>
        </w:rPr>
        <w:t>二、项目编号：</w:t>
      </w:r>
      <w:bookmarkEnd w:id="10"/>
      <w:bookmarkEnd w:id="11"/>
      <w:bookmarkEnd w:id="12"/>
      <w:bookmarkEnd w:id="13"/>
      <w:bookmarkStart w:id="14" w:name="_Toc8221_WPSOffice_Level2"/>
      <w:bookmarkStart w:id="15" w:name="_Toc7884"/>
      <w:bookmarkStart w:id="16" w:name="_Toc22627_WPSOffice_Level2"/>
      <w:bookmarkStart w:id="17" w:name="_Toc23148_WPSOffice_Level2"/>
      <w:r>
        <w:rPr>
          <w:rFonts w:hint="eastAsia" w:ascii="仿宋" w:hAnsi="仿宋" w:eastAsia="仿宋" w:cs="仿宋"/>
          <w:color w:val="auto"/>
          <w:highlight w:val="none"/>
        </w:rPr>
        <w:t>YAZCJC</w:t>
      </w:r>
      <w:r>
        <w:rPr>
          <w:rFonts w:hint="eastAsia" w:ascii="仿宋" w:hAnsi="仿宋" w:eastAsia="仿宋" w:cs="仿宋"/>
          <w:color w:val="auto"/>
          <w:highlight w:val="none"/>
          <w:lang w:eastAsia="zh-CN"/>
        </w:rPr>
        <w:t>2026-14</w:t>
      </w:r>
    </w:p>
    <w:bookmarkEnd w:id="14"/>
    <w:bookmarkEnd w:id="15"/>
    <w:bookmarkEnd w:id="16"/>
    <w:bookmarkEnd w:id="17"/>
    <w:p w14:paraId="727570DE">
      <w:pPr>
        <w:spacing w:line="500" w:lineRule="exact"/>
        <w:ind w:firstLine="566" w:firstLineChars="200"/>
        <w:rPr>
          <w:rFonts w:hint="eastAsia" w:ascii="华文仿宋" w:hAnsi="华文仿宋" w:eastAsia="华文仿宋" w:cs="华文仿宋"/>
          <w:color w:val="auto"/>
          <w:lang w:eastAsia="zh-CN"/>
        </w:rPr>
      </w:pPr>
      <w:bookmarkStart w:id="18" w:name="_Toc31311_WPSOffice_Level2"/>
      <w:bookmarkStart w:id="19" w:name="_Toc29947_WPSOffice_Level2"/>
      <w:bookmarkStart w:id="20" w:name="_Toc30103_WPSOffice_Level2"/>
      <w:bookmarkStart w:id="21" w:name="_Toc27211"/>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延安市森林草原消防机动大队</w:t>
      </w:r>
    </w:p>
    <w:p w14:paraId="1FAD7762">
      <w:pPr>
        <w:pStyle w:val="32"/>
        <w:spacing w:line="500" w:lineRule="exact"/>
        <w:rPr>
          <w:rFonts w:hint="eastAsia"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val="en-US" w:eastAsia="zh-CN"/>
        </w:rPr>
        <w:t>延安市新区为民服务中心1号楼11层</w:t>
      </w:r>
    </w:p>
    <w:p w14:paraId="6AB7DB54">
      <w:pPr>
        <w:pStyle w:val="32"/>
        <w:spacing w:line="500" w:lineRule="exact"/>
        <w:rPr>
          <w:rFonts w:ascii="华文仿宋" w:hAnsi="华文仿宋" w:cs="华文仿宋"/>
          <w:color w:val="auto"/>
        </w:rPr>
      </w:pPr>
      <w:r>
        <w:rPr>
          <w:rFonts w:ascii="华文仿宋" w:hAnsi="华文仿宋" w:cs="华文仿宋"/>
          <w:color w:val="auto"/>
        </w:rPr>
        <w:t>联系人：</w:t>
      </w:r>
      <w:r>
        <w:rPr>
          <w:rFonts w:hint="eastAsia" w:ascii="华文仿宋" w:hAnsi="华文仿宋" w:cs="华文仿宋"/>
          <w:color w:val="auto"/>
          <w:lang w:val="en-US" w:eastAsia="zh-CN"/>
        </w:rPr>
        <w:t>王先生</w:t>
      </w:r>
    </w:p>
    <w:p w14:paraId="62845866">
      <w:pPr>
        <w:spacing w:line="500" w:lineRule="exact"/>
        <w:ind w:firstLine="1132" w:firstLineChars="400"/>
        <w:rPr>
          <w:rFonts w:hint="default"/>
          <w:lang w:val="en-US"/>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18109117732</w:t>
      </w:r>
    </w:p>
    <w:p w14:paraId="18D31A56">
      <w:pPr>
        <w:tabs>
          <w:tab w:val="left" w:pos="1620"/>
        </w:tabs>
        <w:snapToGrid w:val="0"/>
        <w:spacing w:line="500" w:lineRule="exact"/>
        <w:ind w:firstLine="566"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32" w:firstLineChars="400"/>
        <w:rPr>
          <w:rFonts w:hint="default" w:eastAsia="华文仿宋"/>
          <w:b w:val="0"/>
          <w:bCs w:val="0"/>
          <w:color w:val="auto"/>
          <w:lang w:val="en-US" w:eastAsia="zh-CN"/>
        </w:rPr>
      </w:pPr>
      <w:r>
        <w:rPr>
          <w:rFonts w:hint="eastAsia"/>
          <w:b w:val="0"/>
          <w:bCs w:val="0"/>
          <w:color w:val="auto"/>
        </w:rPr>
        <w:t xml:space="preserve">磋商文件联系人：魏女士  </w:t>
      </w:r>
      <w:r>
        <w:rPr>
          <w:rFonts w:hint="eastAsia"/>
          <w:b w:val="0"/>
          <w:bCs w:val="0"/>
          <w:color w:val="auto"/>
          <w:lang w:val="en-US" w:eastAsia="zh-CN"/>
        </w:rPr>
        <w:t xml:space="preserve">   赵先生</w:t>
      </w:r>
    </w:p>
    <w:p w14:paraId="3DB10CF9">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0911-7092224   0911-7092253</w:t>
      </w:r>
    </w:p>
    <w:p w14:paraId="4886E520">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延安市森林草原消防机动大队主副食配送服务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6" w:firstLineChars="200"/>
        <w:rPr>
          <w:rFonts w:hint="eastAsia" w:ascii="华文仿宋" w:hAnsi="华文仿宋" w:eastAsia="华文仿宋" w:cs="华文仿宋"/>
          <w:color w:val="auto"/>
          <w:highlight w:val="yellow"/>
          <w:lang w:val="en-US" w:eastAsia="zh-CN"/>
        </w:rPr>
      </w:pPr>
      <w:bookmarkStart w:id="22" w:name="_Toc25753"/>
      <w:bookmarkStart w:id="23" w:name="_Toc9917_WPSOffice_Level2"/>
      <w:bookmarkStart w:id="24" w:name="_Toc14570_WPSOffice_Level2"/>
      <w:bookmarkStart w:id="25" w:name="_Toc6459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6" w:firstLineChars="200"/>
        <w:rPr>
          <w:rFonts w:hint="default" w:ascii="仿宋" w:hAnsi="仿宋" w:eastAsia="华文仿宋" w:cs="仿宋"/>
          <w:b/>
          <w:color w:val="auto"/>
          <w:lang w:val="en-US"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826560.00</w:t>
      </w:r>
      <w:r>
        <w:rPr>
          <w:rFonts w:hint="eastAsia" w:ascii="华文仿宋" w:hAnsi="华文仿宋" w:cs="华文仿宋"/>
          <w:bCs/>
          <w:color w:val="auto"/>
        </w:rPr>
        <w:t>元</w:t>
      </w:r>
      <w:r>
        <w:rPr>
          <w:rFonts w:hint="eastAsia" w:ascii="华文仿宋" w:hAnsi="华文仿宋" w:cs="华文仿宋"/>
          <w:bCs/>
          <w:color w:val="auto"/>
          <w:lang w:val="en-US" w:eastAsia="zh-CN"/>
        </w:rPr>
        <w:t>（大写：捌拾贰万陆仟伍佰陆拾元整）</w:t>
      </w:r>
    </w:p>
    <w:p w14:paraId="41109504">
      <w:pPr>
        <w:pStyle w:val="9"/>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其他未列明行业</w:t>
      </w:r>
    </w:p>
    <w:p w14:paraId="694C3E41">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0"/>
        </w:numPr>
        <w:spacing w:line="500" w:lineRule="exact"/>
        <w:ind w:firstLine="566" w:firstLineChars="200"/>
        <w:jc w:val="left"/>
        <w:rPr>
          <w:rFonts w:hint="eastAsia" w:ascii="华文仿宋" w:hAnsi="华文仿宋" w:cs="华文仿宋"/>
          <w:b w:val="0"/>
          <w:bCs w:val="0"/>
          <w:color w:val="auto"/>
        </w:rPr>
      </w:pPr>
      <w:r>
        <w:rPr>
          <w:rFonts w:hint="eastAsia" w:ascii="华文仿宋" w:hAnsi="华文仿宋" w:eastAsia="华文仿宋" w:cs="华文仿宋"/>
          <w:b w:val="0"/>
          <w:bCs w:val="0"/>
          <w:color w:val="auto"/>
          <w:kern w:val="2"/>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w:t>
      </w:r>
      <w:r>
        <w:rPr>
          <w:rFonts w:hint="eastAsia" w:ascii="华文仿宋" w:hAnsi="华文仿宋" w:cs="华文仿宋"/>
          <w:b w:val="0"/>
          <w:bCs w:val="0"/>
          <w:color w:val="auto"/>
        </w:rPr>
        <w:t>分包投标声明》，视为独立</w:t>
      </w:r>
      <w:r>
        <w:rPr>
          <w:rFonts w:hint="eastAsia" w:ascii="华文仿宋" w:hAnsi="华文仿宋" w:cs="华文仿宋"/>
          <w:b w:val="0"/>
          <w:bCs w:val="0"/>
          <w:color w:val="auto"/>
          <w:lang w:eastAsia="zh-CN"/>
        </w:rPr>
        <w:t>响应</w:t>
      </w:r>
      <w:r>
        <w:rPr>
          <w:rFonts w:hint="eastAsia" w:ascii="华文仿宋" w:hAnsi="华文仿宋" w:cs="华文仿宋"/>
          <w:b w:val="0"/>
          <w:bCs w:val="0"/>
          <w:color w:val="auto"/>
        </w:rPr>
        <w:t>，不分包。</w:t>
      </w:r>
    </w:p>
    <w:p w14:paraId="49E83A30">
      <w:pPr>
        <w:pStyle w:val="4"/>
        <w:numPr>
          <w:ilvl w:val="0"/>
          <w:numId w:val="0"/>
        </w:numPr>
        <w:ind w:firstLine="606" w:firstLineChars="200"/>
        <w:rPr>
          <w:rFonts w:hint="eastAsia"/>
          <w:b w:val="0"/>
          <w:bCs w:val="0"/>
        </w:rPr>
      </w:pPr>
      <w:r>
        <w:rPr>
          <w:rFonts w:hint="eastAsia" w:ascii="Calibri Light" w:hAnsi="Calibri Light" w:eastAsia="华文仿宋" w:cs="Calibri Light"/>
          <w:b w:val="0"/>
          <w:bCs w:val="0"/>
          <w:kern w:val="2"/>
          <w:sz w:val="30"/>
          <w:szCs w:val="32"/>
          <w:lang w:val="en-US" w:eastAsia="zh-CN" w:bidi="ar-SA"/>
        </w:rPr>
        <w:t>8.</w:t>
      </w:r>
      <w:r>
        <w:rPr>
          <w:rFonts w:hint="eastAsia"/>
          <w:b w:val="0"/>
          <w:bCs w:val="0"/>
        </w:rPr>
        <w:t>供应商须</w:t>
      </w:r>
      <w:r>
        <w:rPr>
          <w:rFonts w:hint="eastAsia"/>
          <w:b w:val="0"/>
          <w:bCs w:val="0"/>
          <w:lang w:eastAsia="zh-CN"/>
        </w:rPr>
        <w:t>提供</w:t>
      </w:r>
      <w:r>
        <w:rPr>
          <w:rFonts w:hint="eastAsia"/>
          <w:b w:val="0"/>
          <w:bCs w:val="0"/>
        </w:rPr>
        <w:t>有效的食品经营许可证或食品生产许可证或食品经营许可备案登记证或省级部门生鲜肉经营备案表（肉类）（原件或加盖投标人红色公章的复印件）。</w:t>
      </w:r>
    </w:p>
    <w:p w14:paraId="05E93B85">
      <w:pPr>
        <w:spacing w:line="240" w:lineRule="auto"/>
        <w:ind w:firstLine="426" w:firstLineChars="200"/>
        <w:rPr>
          <w:rFonts w:ascii="宋体" w:hAnsi="宋体" w:eastAsia="宋体" w:cs="宋体"/>
          <w:b/>
          <w:bCs/>
          <w:color w:val="auto"/>
          <w:sz w:val="21"/>
          <w:szCs w:val="21"/>
        </w:rPr>
      </w:pPr>
      <w:bookmarkStart w:id="26" w:name="_Toc8219_WPSOffice_Level2"/>
      <w:bookmarkStart w:id="27" w:name="_Toc31685_WPSOffice_Level2"/>
      <w:bookmarkStart w:id="28" w:name="_Toc8666"/>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6"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6" w:firstLineChars="200"/>
        <w:rPr>
          <w:rFonts w:hint="eastAsia" w:ascii="华文仿宋" w:hAnsi="华文仿宋" w:cs="华文仿宋"/>
          <w:b/>
          <w:bCs/>
          <w:color w:val="auto"/>
          <w:highlight w:val="none"/>
        </w:rPr>
      </w:pPr>
      <w:bookmarkStart w:id="30" w:name="_Toc30400_WPSOffice_Level2"/>
      <w:bookmarkStart w:id="31" w:name="_Toc21125"/>
      <w:bookmarkStart w:id="32" w:name="_Toc20141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其他未列明行业</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6"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6" w:firstLineChars="200"/>
        <w:jc w:val="left"/>
        <w:rPr>
          <w:rFonts w:hint="eastAsia" w:ascii="仿宋" w:hAnsi="仿宋" w:eastAsia="仿宋" w:cs="仿宋"/>
          <w:bCs/>
          <w:color w:val="auto"/>
        </w:rPr>
      </w:pPr>
      <w:bookmarkStart w:id="33" w:name="_Toc20847"/>
      <w:bookmarkStart w:id="34" w:name="_Toc26982_WPSOffice_Level2"/>
      <w:bookmarkStart w:id="35" w:name="_Toc26863_WPSOffice_Level2"/>
      <w:bookmarkStart w:id="36" w:name="_Toc27420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6" w:firstLineChars="200"/>
        <w:jc w:val="left"/>
        <w:rPr>
          <w:rFonts w:ascii="仿宋" w:hAnsi="仿宋" w:eastAsia="仿宋" w:cs="仿宋"/>
          <w:bCs/>
          <w:color w:val="auto"/>
          <w:highlight w:val="none"/>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w:t>
      </w:r>
      <w:r>
        <w:rPr>
          <w:rFonts w:hint="eastAsia" w:ascii="仿宋" w:hAnsi="仿宋" w:eastAsia="仿宋" w:cs="仿宋"/>
          <w:bCs/>
          <w:color w:val="auto"/>
          <w:highlight w:val="none"/>
        </w:rPr>
        <w:t>ow/533.html，现场办理地址：延安市新区为民服务中心南区东楼</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7号楼）A2楼，咨询电话：0911-2162266。</w:t>
      </w:r>
    </w:p>
    <w:p w14:paraId="1225FC02">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5月13日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19</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6"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27</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eastAsia" w:eastAsia="华文仿宋"/>
          <w:b/>
          <w:bCs/>
          <w:color w:val="auto"/>
          <w:highlight w:val="none"/>
          <w:lang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交易二厅</w:t>
      </w:r>
    </w:p>
    <w:p w14:paraId="07BE4106">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default" w:eastAsia="华文仿宋"/>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09D12969">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6" w:firstLineChars="200"/>
        <w:rPr>
          <w:b/>
          <w:bCs/>
          <w:color w:val="000000"/>
        </w:rPr>
      </w:pPr>
      <w:bookmarkStart w:id="37" w:name="_Toc10758_WPSOffice_Level2"/>
      <w:bookmarkStart w:id="38" w:name="_Toc14110_WPSOffice_Level2"/>
      <w:bookmarkStart w:id="39" w:name="_Toc22849_WPSOffice_Level2"/>
      <w:bookmarkStart w:id="40" w:name="_Toc17917"/>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7A133A1E">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4326"/>
      <w:bookmarkStart w:id="43" w:name="_Toc495014648"/>
      <w:bookmarkStart w:id="44" w:name="_Toc445306492"/>
      <w:bookmarkStart w:id="45" w:name="_Toc495014584"/>
      <w:bookmarkStart w:id="46" w:name="_Toc22804_WPSOffice_Level1"/>
      <w:bookmarkStart w:id="47" w:name="_Toc495012820"/>
      <w:bookmarkStart w:id="48" w:name="_Toc19337_WPSOffice_Level1"/>
      <w:bookmarkStart w:id="49" w:name="_Toc495014919"/>
      <w:bookmarkStart w:id="50" w:name="_Toc495014953"/>
      <w:bookmarkStart w:id="51" w:name="_Toc7814"/>
      <w:bookmarkStart w:id="52" w:name="_Toc15046_WPSOffice_Level1"/>
      <w:bookmarkStart w:id="53" w:name="_Toc495014610"/>
      <w:bookmarkStart w:id="54" w:name="_Toc495012770"/>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1989"/>
      <w:bookmarkStart w:id="57" w:name="_Toc18466_WPSOffice_Level2"/>
      <w:bookmarkStart w:id="58" w:name="_Toc24451_WPSOffice_Level2"/>
      <w:bookmarkStart w:id="59" w:name="_Toc12337"/>
      <w:bookmarkStart w:id="60" w:name="_Toc3858_WPSOffice_Level2"/>
      <w:bookmarkStart w:id="61" w:name="_Toc16238"/>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延安市森林草原消防机动大队</w:t>
      </w:r>
    </w:p>
    <w:p w14:paraId="01424C05">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07B822FE">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27278_WPSOffice_Level2"/>
      <w:bookmarkStart w:id="65" w:name="_Toc4606"/>
      <w:bookmarkStart w:id="66" w:name="_Toc1878"/>
      <w:bookmarkStart w:id="67" w:name="_Toc20906_WPSOffice_Level2"/>
      <w:bookmarkStart w:id="68" w:name="_Toc11745_WPSOffice_Level2"/>
      <w:bookmarkStart w:id="69" w:name="_Toc9291"/>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6" w:firstLineChars="200"/>
        <w:rPr>
          <w:b/>
          <w:bCs/>
          <w:color w:val="000000"/>
        </w:rPr>
      </w:pPr>
      <w:bookmarkStart w:id="70" w:name="_Toc26982_WPSOffice_Level3"/>
      <w:bookmarkStart w:id="71" w:name="_Toc21291"/>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0D0CC5B5">
      <w:pPr>
        <w:spacing w:line="500" w:lineRule="exact"/>
        <w:ind w:firstLine="566"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316E48C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5CA11703">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764A380">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w:t>
      </w:r>
      <w:r>
        <w:rPr>
          <w:rFonts w:hint="eastAsia" w:ascii="华文仿宋" w:hAnsi="华文仿宋" w:cs="华文仿宋"/>
          <w:color w:val="000000"/>
          <w:sz w:val="24"/>
          <w:szCs w:val="24"/>
          <w:lang w:eastAsia="zh-CN"/>
        </w:rPr>
        <w:t>（</w:t>
      </w:r>
      <w:r>
        <w:rPr>
          <w:rFonts w:hint="eastAsia" w:ascii="华文仿宋" w:hAnsi="华文仿宋" w:cs="华文仿宋"/>
          <w:color w:val="000000"/>
          <w:sz w:val="24"/>
          <w:szCs w:val="24"/>
        </w:rPr>
        <w:t>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0B49B8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w:t>
      </w:r>
      <w:r>
        <w:rPr>
          <w:rFonts w:hint="eastAsia" w:ascii="华文仿宋" w:hAnsi="华文仿宋" w:cs="华文仿宋"/>
          <w:kern w:val="0"/>
          <w:lang w:eastAsia="zh-CN"/>
        </w:rPr>
        <w:t>（</w:t>
      </w:r>
      <w:r>
        <w:rPr>
          <w:rFonts w:hint="eastAsia" w:ascii="华文仿宋" w:hAnsi="华文仿宋" w:cs="华文仿宋"/>
          <w:kern w:val="0"/>
        </w:rPr>
        <w:t>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w:t>
      </w:r>
      <w:r>
        <w:rPr>
          <w:rFonts w:hint="eastAsia" w:ascii="仿宋" w:hAnsi="仿宋" w:eastAsia="仿宋" w:cs="仿宋"/>
          <w:sz w:val="28"/>
          <w:szCs w:val="28"/>
        </w:rPr>
        <w:t>申请。</w:t>
      </w:r>
      <w:r>
        <w:rPr>
          <w:rFonts w:hint="eastAsia" w:ascii="华文仿宋" w:hAnsi="华文仿宋" w:cs="华文仿宋"/>
          <w:kern w:val="0"/>
          <w:sz w:val="28"/>
          <w:szCs w:val="28"/>
        </w:rPr>
        <w:t>”</w:t>
      </w:r>
      <w:r>
        <w:rPr>
          <w:rFonts w:hint="eastAsia" w:ascii="华文仿宋" w:hAnsi="华文仿宋" w:cs="华文仿宋"/>
          <w:kern w:val="0"/>
          <w:sz w:val="28"/>
          <w:szCs w:val="28"/>
          <w:lang w:eastAsia="zh-CN"/>
        </w:rPr>
        <w:t>（</w:t>
      </w:r>
      <w:r>
        <w:rPr>
          <w:sz w:val="28"/>
          <w:szCs w:val="28"/>
        </w:rPr>
        <w:fldChar w:fldCharType="begin"/>
      </w:r>
      <w:r>
        <w:rPr>
          <w:sz w:val="28"/>
          <w:szCs w:val="28"/>
        </w:rPr>
        <w:instrText xml:space="preserve"> HYPERLINK "http://www.ccgp-shaanxi.gov.cn/zcdservice/zcd/shanxi/" </w:instrText>
      </w:r>
      <w:r>
        <w:rPr>
          <w:sz w:val="28"/>
          <w:szCs w:val="28"/>
        </w:rPr>
        <w:fldChar w:fldCharType="separate"/>
      </w:r>
      <w:r>
        <w:rPr>
          <w:rFonts w:hint="eastAsia" w:ascii="华文仿宋" w:hAnsi="华文仿宋" w:cs="华文仿宋"/>
          <w:kern w:val="0"/>
          <w:sz w:val="28"/>
          <w:szCs w:val="28"/>
        </w:rPr>
        <w:t>陕西省政府采购信用融资平台</w:t>
      </w:r>
      <w:r>
        <w:rPr>
          <w:rFonts w:hint="eastAsia" w:ascii="华文仿宋" w:hAnsi="华文仿宋" w:cs="华文仿宋"/>
          <w:kern w:val="0"/>
          <w:sz w:val="28"/>
          <w:szCs w:val="28"/>
        </w:rPr>
        <w:fldChar w:fldCharType="end"/>
      </w:r>
      <w:r>
        <w:rPr>
          <w:rFonts w:hint="eastAsia" w:ascii="华文仿宋" w:hAnsi="华文仿宋" w:cs="华文仿宋"/>
          <w:kern w:val="0"/>
          <w:sz w:val="28"/>
          <w:szCs w:val="28"/>
        </w:rPr>
        <w:t>：</w:t>
      </w:r>
      <w:r>
        <w:rPr>
          <w:rFonts w:hint="eastAsia" w:ascii="华文仿宋" w:hAnsi="华文仿宋" w:cs="华文仿宋"/>
          <w:kern w:val="0"/>
          <w:sz w:val="28"/>
          <w:szCs w:val="28"/>
        </w:rPr>
        <w:fldChar w:fldCharType="begin"/>
      </w:r>
      <w:r>
        <w:rPr>
          <w:rFonts w:hint="eastAsia" w:ascii="华文仿宋" w:hAnsi="华文仿宋" w:cs="华文仿宋"/>
          <w:kern w:val="0"/>
          <w:sz w:val="28"/>
          <w:szCs w:val="28"/>
        </w:rPr>
        <w:instrText xml:space="preserve"> HYPERLINK "http://www.ccgp-shaanxi.gov.cn/zcdservice/zcd/shanxi/）" </w:instrText>
      </w:r>
      <w:r>
        <w:rPr>
          <w:rFonts w:hint="eastAsia" w:ascii="华文仿宋" w:hAnsi="华文仿宋" w:cs="华文仿宋"/>
          <w:kern w:val="0"/>
          <w:sz w:val="28"/>
          <w:szCs w:val="28"/>
        </w:rPr>
        <w:fldChar w:fldCharType="separate"/>
      </w:r>
      <w:r>
        <w:rPr>
          <w:rStyle w:val="25"/>
          <w:rFonts w:hint="eastAsia" w:ascii="华文仿宋" w:hAnsi="华文仿宋" w:cs="华文仿宋"/>
          <w:kern w:val="0"/>
          <w:sz w:val="28"/>
          <w:szCs w:val="28"/>
        </w:rPr>
        <w:t>http://www.ccgp-shaanxi.gov.cn/zcdservice/zcd/shanxi/）</w:t>
      </w:r>
      <w:r>
        <w:rPr>
          <w:rFonts w:hint="eastAsia" w:ascii="华文仿宋" w:hAnsi="华文仿宋" w:cs="华文仿宋"/>
          <w:kern w:val="0"/>
          <w:sz w:val="28"/>
          <w:szCs w:val="28"/>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10.根据财政部《关于推动解决政府采购异常低价问题的通知》（财库〔2026〕2号）有关要求，（一）政府采购评审中出现下列情形之一的，评审委员会应当启动异常低价投标（响应）审查程序：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相关法律法规对供应商报价有规定的，从其规定。</w:t>
      </w:r>
    </w:p>
    <w:p w14:paraId="4B7DDAEF">
      <w:pPr>
        <w:pStyle w:val="15"/>
        <w:keepNext w:val="0"/>
        <w:keepLines w:val="0"/>
        <w:pageBreakBefore w:val="0"/>
        <w:widowControl/>
        <w:numPr>
          <w:ilvl w:val="0"/>
          <w:numId w:val="4"/>
        </w:numPr>
        <w:kinsoku/>
        <w:wordWrap/>
        <w:overflowPunct/>
        <w:topLinePunct w:val="0"/>
        <w:autoSpaceDE/>
        <w:autoSpaceDN/>
        <w:bidi w:val="0"/>
        <w:adjustRightInd/>
        <w:snapToGrid/>
        <w:spacing w:line="440" w:lineRule="exact"/>
        <w:ind w:left="0" w:leftChars="0" w:firstLine="849" w:firstLineChars="3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041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6" w:firstLineChars="20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BAD4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1EEE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2436D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9"/>
        <w:spacing w:line="500" w:lineRule="exact"/>
        <w:ind w:firstLine="566"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企业采购的采购项目，因此，不再执行价格评审优惠扶持政策。</w:t>
      </w:r>
    </w:p>
    <w:p w14:paraId="07821BCA">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3240"/>
      <w:bookmarkStart w:id="82" w:name="_Toc22637"/>
      <w:bookmarkStart w:id="83" w:name="_Toc21288_WPSOffice_Level2"/>
      <w:bookmarkStart w:id="84" w:name="_Toc3222"/>
      <w:bookmarkStart w:id="85" w:name="_Toc17240_WPSOffice_Level2"/>
      <w:bookmarkStart w:id="86" w:name="_Toc16980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9768_WPSOffice_Level2"/>
      <w:bookmarkStart w:id="88" w:name="_Toc13064"/>
      <w:bookmarkStart w:id="89" w:name="_Toc30415"/>
      <w:bookmarkStart w:id="90" w:name="_Toc20873_WPSOffice_Level2"/>
      <w:bookmarkStart w:id="91" w:name="_Toc22501_WPSOffice_Level2"/>
      <w:bookmarkStart w:id="92" w:name="_Toc15996"/>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11009"/>
      <w:bookmarkStart w:id="94" w:name="_Toc14959_WPSOffice_Level2"/>
      <w:bookmarkStart w:id="95" w:name="_Toc20041_WPSOffice_Level2"/>
      <w:bookmarkStart w:id="96" w:name="_Toc14979"/>
      <w:bookmarkStart w:id="97" w:name="_Toc29669_WPSOffice_Level2"/>
      <w:bookmarkStart w:id="98" w:name="_Toc23179"/>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6"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1FFCBBC3">
      <w:pPr>
        <w:spacing w:line="500" w:lineRule="exact"/>
        <w:ind w:firstLine="566"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6" w:firstLineChars="200"/>
        <w:rPr>
          <w:rFonts w:ascii="仿宋" w:hAnsi="仿宋" w:eastAsia="仿宋" w:cs="仿宋"/>
          <w:b/>
          <w:color w:val="000000"/>
        </w:rPr>
      </w:pPr>
      <w:bookmarkStart w:id="102" w:name="_Toc15608"/>
      <w:bookmarkStart w:id="103" w:name="_Toc6095"/>
      <w:bookmarkStart w:id="104" w:name="_Toc2446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7022"/>
      <w:bookmarkStart w:id="106" w:name="_Toc6837"/>
      <w:bookmarkStart w:id="107" w:name="_Toc10744"/>
      <w:bookmarkStart w:id="108" w:name="_Toc595"/>
      <w:bookmarkStart w:id="109" w:name="_Toc2805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6"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6"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6"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5"/>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6"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6"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8460"/>
      <w:bookmarkStart w:id="112" w:name="_Toc20183"/>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485D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330E3D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8</w:t>
            </w:r>
          </w:p>
        </w:tc>
        <w:tc>
          <w:tcPr>
            <w:tcW w:w="1863" w:type="dxa"/>
            <w:vAlign w:val="center"/>
          </w:tcPr>
          <w:p w14:paraId="6FBA7542">
            <w:pPr>
              <w:spacing w:line="240" w:lineRule="auto"/>
              <w:jc w:val="center"/>
              <w:rPr>
                <w:rFonts w:hint="eastAsia" w:ascii="华文仿宋" w:hAnsi="华文仿宋" w:eastAsia="华文仿宋" w:cs="华文仿宋"/>
                <w:color w:val="000000"/>
                <w:kern w:val="28"/>
                <w:sz w:val="24"/>
                <w:szCs w:val="24"/>
                <w:lang w:val="en-US" w:eastAsia="zh-CN"/>
              </w:rPr>
            </w:pPr>
            <w:r>
              <w:rPr>
                <w:rFonts w:hint="eastAsia" w:ascii="华文仿宋" w:hAnsi="华文仿宋" w:cs="华文仿宋"/>
                <w:color w:val="000000"/>
                <w:kern w:val="28"/>
                <w:sz w:val="24"/>
                <w:szCs w:val="24"/>
                <w:lang w:val="en-US" w:eastAsia="zh-CN"/>
              </w:rPr>
              <w:t>特定资格要求</w:t>
            </w:r>
          </w:p>
        </w:tc>
        <w:tc>
          <w:tcPr>
            <w:tcW w:w="4565" w:type="dxa"/>
            <w:vAlign w:val="center"/>
          </w:tcPr>
          <w:p w14:paraId="7545E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供应商须</w:t>
            </w:r>
            <w:r>
              <w:rPr>
                <w:rFonts w:hint="eastAsia" w:ascii="华文仿宋" w:hAnsi="华文仿宋" w:cs="华文仿宋"/>
                <w:color w:val="000000"/>
                <w:kern w:val="28"/>
                <w:sz w:val="24"/>
                <w:szCs w:val="24"/>
                <w:lang w:eastAsia="zh-CN"/>
              </w:rPr>
              <w:t>提供</w:t>
            </w:r>
            <w:r>
              <w:rPr>
                <w:rFonts w:hint="eastAsia" w:ascii="华文仿宋" w:hAnsi="华文仿宋" w:eastAsia="华文仿宋" w:cs="华文仿宋"/>
                <w:color w:val="000000"/>
                <w:kern w:val="28"/>
                <w:sz w:val="24"/>
                <w:szCs w:val="24"/>
              </w:rPr>
              <w:t>有效的食品经营许可证或食品生产许可证或食品经营许可备案登记证或省级部门生鲜肉经营备案表（肉类）（原件或加盖投标人红色公章的复印件）。</w:t>
            </w:r>
          </w:p>
        </w:tc>
        <w:tc>
          <w:tcPr>
            <w:tcW w:w="726" w:type="dxa"/>
            <w:vAlign w:val="center"/>
          </w:tcPr>
          <w:p w14:paraId="51D2EF2B">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CEFC017">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6A2CE8B7">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其他未列明行业</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6"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6"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50E517D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797"/>
      <w:bookmarkStart w:id="120" w:name="_Toc9626"/>
      <w:bookmarkStart w:id="121" w:name="_Toc27187"/>
      <w:bookmarkStart w:id="122" w:name="_Toc2392"/>
      <w:r>
        <w:rPr>
          <w:rFonts w:hint="eastAsia" w:ascii="华文仿宋" w:hAnsi="华文仿宋" w:cs="华文仿宋"/>
          <w:color w:val="000000"/>
        </w:rPr>
        <w:t>。</w:t>
      </w:r>
      <w:r>
        <w:rPr>
          <w:rFonts w:hint="eastAsia" w:ascii="华文仿宋" w:hAnsi="华文仿宋" w:eastAsia="华文仿宋" w:cs="华文仿宋"/>
          <w:color w:val="000000"/>
          <w:sz w:val="28"/>
          <w:szCs w:val="28"/>
          <w:lang w:val="en-US" w:eastAsia="zh-CN"/>
        </w:rPr>
        <w:t>评定内容及打分标准：总分100分，每个响应人每项评分因素得分汇</w:t>
      </w:r>
      <w:r>
        <w:rPr>
          <w:rFonts w:hint="eastAsia" w:ascii="华文仿宋" w:hAnsi="华文仿宋" w:cs="华文仿宋"/>
          <w:color w:val="000000"/>
          <w:lang w:val="en-US" w:eastAsia="zh-CN"/>
        </w:rPr>
        <w:t>总即为最后得分，各项评分因素具体内容及打分标准如下：</w:t>
      </w:r>
    </w:p>
    <w:bookmarkEnd w:id="119"/>
    <w:bookmarkEnd w:id="120"/>
    <w:bookmarkEnd w:id="121"/>
    <w:bookmarkEnd w:id="122"/>
    <w:tbl>
      <w:tblPr>
        <w:tblStyle w:val="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1522"/>
        <w:gridCol w:w="6810"/>
      </w:tblGrid>
      <w:tr w14:paraId="406C6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514" w:type="pct"/>
            <w:noWrap w:val="0"/>
            <w:vAlign w:val="top"/>
          </w:tcPr>
          <w:p w14:paraId="59A9F3D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名称</w:t>
            </w:r>
          </w:p>
        </w:tc>
        <w:tc>
          <w:tcPr>
            <w:tcW w:w="819" w:type="pct"/>
            <w:noWrap w:val="0"/>
            <w:vAlign w:val="top"/>
          </w:tcPr>
          <w:p w14:paraId="635B4AD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最高分值</w:t>
            </w:r>
          </w:p>
        </w:tc>
        <w:tc>
          <w:tcPr>
            <w:tcW w:w="3665" w:type="pct"/>
            <w:noWrap w:val="0"/>
            <w:vAlign w:val="top"/>
          </w:tcPr>
          <w:p w14:paraId="6B6618A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评审要素</w:t>
            </w:r>
          </w:p>
        </w:tc>
      </w:tr>
      <w:tr w14:paraId="12FF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6A09EEB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cs="华文仿宋"/>
                <w:sz w:val="28"/>
                <w:szCs w:val="28"/>
                <w:lang w:val="en-US" w:eastAsia="zh-CN"/>
              </w:rPr>
            </w:pPr>
          </w:p>
          <w:p w14:paraId="403F118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磋商</w:t>
            </w:r>
            <w:r>
              <w:rPr>
                <w:rFonts w:hint="eastAsia" w:ascii="华文仿宋" w:hAnsi="华文仿宋" w:eastAsia="华文仿宋" w:cs="华文仿宋"/>
                <w:sz w:val="28"/>
                <w:szCs w:val="28"/>
                <w:lang w:val="en-US" w:eastAsia="zh-CN"/>
              </w:rPr>
              <w:t>报价</w:t>
            </w:r>
          </w:p>
        </w:tc>
        <w:tc>
          <w:tcPr>
            <w:tcW w:w="819" w:type="pct"/>
            <w:noWrap w:val="0"/>
            <w:vAlign w:val="top"/>
          </w:tcPr>
          <w:p w14:paraId="4910A760">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5CB6EB8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14分</w:t>
            </w:r>
          </w:p>
        </w:tc>
        <w:tc>
          <w:tcPr>
            <w:tcW w:w="3665" w:type="pct"/>
            <w:noWrap w:val="0"/>
            <w:vAlign w:val="top"/>
          </w:tcPr>
          <w:p w14:paraId="249BCE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满足磋商文件要求且最后报价最低的供应商的价格为磋商基准价，其价格分为满分14分；其他各供应商的最后磋商报价得分按下列公式计算：投标报价得分=（投标基准价／投标报价）×价格权值×100。</w:t>
            </w:r>
          </w:p>
        </w:tc>
      </w:tr>
      <w:tr w14:paraId="447C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1FADBE2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C32BE3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4E00212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3075FA1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48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4BABF6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40C5A5D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总体服务方案</w:t>
            </w:r>
          </w:p>
        </w:tc>
        <w:tc>
          <w:tcPr>
            <w:tcW w:w="819" w:type="pct"/>
            <w:noWrap w:val="0"/>
            <w:vAlign w:val="top"/>
          </w:tcPr>
          <w:p w14:paraId="709CBD2E">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1E069D0E">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4A572D56">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1E075EA8">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7E52854C">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2E9ADBFE">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12019C16">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2BFA279F">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7.5分</w:t>
            </w:r>
          </w:p>
        </w:tc>
        <w:tc>
          <w:tcPr>
            <w:tcW w:w="3665" w:type="pct"/>
            <w:noWrap w:val="0"/>
            <w:vAlign w:val="top"/>
          </w:tcPr>
          <w:p w14:paraId="7DADB9D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0C8727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提出针对本项目的总体服务方案，方案内容包含：①项目实施计划；②供货计划安排；③食材保管方案；④配送服务方案；⑤退、换货方案。</w:t>
            </w:r>
          </w:p>
          <w:p w14:paraId="7AE165B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061C22C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完整性：方案须全面，对评审内容中的各项要求有详细描述；</w:t>
            </w:r>
          </w:p>
          <w:p w14:paraId="1F6E7F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可实施性：切合本项目实际情况，实施步骤清晰、合理；</w:t>
            </w:r>
          </w:p>
          <w:p w14:paraId="3A733C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针对性：方案能够紧扣项目实际情况，内容科学合理。</w:t>
            </w:r>
          </w:p>
          <w:p w14:paraId="79A80E2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三、赋分标准（满分7.5分）</w:t>
            </w:r>
          </w:p>
          <w:p w14:paraId="58CEEF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①项目实施计划：每完全满足一项评审标准得0.5分，满分1.5分；</w:t>
            </w:r>
          </w:p>
          <w:p w14:paraId="3FC8075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②供货计划安排：每完全满足一项评审标准得0.5分，满分1.5分；</w:t>
            </w:r>
          </w:p>
          <w:p w14:paraId="67686F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③食材保管方案：每完全满足一项评审标准得0.5分，满分1.5分；</w:t>
            </w:r>
          </w:p>
          <w:p w14:paraId="397EAF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4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④</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配送服务方案：每完全满足一项评审标准得0.5分，满分1.5分；</w:t>
            </w:r>
          </w:p>
          <w:p w14:paraId="5F5F0CF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5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⑤</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退、换货方案：每完全满足一项评审标准得0.5分，满分1.5分</w:t>
            </w:r>
            <w:r>
              <w:rPr>
                <w:rFonts w:hint="eastAsia" w:ascii="华文仿宋" w:hAnsi="华文仿宋" w:cs="华文仿宋"/>
                <w:sz w:val="28"/>
                <w:szCs w:val="28"/>
                <w:lang w:val="en-US" w:eastAsia="zh-CN"/>
              </w:rPr>
              <w:t>。</w:t>
            </w:r>
          </w:p>
        </w:tc>
      </w:tr>
      <w:tr w14:paraId="6A6B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545B56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3E99603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525EBD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2D21437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p>
          <w:p w14:paraId="77A8004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p>
          <w:p w14:paraId="350BDD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食品原材料仓储方案及能力</w:t>
            </w:r>
          </w:p>
        </w:tc>
        <w:tc>
          <w:tcPr>
            <w:tcW w:w="819" w:type="pct"/>
            <w:noWrap w:val="0"/>
            <w:vAlign w:val="top"/>
          </w:tcPr>
          <w:p w14:paraId="57A2D1B0">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67A4225B">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7EBBC24D">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2BD1F15">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142686BA">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45F76954">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13C17998">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1F6AE95E">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7351F72D">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9分</w:t>
            </w:r>
          </w:p>
        </w:tc>
        <w:tc>
          <w:tcPr>
            <w:tcW w:w="3665" w:type="pct"/>
            <w:noWrap w:val="0"/>
            <w:vAlign w:val="top"/>
          </w:tcPr>
          <w:p w14:paraId="27A5486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00777D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针对本项目提供食品原材料仓储方案，方案内容包含：①仓储场地、设备及设施条件；②仓储场地、设备及设施条件证明材料。</w:t>
            </w:r>
          </w:p>
          <w:p w14:paraId="0E850D1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781D7E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完整性：方案须全面，对评审内容中的各项要求有详细描述；</w:t>
            </w:r>
          </w:p>
          <w:p w14:paraId="17D3532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可实施性：切合本项目实际情况，实施步骤清晰、合理；</w:t>
            </w:r>
          </w:p>
          <w:p w14:paraId="21E13B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针对性：方案能够紧扣项目实际情况，内容科学合理。</w:t>
            </w:r>
          </w:p>
          <w:p w14:paraId="626B808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三、赋分标准（满分9分）</w:t>
            </w:r>
          </w:p>
          <w:p w14:paraId="620A636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①仓储场地、设备及设施条件：每完全满足一项评审标准得1.5分，满分4.5分；</w:t>
            </w:r>
          </w:p>
          <w:p w14:paraId="45D92B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②仓储场地、设备及设施条件证明材料：每完全满足一项评审标准得1.5分，满分4.5分。</w:t>
            </w:r>
          </w:p>
        </w:tc>
      </w:tr>
      <w:tr w14:paraId="7F27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7945FD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6B22D51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55F0B14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017737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B4CAFD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食品质量源头与采购管控方案</w:t>
            </w:r>
          </w:p>
        </w:tc>
        <w:tc>
          <w:tcPr>
            <w:tcW w:w="819" w:type="pct"/>
            <w:noWrap w:val="0"/>
            <w:vAlign w:val="top"/>
          </w:tcPr>
          <w:p w14:paraId="5DAA709A">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6B8CFEFA">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6E56CDE">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7545ABE3">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6B4DA06B">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B4D99F1">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7A2B81FB">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67C7783">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9分</w:t>
            </w:r>
          </w:p>
        </w:tc>
        <w:tc>
          <w:tcPr>
            <w:tcW w:w="3665" w:type="pct"/>
            <w:noWrap w:val="0"/>
            <w:vAlign w:val="top"/>
          </w:tcPr>
          <w:p w14:paraId="5F39CBC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3AD7E5D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针对本项目提出食品质量源头与采购管控方案，方案内容包含：①食材原料来源质量控制方案；②供货渠道保障（提供拟配送产品的来源渠道合法证明文件）。</w:t>
            </w:r>
          </w:p>
          <w:p w14:paraId="548AC39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352BA7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完整性：方案须全面，对评审内容中的各项要求有详细描述；</w:t>
            </w:r>
          </w:p>
          <w:p w14:paraId="5858D0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可实施性：切合本项目实际情况，实施步骤清晰、合理；</w:t>
            </w:r>
          </w:p>
          <w:p w14:paraId="4F540DF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针对性：方案能够紧扣项目实际情况，内容科学合理。</w:t>
            </w:r>
          </w:p>
          <w:p w14:paraId="3706F3E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三、赋分标准（满分9分）</w:t>
            </w:r>
          </w:p>
          <w:p w14:paraId="569350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①食材原料来源质量控制方案：每完全满足一项评审标准得1.5分，满分4.5分；</w:t>
            </w:r>
          </w:p>
          <w:p w14:paraId="2A577FC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②供货渠道保障：每完全满足一项评审标准得1.5分，满分4.5分。</w:t>
            </w:r>
          </w:p>
        </w:tc>
      </w:tr>
      <w:tr w14:paraId="0E21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3C1AD1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035D965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6385176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554D747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087463C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41CDEE9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324E8B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食品质量过程与安全管控方案</w:t>
            </w:r>
          </w:p>
        </w:tc>
        <w:tc>
          <w:tcPr>
            <w:tcW w:w="819" w:type="pct"/>
            <w:noWrap w:val="0"/>
            <w:vAlign w:val="top"/>
          </w:tcPr>
          <w:p w14:paraId="0FE01C17">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25147BFE">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04D62DC1">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19F1CE96">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210C7561">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155E0A0D">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7ED007EE">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76DDEE1F">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12分</w:t>
            </w:r>
          </w:p>
        </w:tc>
        <w:tc>
          <w:tcPr>
            <w:tcW w:w="3665" w:type="pct"/>
            <w:noWrap w:val="0"/>
            <w:vAlign w:val="top"/>
          </w:tcPr>
          <w:p w14:paraId="3E784E5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72161AE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针对本项目提出食品质量过程与安全管控方案，方案内容包含：①生产加工环节质量控制方案；②验收保管信息收集处理；③服务期间的食品安全保证措施；④卫生管理方案。</w:t>
            </w:r>
          </w:p>
          <w:p w14:paraId="38D082C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58D39EF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kern w:val="2"/>
                <w:sz w:val="28"/>
                <w:szCs w:val="28"/>
                <w:lang w:val="en-US" w:eastAsia="zh-CN" w:bidi="ar-SA"/>
              </w:rPr>
              <w:t>1</w:t>
            </w:r>
            <w:r>
              <w:rPr>
                <w:rFonts w:hint="eastAsia" w:ascii="华文仿宋" w:hAnsi="华文仿宋" w:cs="华文仿宋"/>
                <w:kern w:val="2"/>
                <w:sz w:val="28"/>
                <w:szCs w:val="28"/>
                <w:lang w:val="en-US" w:eastAsia="zh-CN" w:bidi="ar-SA"/>
              </w:rPr>
              <w:t>.</w:t>
            </w:r>
            <w:r>
              <w:rPr>
                <w:rFonts w:hint="eastAsia" w:ascii="华文仿宋" w:hAnsi="华文仿宋" w:eastAsia="华文仿宋" w:cs="华文仿宋"/>
                <w:sz w:val="28"/>
                <w:szCs w:val="28"/>
                <w:lang w:val="en-US" w:eastAsia="zh-CN"/>
              </w:rPr>
              <w:t>完整性：方案须全面，对评审内容中的各项要求有详细描述；</w:t>
            </w:r>
          </w:p>
          <w:p w14:paraId="551FBF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kern w:val="2"/>
                <w:sz w:val="28"/>
                <w:szCs w:val="28"/>
                <w:lang w:val="en-US" w:eastAsia="zh-CN" w:bidi="ar-SA"/>
              </w:rPr>
              <w:t>2</w:t>
            </w:r>
            <w:r>
              <w:rPr>
                <w:rFonts w:hint="eastAsia" w:ascii="华文仿宋" w:hAnsi="华文仿宋" w:cs="华文仿宋"/>
                <w:kern w:val="2"/>
                <w:sz w:val="28"/>
                <w:szCs w:val="28"/>
                <w:lang w:val="en-US" w:eastAsia="zh-CN" w:bidi="ar-SA"/>
              </w:rPr>
              <w:t>.</w:t>
            </w:r>
            <w:r>
              <w:rPr>
                <w:rFonts w:hint="eastAsia" w:ascii="华文仿宋" w:hAnsi="华文仿宋" w:eastAsia="华文仿宋" w:cs="华文仿宋"/>
                <w:sz w:val="28"/>
                <w:szCs w:val="28"/>
                <w:lang w:val="en-US" w:eastAsia="zh-CN"/>
              </w:rPr>
              <w:t>可实施性：切合本项目实际情况，实施步骤清晰、合理；</w:t>
            </w:r>
          </w:p>
          <w:p w14:paraId="5ACFD7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kern w:val="2"/>
                <w:sz w:val="28"/>
                <w:szCs w:val="28"/>
                <w:lang w:val="en-US" w:eastAsia="zh-CN" w:bidi="ar-SA"/>
              </w:rPr>
              <w:t>3</w:t>
            </w:r>
            <w:r>
              <w:rPr>
                <w:rFonts w:hint="eastAsia" w:ascii="华文仿宋" w:hAnsi="华文仿宋" w:cs="华文仿宋"/>
                <w:kern w:val="2"/>
                <w:sz w:val="28"/>
                <w:szCs w:val="28"/>
                <w:lang w:val="en-US" w:eastAsia="zh-CN" w:bidi="ar-SA"/>
              </w:rPr>
              <w:t>.</w:t>
            </w:r>
            <w:r>
              <w:rPr>
                <w:rFonts w:hint="eastAsia" w:ascii="华文仿宋" w:hAnsi="华文仿宋" w:eastAsia="华文仿宋" w:cs="华文仿宋"/>
                <w:sz w:val="28"/>
                <w:szCs w:val="28"/>
                <w:lang w:val="en-US" w:eastAsia="zh-CN"/>
              </w:rPr>
              <w:t>针对性：方案能够紧扣项目实际情况，内容科学合理。</w:t>
            </w:r>
          </w:p>
          <w:p w14:paraId="588743F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三、赋分标准（满分12分）</w:t>
            </w:r>
          </w:p>
          <w:p w14:paraId="5D21A7A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①生产加工环节质量控制方案：每完全满足一项评审标准得1分，满分3分；</w:t>
            </w:r>
          </w:p>
          <w:p w14:paraId="1AD32D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②验收保管信息收集处理：每完全满足一项评审标准得1分，满分3分；</w:t>
            </w:r>
          </w:p>
          <w:p w14:paraId="5F9BA36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③服务期间的食品安全保证措施：每完全满足一项评审标准得1分，满分3分；</w:t>
            </w:r>
          </w:p>
          <w:p w14:paraId="16838B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④卫生管理方案：每完全满足一项评审标准得1分，满分3分。</w:t>
            </w:r>
          </w:p>
        </w:tc>
      </w:tr>
      <w:tr w14:paraId="38932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5C22750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   </w:t>
            </w:r>
          </w:p>
          <w:p w14:paraId="3DD1349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44D878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2C5A361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273868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1A96448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93205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202C82E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安全事故应急方案</w:t>
            </w:r>
          </w:p>
        </w:tc>
        <w:tc>
          <w:tcPr>
            <w:tcW w:w="819" w:type="pct"/>
            <w:noWrap w:val="0"/>
            <w:vAlign w:val="top"/>
          </w:tcPr>
          <w:p w14:paraId="62B6C5FD">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          </w:t>
            </w:r>
          </w:p>
          <w:p w14:paraId="0FD0F041">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5530672F">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4437584A">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7A7399BC">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5A4D66A7">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2D793892">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4B3AF3B3">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7DACAE0E">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9分</w:t>
            </w:r>
          </w:p>
        </w:tc>
        <w:tc>
          <w:tcPr>
            <w:tcW w:w="3665" w:type="pct"/>
            <w:noWrap w:val="0"/>
            <w:vAlign w:val="top"/>
          </w:tcPr>
          <w:p w14:paraId="739035A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114C34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针对本项目的安全事故应急方案，方案内容包含：①食品配送安全防护方案；②若发生食物中毒或者其他潜在造成人员健康问题的安全事故的应急方案。</w:t>
            </w:r>
          </w:p>
          <w:p w14:paraId="0E5597A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w:t>
            </w:r>
            <w:r>
              <w:rPr>
                <w:rFonts w:hint="eastAsia" w:ascii="华文仿宋" w:hAnsi="华文仿宋" w:cs="华文仿宋"/>
                <w:b/>
                <w:bCs/>
                <w:sz w:val="28"/>
                <w:szCs w:val="28"/>
                <w:lang w:val="en-US" w:eastAsia="zh-CN"/>
              </w:rPr>
              <w:t>、</w:t>
            </w:r>
            <w:r>
              <w:rPr>
                <w:rFonts w:hint="eastAsia" w:ascii="华文仿宋" w:hAnsi="华文仿宋" w:eastAsia="华文仿宋" w:cs="华文仿宋"/>
                <w:b/>
                <w:bCs/>
                <w:sz w:val="28"/>
                <w:szCs w:val="28"/>
                <w:lang w:val="en-US" w:eastAsia="zh-CN"/>
              </w:rPr>
              <w:t>评审标准</w:t>
            </w:r>
          </w:p>
          <w:p w14:paraId="49F6C5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完整性：方案须全面，对评审内容中的各项要求有详细描述；</w:t>
            </w:r>
          </w:p>
          <w:p w14:paraId="4BF5FE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可实施性：切合本项目实际情况，实施步骤清晰、合理；</w:t>
            </w:r>
          </w:p>
          <w:p w14:paraId="62423D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针对性：方案能够紧扣项目实际情况，内容科学合理。</w:t>
            </w:r>
          </w:p>
          <w:p w14:paraId="144BEC4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三、赋分标准（满分9分）</w:t>
            </w:r>
          </w:p>
          <w:p w14:paraId="50B54C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①食品配送安全防护方案：每完全满足一项评审标准得1.5分，满分4.5分；</w:t>
            </w:r>
          </w:p>
          <w:p w14:paraId="2F86081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②食品安全事故应急方案：每完全满足一项评审标准得1.5分，满分4.5分。</w:t>
            </w:r>
          </w:p>
        </w:tc>
      </w:tr>
      <w:tr w14:paraId="78D3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000881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1B070E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1156FA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00DE31D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常规配送及应急配送方案</w:t>
            </w:r>
          </w:p>
        </w:tc>
        <w:tc>
          <w:tcPr>
            <w:tcW w:w="819" w:type="pct"/>
            <w:noWrap w:val="0"/>
            <w:vAlign w:val="top"/>
          </w:tcPr>
          <w:p w14:paraId="69892CEE">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1202C710">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037E5221">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437BF9D5">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7A4EE2B">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145154A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13.5分</w:t>
            </w:r>
          </w:p>
        </w:tc>
        <w:tc>
          <w:tcPr>
            <w:tcW w:w="3665" w:type="pct"/>
            <w:noWrap w:val="0"/>
            <w:vAlign w:val="top"/>
          </w:tcPr>
          <w:p w14:paraId="45083D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33CB67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针对本项目的常规配送及应急配送方案，方案内容包含：①常规配送时效；②配送车辆；③配送人员；④针对采购人临时增加采购需求；</w:t>
            </w: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5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⑤</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恶劣天气影响；</w:t>
            </w: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6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⑥</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交通延误；</w:t>
            </w: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7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⑦</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重大节假日或活动等特殊情况。</w:t>
            </w:r>
          </w:p>
          <w:p w14:paraId="64E3BB1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4594F2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完整性：方案须全面，对评审内容中的各项要求有详细描述；</w:t>
            </w:r>
          </w:p>
          <w:p w14:paraId="1E26397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可实施性：切合本项目实际情况，实施步骤清晰、合理；</w:t>
            </w:r>
          </w:p>
          <w:p w14:paraId="3576C3A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针对性：方案能够紧扣项目实际情况，内容科学合理。</w:t>
            </w:r>
          </w:p>
          <w:p w14:paraId="4DE9982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三、赋分标准（满分13.5分）</w:t>
            </w:r>
          </w:p>
          <w:p w14:paraId="3459FD4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①常规配送时效：每完全满足一项评审标准得1分，满分3分；</w:t>
            </w:r>
          </w:p>
          <w:p w14:paraId="028DE6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②配送车辆：每完全满足一项评审标准得1分，满分3分；</w:t>
            </w:r>
          </w:p>
          <w:p w14:paraId="416216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③配送人员：每完全满足一项评审标准得0.5分，满分1.5分；</w:t>
            </w:r>
          </w:p>
          <w:p w14:paraId="2E8904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④针对采购人临时增加采购需求：每完全满足一项评审标准得0.5分，满分1.5分；</w:t>
            </w:r>
          </w:p>
          <w:p w14:paraId="123046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5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⑤</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恶劣天气影响：每完全满足一项评审标准得0.5分，满分1.5分；</w:t>
            </w:r>
          </w:p>
          <w:p w14:paraId="236AF1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6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⑥</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交通延误：每完全满足一项评审标准得0.5分，满分1.5分；</w:t>
            </w:r>
          </w:p>
          <w:p w14:paraId="15911B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fldChar w:fldCharType="begin"/>
            </w:r>
            <w:r>
              <w:rPr>
                <w:rFonts w:hint="eastAsia" w:ascii="华文仿宋" w:hAnsi="华文仿宋" w:eastAsia="华文仿宋" w:cs="华文仿宋"/>
                <w:sz w:val="28"/>
                <w:szCs w:val="28"/>
                <w:lang w:val="en-US" w:eastAsia="zh-CN"/>
              </w:rPr>
              <w:instrText xml:space="preserve"> = 7 \* GB3 \* MERGEFORMAT </w:instrText>
            </w:r>
            <w:r>
              <w:rPr>
                <w:rFonts w:hint="eastAsia" w:ascii="华文仿宋" w:hAnsi="华文仿宋" w:eastAsia="华文仿宋" w:cs="华文仿宋"/>
                <w:sz w:val="28"/>
                <w:szCs w:val="28"/>
                <w:lang w:val="en-US" w:eastAsia="zh-CN"/>
              </w:rPr>
              <w:fldChar w:fldCharType="separate"/>
            </w:r>
            <w:r>
              <w:rPr>
                <w:rFonts w:hint="eastAsia" w:ascii="华文仿宋" w:hAnsi="华文仿宋" w:eastAsia="华文仿宋" w:cs="华文仿宋"/>
                <w:sz w:val="28"/>
                <w:szCs w:val="28"/>
              </w:rPr>
              <w:t>⑦</w:t>
            </w:r>
            <w:r>
              <w:rPr>
                <w:rFonts w:hint="eastAsia" w:ascii="华文仿宋" w:hAnsi="华文仿宋" w:eastAsia="华文仿宋" w:cs="华文仿宋"/>
                <w:sz w:val="28"/>
                <w:szCs w:val="28"/>
                <w:lang w:val="en-US" w:eastAsia="zh-CN"/>
              </w:rPr>
              <w:fldChar w:fldCharType="end"/>
            </w:r>
            <w:r>
              <w:rPr>
                <w:rFonts w:hint="eastAsia" w:ascii="华文仿宋" w:hAnsi="华文仿宋" w:eastAsia="华文仿宋" w:cs="华文仿宋"/>
                <w:sz w:val="28"/>
                <w:szCs w:val="28"/>
                <w:lang w:val="en-US" w:eastAsia="zh-CN"/>
              </w:rPr>
              <w:t>重大节假日或活动等特殊情况：每完全满足一项评审标准得1分，满分1.5分。</w:t>
            </w:r>
          </w:p>
        </w:tc>
      </w:tr>
      <w:tr w14:paraId="1997E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514" w:type="pct"/>
            <w:noWrap w:val="0"/>
            <w:vAlign w:val="top"/>
          </w:tcPr>
          <w:p w14:paraId="3372F6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3F6F68B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210380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6FB14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人员管理与培训方案</w:t>
            </w:r>
          </w:p>
        </w:tc>
        <w:tc>
          <w:tcPr>
            <w:tcW w:w="819" w:type="pct"/>
            <w:noWrap w:val="0"/>
            <w:vAlign w:val="top"/>
          </w:tcPr>
          <w:p w14:paraId="54958CC9">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6D048C22">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5A992D72">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7DD1D863">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4A7B3AB3">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p>
          <w:p w14:paraId="7FF32470">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6分</w:t>
            </w:r>
          </w:p>
        </w:tc>
        <w:tc>
          <w:tcPr>
            <w:tcW w:w="3665" w:type="pct"/>
            <w:noWrap w:val="0"/>
            <w:vAlign w:val="top"/>
          </w:tcPr>
          <w:p w14:paraId="4F036B9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7AC0FB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制定人员管理与培训方案，方案内容包含：①培训：包含岗前培训、定期常态化培训、食品安全与应急知识培训及针对不同岗位职责的行为规范、服务礼仪培训；②考核：针对不同岗位、制度及工作程序制定考核方案。</w:t>
            </w:r>
          </w:p>
          <w:p w14:paraId="614B95A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6EC6373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完整性：方案须全面，对评审内容中的各项要求有详细描述；</w:t>
            </w:r>
          </w:p>
          <w:p w14:paraId="0D0322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可实施性：切合本项目实际情况，实施步骤清晰、合理；</w:t>
            </w:r>
          </w:p>
          <w:p w14:paraId="2F0B70D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针对性：方案能够紧扣项目实际情况，内容科学合理。</w:t>
            </w:r>
          </w:p>
          <w:p w14:paraId="4496CE9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三、赋分标准（满分6分）</w:t>
            </w:r>
          </w:p>
          <w:p w14:paraId="1782A2F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①培训方案：每完全满足一项评审标准得1分，满分3分；</w:t>
            </w:r>
          </w:p>
          <w:p w14:paraId="325B6A7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②考核方案：每完全满足一项评审标准得1分，满分3分。</w:t>
            </w:r>
          </w:p>
        </w:tc>
      </w:tr>
      <w:tr w14:paraId="4AE4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66E59D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2DB593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526CEA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699653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95423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服务监督与考核机制</w:t>
            </w:r>
          </w:p>
        </w:tc>
        <w:tc>
          <w:tcPr>
            <w:tcW w:w="819" w:type="pct"/>
            <w:noWrap w:val="0"/>
            <w:vAlign w:val="top"/>
          </w:tcPr>
          <w:p w14:paraId="772506A4">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E78CF51">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507A48E9">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7520783C">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513DFE7F">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4B4D319E">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AA4F4A4">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462124BB">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9分</w:t>
            </w:r>
          </w:p>
        </w:tc>
        <w:tc>
          <w:tcPr>
            <w:tcW w:w="3665" w:type="pct"/>
            <w:noWrap w:val="0"/>
            <w:vAlign w:val="top"/>
          </w:tcPr>
          <w:p w14:paraId="40C0134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67A742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针对本项目提出服务监督与考核机制，内容包含：①日常监督检查制度；②服务质量考核与反馈机制；③问题整改与持续改进措施。</w:t>
            </w:r>
          </w:p>
          <w:p w14:paraId="278A356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b/>
                <w:bCs/>
                <w:sz w:val="28"/>
                <w:szCs w:val="28"/>
                <w:lang w:val="en-US" w:eastAsia="zh-CN"/>
              </w:rPr>
              <w:t>二、评审标准</w:t>
            </w:r>
          </w:p>
          <w:p w14:paraId="7782BD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kern w:val="2"/>
                <w:sz w:val="28"/>
                <w:szCs w:val="28"/>
                <w:lang w:val="en-US" w:eastAsia="zh-CN" w:bidi="ar-SA"/>
              </w:rPr>
              <w:t>1</w:t>
            </w:r>
            <w:r>
              <w:rPr>
                <w:rFonts w:hint="eastAsia" w:ascii="华文仿宋" w:hAnsi="华文仿宋" w:cs="华文仿宋"/>
                <w:kern w:val="2"/>
                <w:sz w:val="28"/>
                <w:szCs w:val="28"/>
                <w:lang w:val="en-US" w:eastAsia="zh-CN" w:bidi="ar-SA"/>
              </w:rPr>
              <w:t>.</w:t>
            </w:r>
            <w:r>
              <w:rPr>
                <w:rFonts w:hint="eastAsia" w:ascii="华文仿宋" w:hAnsi="华文仿宋" w:eastAsia="华文仿宋" w:cs="华文仿宋"/>
                <w:sz w:val="28"/>
                <w:szCs w:val="28"/>
                <w:lang w:val="en-US" w:eastAsia="zh-CN"/>
              </w:rPr>
              <w:t>完整性：方案须全面，对评审内容中的各项要求有详细描述；</w:t>
            </w:r>
          </w:p>
          <w:p w14:paraId="07F9B3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kern w:val="2"/>
                <w:sz w:val="28"/>
                <w:szCs w:val="28"/>
                <w:lang w:val="en-US" w:eastAsia="zh-CN" w:bidi="ar-SA"/>
              </w:rPr>
              <w:t>2</w:t>
            </w:r>
            <w:r>
              <w:rPr>
                <w:rFonts w:hint="eastAsia" w:ascii="华文仿宋" w:hAnsi="华文仿宋" w:cs="华文仿宋"/>
                <w:kern w:val="2"/>
                <w:sz w:val="28"/>
                <w:szCs w:val="28"/>
                <w:lang w:val="en-US" w:eastAsia="zh-CN" w:bidi="ar-SA"/>
              </w:rPr>
              <w:t>.</w:t>
            </w:r>
            <w:r>
              <w:rPr>
                <w:rFonts w:hint="eastAsia" w:ascii="华文仿宋" w:hAnsi="华文仿宋" w:eastAsia="华文仿宋" w:cs="华文仿宋"/>
                <w:sz w:val="28"/>
                <w:szCs w:val="28"/>
                <w:lang w:val="en-US" w:eastAsia="zh-CN"/>
              </w:rPr>
              <w:t>可实施性：切合本项目实际情况，实施步骤清晰、合理；</w:t>
            </w:r>
          </w:p>
          <w:p w14:paraId="12CEA4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kern w:val="2"/>
                <w:sz w:val="28"/>
                <w:szCs w:val="28"/>
                <w:lang w:val="en-US" w:eastAsia="zh-CN" w:bidi="ar-SA"/>
              </w:rPr>
              <w:t>3</w:t>
            </w:r>
            <w:r>
              <w:rPr>
                <w:rFonts w:hint="eastAsia" w:ascii="华文仿宋" w:hAnsi="华文仿宋" w:cs="华文仿宋"/>
                <w:kern w:val="2"/>
                <w:sz w:val="28"/>
                <w:szCs w:val="28"/>
                <w:lang w:val="en-US" w:eastAsia="zh-CN" w:bidi="ar-SA"/>
              </w:rPr>
              <w:t>.</w:t>
            </w:r>
            <w:r>
              <w:rPr>
                <w:rFonts w:hint="eastAsia" w:ascii="华文仿宋" w:hAnsi="华文仿宋" w:eastAsia="华文仿宋" w:cs="华文仿宋"/>
                <w:sz w:val="28"/>
                <w:szCs w:val="28"/>
                <w:lang w:val="en-US" w:eastAsia="zh-CN"/>
              </w:rPr>
              <w:t>针对性：方案能够紧扣项目实际情况，内容科学合理。</w:t>
            </w:r>
          </w:p>
          <w:p w14:paraId="385A6A1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三、赋分标准（满分9分）</w:t>
            </w:r>
          </w:p>
          <w:p w14:paraId="6925E4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①日常监督检查制度：每完全满足一项评审标准得1分，满分3分；</w:t>
            </w:r>
          </w:p>
          <w:p w14:paraId="33A956A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②服务质量考核与反馈机制：每完全满足一项评审标准得1分，满分3分；</w:t>
            </w:r>
          </w:p>
          <w:p w14:paraId="68F4F4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③问题整改与持续改进措施：每完全满足一项评审标准得1分，满分3分。</w:t>
            </w:r>
          </w:p>
        </w:tc>
      </w:tr>
      <w:tr w14:paraId="3C92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475212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619720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p>
          <w:p w14:paraId="4F70086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业绩</w:t>
            </w:r>
          </w:p>
        </w:tc>
        <w:tc>
          <w:tcPr>
            <w:tcW w:w="819" w:type="pct"/>
            <w:noWrap w:val="0"/>
            <w:vAlign w:val="top"/>
          </w:tcPr>
          <w:p w14:paraId="21D13D81">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424DBA79">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p>
          <w:p w14:paraId="4449DC0F">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5分</w:t>
            </w:r>
          </w:p>
        </w:tc>
        <w:tc>
          <w:tcPr>
            <w:tcW w:w="3665" w:type="pct"/>
            <w:noWrap w:val="0"/>
            <w:vAlign w:val="top"/>
          </w:tcPr>
          <w:p w14:paraId="6D62671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33E3F0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2023年1月1日起至今的类似项目业绩，业绩以合同扫描件或复印件为依据。</w:t>
            </w:r>
          </w:p>
          <w:p w14:paraId="331C360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50DD0D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每提供一个有效业绩得1分，满分5分。  </w:t>
            </w:r>
          </w:p>
        </w:tc>
      </w:tr>
      <w:tr w14:paraId="2F01F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14" w:type="pct"/>
            <w:noWrap w:val="0"/>
            <w:vAlign w:val="top"/>
          </w:tcPr>
          <w:p w14:paraId="043E9EE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71AD0B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2F7190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p>
          <w:p w14:paraId="169CA37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售后服务承诺</w:t>
            </w:r>
          </w:p>
        </w:tc>
        <w:tc>
          <w:tcPr>
            <w:tcW w:w="819" w:type="pct"/>
            <w:noWrap w:val="0"/>
            <w:vAlign w:val="top"/>
          </w:tcPr>
          <w:p w14:paraId="71D2C5DD">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BB58B2C">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2B7940CA">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318CD572">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center"/>
              <w:textAlignment w:val="auto"/>
              <w:rPr>
                <w:rFonts w:hint="eastAsia" w:ascii="华文仿宋" w:hAnsi="华文仿宋" w:eastAsia="华文仿宋" w:cs="华文仿宋"/>
                <w:sz w:val="28"/>
                <w:szCs w:val="28"/>
                <w:lang w:val="en-US" w:eastAsia="zh-CN"/>
              </w:rPr>
            </w:pPr>
          </w:p>
          <w:p w14:paraId="26720DA9">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6分</w:t>
            </w:r>
          </w:p>
        </w:tc>
        <w:tc>
          <w:tcPr>
            <w:tcW w:w="3665" w:type="pct"/>
            <w:noWrap w:val="0"/>
            <w:vAlign w:val="top"/>
          </w:tcPr>
          <w:p w14:paraId="3F5ECD8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一、评审内容</w:t>
            </w:r>
          </w:p>
          <w:p w14:paraId="5694BB7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针对本项目提供售后服务承诺，方案内容包含：①承诺满足采购人的配送要求及最短响应时间；②服务期内所提供产品在食品安全、质量等方面的详细服务承诺。</w:t>
            </w:r>
          </w:p>
          <w:p w14:paraId="4CEA87A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二、评审标准</w:t>
            </w:r>
          </w:p>
          <w:p w14:paraId="6ED1393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完整性：方案须全面，对评审内容中的各项要求有详细描述；</w:t>
            </w:r>
          </w:p>
          <w:p w14:paraId="08CD0D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可实施性：切合本项目实际情况，实施步骤清晰、合理；</w:t>
            </w:r>
          </w:p>
          <w:p w14:paraId="5A9D9F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针对性：方案能够紧扣项目实际情况，内容科学合理。</w:t>
            </w:r>
          </w:p>
          <w:p w14:paraId="438E63D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三、赋分标准（满分6分）</w:t>
            </w:r>
          </w:p>
          <w:p w14:paraId="0514268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①配送要求及响应时间承诺：每完全满足一项评审标准得1分，满分3分；</w:t>
            </w:r>
          </w:p>
          <w:p w14:paraId="199324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②食品安全与质量服务承诺：每完全满足一项评审标准得1分，满分3分。</w:t>
            </w:r>
          </w:p>
        </w:tc>
      </w:tr>
    </w:tbl>
    <w:p w14:paraId="230218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28384"/>
      <w:bookmarkStart w:id="124" w:name="_Toc25855"/>
      <w:bookmarkStart w:id="125" w:name="_Toc30924"/>
      <w:bookmarkStart w:id="126" w:name="_Toc22712"/>
      <w:bookmarkStart w:id="127" w:name="_Toc4670"/>
      <w:bookmarkStart w:id="128" w:name="_Toc17612"/>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 xml:space="preserve">1 </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3100"/>
      <w:bookmarkStart w:id="130" w:name="_Toc20049"/>
      <w:bookmarkStart w:id="131" w:name="_Toc31537"/>
      <w:bookmarkStart w:id="132" w:name="_Toc28870"/>
      <w:bookmarkStart w:id="133" w:name="_Toc10386"/>
      <w:bookmarkStart w:id="134" w:name="_Toc1400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3153"/>
      <w:bookmarkStart w:id="136" w:name="_Toc16965"/>
      <w:bookmarkStart w:id="137" w:name="_Toc23346"/>
      <w:bookmarkStart w:id="138" w:name="_Toc1272"/>
      <w:bookmarkStart w:id="139" w:name="_Toc864"/>
      <w:bookmarkStart w:id="140" w:name="_Toc21906"/>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7FA4C12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3DC9CB46">
      <w:pPr>
        <w:pStyle w:val="5"/>
        <w:rPr>
          <w:rFonts w:hint="eastAsia" w:ascii="华文仿宋" w:hAnsi="华文仿宋" w:cs="华文仿宋"/>
          <w:b w:val="0"/>
          <w:bCs w:val="0"/>
          <w:color w:val="000000"/>
          <w:sz w:val="28"/>
          <w:szCs w:val="28"/>
        </w:rPr>
      </w:pPr>
    </w:p>
    <w:p w14:paraId="5844F85A">
      <w:pPr>
        <w:rPr>
          <w:rFonts w:hint="eastAsia" w:ascii="华文仿宋" w:hAnsi="华文仿宋" w:cs="华文仿宋"/>
          <w:b w:val="0"/>
          <w:bCs w:val="0"/>
          <w:color w:val="000000"/>
          <w:sz w:val="28"/>
          <w:szCs w:val="28"/>
        </w:rPr>
      </w:pPr>
    </w:p>
    <w:p w14:paraId="65765FE6">
      <w:pPr>
        <w:rPr>
          <w:rFonts w:hint="eastAsia" w:ascii="华文仿宋" w:hAnsi="华文仿宋" w:cs="华文仿宋"/>
          <w:b w:val="0"/>
          <w:bCs w:val="0"/>
          <w:color w:val="000000"/>
          <w:sz w:val="28"/>
          <w:szCs w:val="28"/>
        </w:rPr>
      </w:pPr>
    </w:p>
    <w:p w14:paraId="4F8C134B">
      <w:pPr>
        <w:rPr>
          <w:rFonts w:hint="eastAsia" w:ascii="华文仿宋" w:hAnsi="华文仿宋" w:cs="华文仿宋"/>
          <w:b w:val="0"/>
          <w:bCs w:val="0"/>
          <w:color w:val="000000"/>
          <w:sz w:val="28"/>
          <w:szCs w:val="28"/>
        </w:rPr>
      </w:pPr>
    </w:p>
    <w:p w14:paraId="5B9DC863">
      <w:pPr>
        <w:pStyle w:val="2"/>
        <w:keepNext w:val="0"/>
        <w:keepLines/>
        <w:pageBreakBefore/>
        <w:widowControl/>
        <w:kinsoku/>
        <w:wordWrap/>
        <w:overflowPunct/>
        <w:topLinePunct w:val="0"/>
        <w:autoSpaceDE/>
        <w:autoSpaceDN/>
        <w:bidi w:val="0"/>
        <w:adjustRightInd/>
        <w:snapToGrid/>
        <w:spacing w:afterLines="50" w:line="500" w:lineRule="exact"/>
        <w:jc w:val="center"/>
        <w:textAlignment w:val="auto"/>
        <w:rPr>
          <w:rFonts w:ascii="黑体" w:hAnsi="黑体"/>
          <w:b w:val="0"/>
          <w:color w:val="000000"/>
          <w:szCs w:val="32"/>
        </w:rPr>
      </w:pPr>
      <w:bookmarkStart w:id="141" w:name="_Toc10476_WPSOffice_Level1"/>
      <w:bookmarkStart w:id="142" w:name="_Toc10627"/>
      <w:bookmarkStart w:id="143" w:name="_Toc24433"/>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4510BC57">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44C74C5B">
      <w:pPr>
        <w:keepNext w:val="0"/>
        <w:keepLines w:val="0"/>
        <w:pageBreakBefore w:val="0"/>
        <w:widowControl w:val="0"/>
        <w:numPr>
          <w:ilvl w:val="0"/>
          <w:numId w:val="0"/>
        </w:numPr>
        <w:kinsoku/>
        <w:wordWrap/>
        <w:overflowPunct/>
        <w:topLinePunct w:val="0"/>
        <w:autoSpaceDE w:val="0"/>
        <w:autoSpaceDN w:val="0"/>
        <w:bidi w:val="0"/>
        <w:adjustRightInd/>
        <w:snapToGrid/>
        <w:spacing w:line="600" w:lineRule="exact"/>
        <w:ind w:firstLine="566" w:firstLineChars="200"/>
        <w:jc w:val="left"/>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kern w:val="2"/>
          <w:sz w:val="28"/>
          <w:szCs w:val="28"/>
          <w:lang w:val="en-US" w:eastAsia="zh-CN" w:bidi="ar-SA"/>
        </w:rPr>
        <w:t>（一）</w:t>
      </w:r>
      <w:r>
        <w:rPr>
          <w:rFonts w:hint="eastAsia" w:ascii="华文仿宋" w:hAnsi="华文仿宋" w:eastAsia="华文仿宋" w:cs="华文仿宋"/>
          <w:b/>
          <w:bCs/>
          <w:sz w:val="28"/>
          <w:szCs w:val="28"/>
          <w:lang w:val="en-US" w:eastAsia="zh-CN"/>
        </w:rPr>
        <w:t>基本情况</w:t>
      </w:r>
    </w:p>
    <w:p w14:paraId="5DF51785">
      <w:pPr>
        <w:keepNext w:val="0"/>
        <w:keepLines w:val="0"/>
        <w:pageBreakBefore w:val="0"/>
        <w:widowControl w:val="0"/>
        <w:numPr>
          <w:ilvl w:val="0"/>
          <w:numId w:val="0"/>
        </w:numPr>
        <w:kinsoku/>
        <w:wordWrap/>
        <w:overflowPunct/>
        <w:topLinePunct w:val="0"/>
        <w:autoSpaceDE w:val="0"/>
        <w:autoSpaceDN w:val="0"/>
        <w:bidi w:val="0"/>
        <w:adjustRightInd/>
        <w:snapToGrid/>
        <w:spacing w:line="600" w:lineRule="exact"/>
        <w:ind w:firstLine="566" w:firstLineChars="200"/>
        <w:jc w:val="lef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lang w:val="en-US" w:eastAsia="zh-CN"/>
        </w:rPr>
        <w:t>延安市森林消防机动大队主副食配送服务</w:t>
      </w:r>
      <w:r>
        <w:rPr>
          <w:rFonts w:hint="eastAsia" w:ascii="华文仿宋" w:hAnsi="华文仿宋" w:eastAsia="华文仿宋" w:cs="华文仿宋"/>
          <w:sz w:val="28"/>
          <w:szCs w:val="28"/>
          <w:lang w:eastAsia="zh-CN"/>
        </w:rPr>
        <w:t>采购范围包括：</w:t>
      </w:r>
      <w:r>
        <w:rPr>
          <w:rFonts w:hint="eastAsia" w:ascii="华文仿宋" w:hAnsi="华文仿宋" w:eastAsia="华文仿宋" w:cs="华文仿宋"/>
          <w:sz w:val="28"/>
          <w:szCs w:val="28"/>
        </w:rPr>
        <w:t>米、面粉、杂粮、食用油、干货、调料、调味品、乳制品、蔬菜、水果、禽蛋、冷鲜肉、肉制品、豆制品、水产品等。食材采购均应按照要求供应，无特殊食材需求时，不允许出现偏冷门，不知名菜品，以及非食品类物品。每日菜品需在品质保障的同时做到经济实惠，次日采购的菜品，参考当日</w:t>
      </w:r>
      <w:r>
        <w:rPr>
          <w:rFonts w:hint="eastAsia" w:ascii="华文仿宋" w:hAnsi="华文仿宋" w:eastAsia="华文仿宋" w:cs="华文仿宋"/>
          <w:sz w:val="28"/>
          <w:szCs w:val="28"/>
          <w:lang w:eastAsia="zh-CN"/>
        </w:rPr>
        <w:t>采购人</w:t>
      </w:r>
      <w:r>
        <w:rPr>
          <w:rFonts w:hint="eastAsia" w:ascii="华文仿宋" w:hAnsi="华文仿宋" w:eastAsia="华文仿宋" w:cs="华文仿宋"/>
          <w:sz w:val="28"/>
          <w:szCs w:val="28"/>
        </w:rPr>
        <w:t>餐厅菜单及消耗数量，及时与</w:t>
      </w:r>
      <w:r>
        <w:rPr>
          <w:rFonts w:hint="eastAsia" w:ascii="华文仿宋" w:hAnsi="华文仿宋" w:eastAsia="华文仿宋" w:cs="华文仿宋"/>
          <w:sz w:val="28"/>
          <w:szCs w:val="28"/>
          <w:lang w:eastAsia="zh-CN"/>
        </w:rPr>
        <w:t>采购人</w:t>
      </w:r>
      <w:r>
        <w:rPr>
          <w:rFonts w:hint="eastAsia" w:ascii="华文仿宋" w:hAnsi="华文仿宋" w:eastAsia="华文仿宋" w:cs="华文仿宋"/>
          <w:sz w:val="28"/>
          <w:szCs w:val="28"/>
        </w:rPr>
        <w:t>相关负责人确定，定期向</w:t>
      </w:r>
      <w:r>
        <w:rPr>
          <w:rFonts w:hint="eastAsia" w:ascii="华文仿宋" w:hAnsi="华文仿宋" w:eastAsia="华文仿宋" w:cs="华文仿宋"/>
          <w:sz w:val="28"/>
          <w:szCs w:val="28"/>
          <w:lang w:eastAsia="zh-CN"/>
        </w:rPr>
        <w:t>采购人</w:t>
      </w:r>
      <w:r>
        <w:rPr>
          <w:rFonts w:hint="eastAsia" w:ascii="华文仿宋" w:hAnsi="华文仿宋" w:eastAsia="华文仿宋" w:cs="华文仿宋"/>
          <w:sz w:val="28"/>
          <w:szCs w:val="28"/>
        </w:rPr>
        <w:t>反馈市场菜品价钱波动情况。</w:t>
      </w:r>
    </w:p>
    <w:p w14:paraId="405318BF">
      <w:pPr>
        <w:keepNext w:val="0"/>
        <w:keepLines w:val="0"/>
        <w:pageBreakBefore w:val="0"/>
        <w:widowControl w:val="0"/>
        <w:numPr>
          <w:ilvl w:val="0"/>
          <w:numId w:val="0"/>
        </w:numPr>
        <w:kinsoku/>
        <w:wordWrap/>
        <w:overflowPunct/>
        <w:topLinePunct w:val="0"/>
        <w:autoSpaceDE w:val="0"/>
        <w:autoSpaceDN w:val="0"/>
        <w:bidi w:val="0"/>
        <w:adjustRightInd/>
        <w:snapToGrid/>
        <w:spacing w:line="600" w:lineRule="exact"/>
        <w:ind w:firstLine="566" w:firstLineChars="200"/>
        <w:jc w:val="left"/>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eastAsia="zh-CN"/>
        </w:rPr>
        <w:t>（</w:t>
      </w:r>
      <w:r>
        <w:rPr>
          <w:rFonts w:hint="eastAsia" w:ascii="华文仿宋" w:hAnsi="华文仿宋" w:eastAsia="华文仿宋" w:cs="华文仿宋"/>
          <w:b/>
          <w:bCs/>
          <w:sz w:val="28"/>
          <w:szCs w:val="28"/>
          <w:lang w:val="en-US" w:eastAsia="zh-CN"/>
        </w:rPr>
        <w:t>二</w:t>
      </w:r>
      <w:r>
        <w:rPr>
          <w:rFonts w:hint="eastAsia" w:ascii="华文仿宋" w:hAnsi="华文仿宋" w:eastAsia="华文仿宋" w:cs="华文仿宋"/>
          <w:b/>
          <w:bCs/>
          <w:sz w:val="28"/>
          <w:szCs w:val="28"/>
          <w:lang w:eastAsia="zh-CN"/>
        </w:rPr>
        <w:t>）</w:t>
      </w:r>
      <w:r>
        <w:rPr>
          <w:rFonts w:hint="eastAsia" w:ascii="华文仿宋" w:hAnsi="华文仿宋" w:eastAsia="华文仿宋" w:cs="华文仿宋"/>
          <w:b/>
          <w:bCs/>
          <w:sz w:val="28"/>
          <w:szCs w:val="28"/>
          <w:lang w:val="en-US" w:eastAsia="zh-CN"/>
        </w:rPr>
        <w:t>采购要求</w:t>
      </w:r>
    </w:p>
    <w:tbl>
      <w:tblPr>
        <w:tblStyle w:val="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1"/>
        <w:gridCol w:w="17"/>
        <w:gridCol w:w="7147"/>
        <w:gridCol w:w="17"/>
        <w:gridCol w:w="992"/>
      </w:tblGrid>
      <w:tr w14:paraId="4AFFD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599" w:type="pct"/>
            <w:noWrap w:val="0"/>
            <w:vAlign w:val="center"/>
          </w:tcPr>
          <w:p w14:paraId="2384E88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项目</w:t>
            </w:r>
          </w:p>
        </w:tc>
        <w:tc>
          <w:tcPr>
            <w:tcW w:w="3866" w:type="pct"/>
            <w:gridSpan w:val="3"/>
            <w:noWrap w:val="0"/>
            <w:vAlign w:val="center"/>
          </w:tcPr>
          <w:p w14:paraId="69522949">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技术、规格、质量要求及包装标准</w:t>
            </w:r>
          </w:p>
        </w:tc>
        <w:tc>
          <w:tcPr>
            <w:tcW w:w="534" w:type="pct"/>
            <w:noWrap w:val="0"/>
            <w:vAlign w:val="center"/>
          </w:tcPr>
          <w:p w14:paraId="5FFF996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备注</w:t>
            </w:r>
          </w:p>
        </w:tc>
      </w:tr>
      <w:tr w14:paraId="5930B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599" w:type="pct"/>
            <w:noWrap w:val="0"/>
            <w:vAlign w:val="center"/>
          </w:tcPr>
          <w:p w14:paraId="08C023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肉</w:t>
            </w:r>
          </w:p>
          <w:p w14:paraId="635621C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禽</w:t>
            </w:r>
          </w:p>
          <w:p w14:paraId="6584072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类</w:t>
            </w:r>
          </w:p>
        </w:tc>
        <w:tc>
          <w:tcPr>
            <w:tcW w:w="3866" w:type="pct"/>
            <w:gridSpan w:val="3"/>
            <w:noWrap w:val="0"/>
            <w:vAlign w:val="center"/>
          </w:tcPr>
          <w:p w14:paraId="568C15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肉身必须盖有卫生检疫章，须出具加盖国家或地方政府监督所检疫章的动物检疫证明。肉品须表皮洁净、膘厚适中、色泽鲜亮、纹理清晰、肉质细腻、无异味、去骨、无毛、按压无水迹。</w:t>
            </w:r>
          </w:p>
        </w:tc>
        <w:tc>
          <w:tcPr>
            <w:tcW w:w="534" w:type="pct"/>
            <w:vMerge w:val="restart"/>
            <w:noWrap w:val="0"/>
            <w:vAlign w:val="center"/>
          </w:tcPr>
          <w:p w14:paraId="4521281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所有商品必须满足国家和地方相关规定</w:t>
            </w:r>
          </w:p>
        </w:tc>
      </w:tr>
      <w:tr w14:paraId="59F8B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9" w:type="pct"/>
            <w:noWrap w:val="0"/>
            <w:vAlign w:val="center"/>
          </w:tcPr>
          <w:p w14:paraId="7381A3E9">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蔬</w:t>
            </w:r>
          </w:p>
          <w:p w14:paraId="139C6FEF">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菜</w:t>
            </w:r>
          </w:p>
          <w:p w14:paraId="2577BDAD">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类</w:t>
            </w:r>
          </w:p>
        </w:tc>
        <w:tc>
          <w:tcPr>
            <w:tcW w:w="3866" w:type="pct"/>
            <w:gridSpan w:val="3"/>
            <w:noWrap w:val="0"/>
            <w:vAlign w:val="center"/>
          </w:tcPr>
          <w:p w14:paraId="3F74D02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rPr>
              <w:t>当季各类新鲜蔬菜以及大棚种植蔬菜，蔬菜类必须保证无黄叶、枯死叶、无虫、无杂质，须48小时内采摘供应，原菜须保证菜面干净、无明显泥土、码放整齐、无破损、大小基本统一、不得过熟或欠熟；净菜须保证菜面完全干净、无泥土、按统一标准加工、码放整齐、</w:t>
            </w:r>
            <w:r>
              <w:rPr>
                <w:rFonts w:hint="eastAsia" w:ascii="华文仿宋" w:hAnsi="华文仿宋" w:eastAsia="华文仿宋" w:cs="华文仿宋"/>
                <w:sz w:val="28"/>
                <w:szCs w:val="28"/>
                <w:lang w:eastAsia="zh-CN"/>
              </w:rPr>
              <w:t>无需</w:t>
            </w:r>
            <w:r>
              <w:rPr>
                <w:rFonts w:hint="eastAsia" w:ascii="华文仿宋" w:hAnsi="华文仿宋" w:eastAsia="华文仿宋" w:cs="华文仿宋"/>
                <w:sz w:val="28"/>
                <w:szCs w:val="28"/>
              </w:rPr>
              <w:t>二次处理可以直接进行熟加工</w:t>
            </w:r>
            <w:r>
              <w:rPr>
                <w:rFonts w:hint="eastAsia" w:ascii="华文仿宋" w:hAnsi="华文仿宋" w:eastAsia="华文仿宋" w:cs="华文仿宋"/>
                <w:sz w:val="28"/>
                <w:szCs w:val="28"/>
                <w:lang w:eastAsia="zh-CN"/>
              </w:rPr>
              <w:t>。</w:t>
            </w:r>
          </w:p>
        </w:tc>
        <w:tc>
          <w:tcPr>
            <w:tcW w:w="534" w:type="pct"/>
            <w:vMerge w:val="continue"/>
            <w:noWrap w:val="0"/>
            <w:vAlign w:val="center"/>
          </w:tcPr>
          <w:p w14:paraId="0DDF5A75">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7A232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jc w:val="center"/>
        </w:trPr>
        <w:tc>
          <w:tcPr>
            <w:tcW w:w="599" w:type="pct"/>
            <w:noWrap w:val="0"/>
            <w:vAlign w:val="center"/>
          </w:tcPr>
          <w:p w14:paraId="0057C503">
            <w:pPr>
              <w:keepNext w:val="0"/>
              <w:keepLines w:val="0"/>
              <w:pageBreakBefore w:val="0"/>
              <w:widowControl w:val="0"/>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蛋</w:t>
            </w:r>
          </w:p>
          <w:p w14:paraId="467F54D5">
            <w:pPr>
              <w:keepNext w:val="0"/>
              <w:keepLines w:val="0"/>
              <w:pageBreakBefore w:val="0"/>
              <w:widowControl w:val="0"/>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类</w:t>
            </w:r>
          </w:p>
        </w:tc>
        <w:tc>
          <w:tcPr>
            <w:tcW w:w="3866" w:type="pct"/>
            <w:gridSpan w:val="3"/>
            <w:noWrap w:val="0"/>
            <w:vAlign w:val="center"/>
          </w:tcPr>
          <w:p w14:paraId="74F72CB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t>新鲜</w:t>
            </w:r>
            <w:r>
              <w:rPr>
                <w:rFonts w:hint="eastAsia" w:ascii="华文仿宋" w:hAnsi="华文仿宋" w:eastAsia="华文仿宋" w:cs="华文仿宋"/>
                <w:sz w:val="28"/>
                <w:szCs w:val="28"/>
              </w:rPr>
              <w:t>、大小均匀、无破损、色泽光滑，须出具加盖地方政府监督所检疫章的动物检疫证明</w:t>
            </w:r>
            <w:r>
              <w:rPr>
                <w:rFonts w:hint="eastAsia" w:ascii="华文仿宋" w:hAnsi="华文仿宋" w:eastAsia="华文仿宋" w:cs="华文仿宋"/>
                <w:sz w:val="28"/>
                <w:szCs w:val="28"/>
                <w:lang w:eastAsia="zh-CN"/>
              </w:rPr>
              <w:t>。</w:t>
            </w:r>
          </w:p>
        </w:tc>
        <w:tc>
          <w:tcPr>
            <w:tcW w:w="534" w:type="pct"/>
            <w:vMerge w:val="continue"/>
            <w:noWrap w:val="0"/>
            <w:vAlign w:val="center"/>
          </w:tcPr>
          <w:p w14:paraId="769BA642">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79FF4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9" w:type="pct"/>
            <w:noWrap w:val="0"/>
            <w:vAlign w:val="center"/>
          </w:tcPr>
          <w:p w14:paraId="74A966C6">
            <w:pPr>
              <w:keepNext w:val="0"/>
              <w:keepLines w:val="0"/>
              <w:pageBreakBefore w:val="0"/>
              <w:widowControl w:val="0"/>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豆</w:t>
            </w:r>
          </w:p>
          <w:p w14:paraId="505FF92F">
            <w:pPr>
              <w:keepNext w:val="0"/>
              <w:keepLines w:val="0"/>
              <w:pageBreakBefore w:val="0"/>
              <w:widowControl w:val="0"/>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制</w:t>
            </w:r>
          </w:p>
          <w:p w14:paraId="46D7EBF4">
            <w:pPr>
              <w:keepNext w:val="0"/>
              <w:keepLines w:val="0"/>
              <w:pageBreakBefore w:val="0"/>
              <w:widowControl w:val="0"/>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品</w:t>
            </w:r>
          </w:p>
        </w:tc>
        <w:tc>
          <w:tcPr>
            <w:tcW w:w="3866" w:type="pct"/>
            <w:gridSpan w:val="3"/>
            <w:noWrap w:val="0"/>
            <w:vAlign w:val="center"/>
          </w:tcPr>
          <w:p w14:paraId="209287D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豆腐、豆腐干、绿豆芽、黄豆芽、红豆等；须保证食材干净、不含非食品用化学物质、按统一标准加工、码放整齐、无</w:t>
            </w:r>
            <w:r>
              <w:rPr>
                <w:rFonts w:hint="eastAsia" w:ascii="华文仿宋" w:hAnsi="华文仿宋" w:eastAsia="华文仿宋" w:cs="华文仿宋"/>
                <w:sz w:val="28"/>
                <w:szCs w:val="28"/>
                <w:lang w:val="en-US" w:eastAsia="zh-CN"/>
              </w:rPr>
              <w:t>需</w:t>
            </w:r>
            <w:r>
              <w:rPr>
                <w:rFonts w:hint="eastAsia" w:ascii="华文仿宋" w:hAnsi="华文仿宋" w:eastAsia="华文仿宋" w:cs="华文仿宋"/>
                <w:sz w:val="28"/>
                <w:szCs w:val="28"/>
              </w:rPr>
              <w:t>二次处理可以直接进行熟加工。</w:t>
            </w:r>
          </w:p>
        </w:tc>
        <w:tc>
          <w:tcPr>
            <w:tcW w:w="534" w:type="pct"/>
            <w:vMerge w:val="continue"/>
            <w:noWrap w:val="0"/>
            <w:vAlign w:val="center"/>
          </w:tcPr>
          <w:p w14:paraId="5D4A1D54">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2D57E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9" w:type="pct"/>
            <w:noWrap w:val="0"/>
            <w:vAlign w:val="center"/>
          </w:tcPr>
          <w:p w14:paraId="5C9694C7">
            <w:pPr>
              <w:keepNext w:val="0"/>
              <w:keepLines w:val="0"/>
              <w:pageBreakBefore w:val="0"/>
              <w:widowControl w:val="0"/>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水</w:t>
            </w:r>
          </w:p>
          <w:p w14:paraId="54D13F05">
            <w:pPr>
              <w:keepNext w:val="0"/>
              <w:keepLines w:val="0"/>
              <w:pageBreakBefore w:val="0"/>
              <w:widowControl w:val="0"/>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果</w:t>
            </w:r>
          </w:p>
        </w:tc>
        <w:tc>
          <w:tcPr>
            <w:tcW w:w="3866" w:type="pct"/>
            <w:gridSpan w:val="3"/>
            <w:noWrap w:val="0"/>
            <w:vAlign w:val="center"/>
          </w:tcPr>
          <w:p w14:paraId="0ADFBE1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当季各类水果，无虫、无杂质，须保证水果新鲜，原水果须保证果面干净、无明显泥土、码放整齐、无破损、大小基本统一、不得过熟或欠熟。</w:t>
            </w:r>
          </w:p>
        </w:tc>
        <w:tc>
          <w:tcPr>
            <w:tcW w:w="534" w:type="pct"/>
            <w:vMerge w:val="continue"/>
            <w:noWrap w:val="0"/>
            <w:vAlign w:val="center"/>
          </w:tcPr>
          <w:p w14:paraId="13070CC1">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3AEEF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608" w:type="pct"/>
            <w:gridSpan w:val="2"/>
            <w:noWrap w:val="0"/>
            <w:vAlign w:val="center"/>
          </w:tcPr>
          <w:p w14:paraId="0A90DB0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米线</w:t>
            </w:r>
          </w:p>
          <w:p w14:paraId="67583C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面条</w:t>
            </w:r>
          </w:p>
        </w:tc>
        <w:tc>
          <w:tcPr>
            <w:tcW w:w="3848" w:type="pct"/>
            <w:noWrap w:val="0"/>
            <w:vAlign w:val="center"/>
          </w:tcPr>
          <w:p w14:paraId="793B9BA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米线、鲜面条、干面条、饵丝；要求原材料不含非食品用化学物质、不掺假、不过期、</w:t>
            </w:r>
            <w:r>
              <w:rPr>
                <w:rFonts w:hint="eastAsia" w:ascii="华文仿宋" w:hAnsi="华文仿宋" w:eastAsia="华文仿宋" w:cs="华文仿宋"/>
                <w:sz w:val="28"/>
                <w:szCs w:val="28"/>
                <w:lang w:eastAsia="zh-CN"/>
              </w:rPr>
              <w:t>不变质、不变色</w:t>
            </w:r>
            <w:r>
              <w:rPr>
                <w:rFonts w:hint="eastAsia" w:ascii="华文仿宋" w:hAnsi="华文仿宋" w:eastAsia="华文仿宋" w:cs="华文仿宋"/>
                <w:sz w:val="28"/>
                <w:szCs w:val="28"/>
              </w:rPr>
              <w:t>、无杂质、无毒害，符合国家食品行业的标准。</w:t>
            </w:r>
          </w:p>
        </w:tc>
        <w:tc>
          <w:tcPr>
            <w:tcW w:w="542" w:type="pct"/>
            <w:gridSpan w:val="2"/>
            <w:vMerge w:val="restart"/>
            <w:noWrap w:val="0"/>
            <w:vAlign w:val="center"/>
          </w:tcPr>
          <w:p w14:paraId="42CA75FD">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56BBD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8" w:type="pct"/>
            <w:gridSpan w:val="2"/>
            <w:noWrap w:val="0"/>
            <w:vAlign w:val="center"/>
          </w:tcPr>
          <w:p w14:paraId="35DA999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大米</w:t>
            </w:r>
          </w:p>
        </w:tc>
        <w:tc>
          <w:tcPr>
            <w:tcW w:w="3848" w:type="pct"/>
            <w:noWrap w:val="0"/>
            <w:vAlign w:val="center"/>
          </w:tcPr>
          <w:p w14:paraId="62BB255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大米须</w:t>
            </w:r>
            <w:r>
              <w:rPr>
                <w:rFonts w:hint="eastAsia" w:ascii="华文仿宋" w:hAnsi="华文仿宋" w:eastAsia="华文仿宋" w:cs="华文仿宋"/>
                <w:sz w:val="28"/>
                <w:szCs w:val="28"/>
                <w:lang w:eastAsia="zh-CN"/>
              </w:rPr>
              <w:t>达到</w:t>
            </w:r>
            <w:r>
              <w:rPr>
                <w:rFonts w:hint="eastAsia" w:ascii="华文仿宋" w:hAnsi="华文仿宋" w:eastAsia="华文仿宋" w:cs="华文仿宋"/>
                <w:sz w:val="28"/>
                <w:szCs w:val="28"/>
              </w:rPr>
              <w:t>国家1354</w:t>
            </w:r>
            <w:r>
              <w:rPr>
                <w:rFonts w:hint="eastAsia" w:ascii="华文仿宋" w:hAnsi="华文仿宋" w:eastAsia="华文仿宋" w:cs="华文仿宋"/>
                <w:sz w:val="28"/>
                <w:szCs w:val="28"/>
                <w:lang w:eastAsia="zh-CN"/>
              </w:rPr>
              <w:t>～</w:t>
            </w:r>
            <w:r>
              <w:rPr>
                <w:rFonts w:hint="eastAsia" w:ascii="华文仿宋" w:hAnsi="华文仿宋" w:eastAsia="华文仿宋" w:cs="华文仿宋"/>
                <w:sz w:val="28"/>
                <w:szCs w:val="28"/>
              </w:rPr>
              <w:t>86特二级标准，水分含量在12°以下，无掺杂、无沙石，碎米少，无黄粒米；大米包装袋上印有大米品名、等级、数量、出厂名、厂家地址</w:t>
            </w:r>
            <w:r>
              <w:rPr>
                <w:rFonts w:hint="eastAsia" w:ascii="华文仿宋" w:hAnsi="华文仿宋" w:eastAsia="华文仿宋" w:cs="华文仿宋"/>
                <w:sz w:val="28"/>
                <w:szCs w:val="28"/>
                <w:lang w:eastAsia="zh-CN"/>
              </w:rPr>
              <w:t>及</w:t>
            </w:r>
            <w:r>
              <w:rPr>
                <w:rFonts w:hint="eastAsia" w:ascii="华文仿宋" w:hAnsi="华文仿宋" w:eastAsia="华文仿宋" w:cs="华文仿宋"/>
                <w:sz w:val="28"/>
                <w:szCs w:val="28"/>
              </w:rPr>
              <w:t>电话。</w:t>
            </w:r>
          </w:p>
        </w:tc>
        <w:tc>
          <w:tcPr>
            <w:tcW w:w="542" w:type="pct"/>
            <w:gridSpan w:val="2"/>
            <w:vMerge w:val="continue"/>
            <w:noWrap w:val="0"/>
            <w:vAlign w:val="center"/>
          </w:tcPr>
          <w:p w14:paraId="626664A5">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0B1C5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0" w:hRule="atLeast"/>
          <w:jc w:val="center"/>
        </w:trPr>
        <w:tc>
          <w:tcPr>
            <w:tcW w:w="608" w:type="pct"/>
            <w:gridSpan w:val="2"/>
            <w:noWrap w:val="0"/>
            <w:vAlign w:val="center"/>
          </w:tcPr>
          <w:p w14:paraId="1583DC6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面粉</w:t>
            </w:r>
          </w:p>
          <w:p w14:paraId="7F1E532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（含面粉配料）</w:t>
            </w:r>
          </w:p>
        </w:tc>
        <w:tc>
          <w:tcPr>
            <w:tcW w:w="3848" w:type="pct"/>
            <w:noWrap w:val="0"/>
            <w:vAlign w:val="top"/>
          </w:tcPr>
          <w:p w14:paraId="295815D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高筋面粉达GB8607国家标准，质量等级一级；低筋面粉达Q/JHMF01标准，质量等级一级；低筋面粉达Q/JHMF01标准，质量等级一级；色泽正常，干爽无异味；按进货量抽查20％，数量按抽查验收实数为准；包装袋上有注册商标</w:t>
            </w:r>
            <w:r>
              <w:rPr>
                <w:rFonts w:hint="eastAsia" w:ascii="华文仿宋" w:hAnsi="华文仿宋" w:eastAsia="华文仿宋" w:cs="华文仿宋"/>
                <w:sz w:val="28"/>
                <w:szCs w:val="28"/>
                <w:lang w:val="en-US" w:eastAsia="zh-CN"/>
              </w:rPr>
              <w:t>SC</w:t>
            </w:r>
            <w:r>
              <w:rPr>
                <w:rFonts w:hint="eastAsia" w:ascii="华文仿宋" w:hAnsi="华文仿宋" w:eastAsia="华文仿宋" w:cs="华文仿宋"/>
                <w:sz w:val="28"/>
                <w:szCs w:val="28"/>
              </w:rPr>
              <w:t>标注，有检验合格证、生产日期和保质期。</w:t>
            </w:r>
          </w:p>
        </w:tc>
        <w:tc>
          <w:tcPr>
            <w:tcW w:w="542" w:type="pct"/>
            <w:gridSpan w:val="2"/>
            <w:vMerge w:val="continue"/>
            <w:noWrap w:val="0"/>
            <w:vAlign w:val="center"/>
          </w:tcPr>
          <w:p w14:paraId="02E0BC87">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6C1EB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608" w:type="pct"/>
            <w:gridSpan w:val="2"/>
            <w:noWrap w:val="0"/>
            <w:vAlign w:val="center"/>
          </w:tcPr>
          <w:p w14:paraId="0AF37D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t>大</w:t>
            </w:r>
          </w:p>
          <w:p w14:paraId="3E1F81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豆</w:t>
            </w:r>
          </w:p>
          <w:p w14:paraId="30BCDDC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油</w:t>
            </w:r>
          </w:p>
        </w:tc>
        <w:tc>
          <w:tcPr>
            <w:tcW w:w="3848" w:type="pct"/>
            <w:noWrap w:val="0"/>
            <w:vAlign w:val="center"/>
          </w:tcPr>
          <w:p w14:paraId="5BDDCA5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按国家食用调和油质量标准GB1535，质量等级一级；有合格检疫报告，外观的色泽、透明度、气味滋味等无异常；定型包装。</w:t>
            </w:r>
          </w:p>
        </w:tc>
        <w:tc>
          <w:tcPr>
            <w:tcW w:w="542" w:type="pct"/>
            <w:gridSpan w:val="2"/>
            <w:vMerge w:val="continue"/>
            <w:noWrap w:val="0"/>
            <w:vAlign w:val="center"/>
          </w:tcPr>
          <w:p w14:paraId="438F9865">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503F7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608" w:type="pct"/>
            <w:gridSpan w:val="2"/>
            <w:noWrap w:val="0"/>
            <w:vAlign w:val="center"/>
          </w:tcPr>
          <w:p w14:paraId="460861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水</w:t>
            </w:r>
          </w:p>
          <w:p w14:paraId="2C533A4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产</w:t>
            </w:r>
          </w:p>
          <w:p w14:paraId="2869F2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品</w:t>
            </w:r>
          </w:p>
        </w:tc>
        <w:tc>
          <w:tcPr>
            <w:tcW w:w="3848" w:type="pct"/>
            <w:noWrap w:val="0"/>
            <w:vAlign w:val="center"/>
          </w:tcPr>
          <w:p w14:paraId="459A71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草鱼、黑鱼、</w:t>
            </w:r>
            <w:r>
              <w:rPr>
                <w:rFonts w:hint="eastAsia" w:ascii="华文仿宋" w:hAnsi="华文仿宋" w:eastAsia="华文仿宋" w:cs="华文仿宋"/>
                <w:sz w:val="28"/>
                <w:szCs w:val="28"/>
                <w:lang w:val="en-US" w:eastAsia="zh-CN"/>
              </w:rPr>
              <w:t>鲤</w:t>
            </w:r>
            <w:r>
              <w:rPr>
                <w:rFonts w:hint="eastAsia" w:ascii="华文仿宋" w:hAnsi="华文仿宋" w:eastAsia="华文仿宋" w:cs="华文仿宋"/>
                <w:sz w:val="28"/>
                <w:szCs w:val="28"/>
                <w:lang w:eastAsia="zh-CN"/>
              </w:rPr>
              <w:t>鱼</w:t>
            </w:r>
            <w:r>
              <w:rPr>
                <w:rFonts w:hint="eastAsia" w:ascii="华文仿宋" w:hAnsi="华文仿宋" w:eastAsia="华文仿宋" w:cs="华文仿宋"/>
                <w:sz w:val="28"/>
                <w:szCs w:val="28"/>
              </w:rPr>
              <w:t>、鲈鱼等鱼类要求体表光滑无病灶，有鲜鱼鳞片完整，无鳞鱼无浑浊</w:t>
            </w:r>
            <w:r>
              <w:rPr>
                <w:rFonts w:hint="eastAsia" w:ascii="华文仿宋" w:hAnsi="华文仿宋" w:eastAsia="华文仿宋" w:cs="华文仿宋"/>
                <w:sz w:val="28"/>
                <w:szCs w:val="28"/>
                <w:lang w:eastAsia="zh-CN"/>
              </w:rPr>
              <w:t>黏液</w:t>
            </w:r>
            <w:r>
              <w:rPr>
                <w:rFonts w:hint="eastAsia" w:ascii="华文仿宋" w:hAnsi="华文仿宋" w:eastAsia="华文仿宋" w:cs="华文仿宋"/>
                <w:sz w:val="28"/>
                <w:szCs w:val="28"/>
              </w:rPr>
              <w:t>，肉质干燥，紧密，呈白色或淡黄色眼球外突饱满透明，鳃丝清晰鲜红或暗红，保持活体状态固有本色，无异味，鱼类肌肉紧密有弹性，内脏清晰可辨无腐烂。</w:t>
            </w:r>
          </w:p>
        </w:tc>
        <w:tc>
          <w:tcPr>
            <w:tcW w:w="542" w:type="pct"/>
            <w:gridSpan w:val="2"/>
            <w:vMerge w:val="continue"/>
            <w:noWrap w:val="0"/>
            <w:vAlign w:val="center"/>
          </w:tcPr>
          <w:p w14:paraId="22F2A85D">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53BA4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608" w:type="pct"/>
            <w:gridSpan w:val="2"/>
            <w:noWrap w:val="0"/>
            <w:vAlign w:val="center"/>
          </w:tcPr>
          <w:p w14:paraId="27AB51CE">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冻</w:t>
            </w:r>
          </w:p>
          <w:p w14:paraId="04791841">
            <w:pPr>
              <w:keepNext w:val="0"/>
              <w:keepLines w:val="0"/>
              <w:pageBreakBefore w:val="0"/>
              <w:widowControl w:val="0"/>
              <w:kinsoku/>
              <w:wordWrap/>
              <w:overflowPunct/>
              <w:topLinePunct w:val="0"/>
              <w:autoSpaceDE/>
              <w:autoSpaceDN/>
              <w:bidi w:val="0"/>
              <w:adjustRightInd/>
              <w:snapToGrid/>
              <w:spacing w:line="560" w:lineRule="exact"/>
              <w:ind w:firstLine="283" w:firstLineChars="100"/>
              <w:jc w:val="both"/>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品</w:t>
            </w:r>
          </w:p>
        </w:tc>
        <w:tc>
          <w:tcPr>
            <w:tcW w:w="3848" w:type="pct"/>
            <w:noWrap w:val="0"/>
            <w:vAlign w:val="center"/>
          </w:tcPr>
          <w:p w14:paraId="20E486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rPr>
              <w:t>冻品外包装需完整，无破损，无不封口现象，有生产日期。冻品在解冻后，发现质量问题需退货。符合国家绿色批发市场标准，应具备满足交易需要的冷冻贮藏设施</w:t>
            </w:r>
            <w:r>
              <w:rPr>
                <w:rFonts w:hint="eastAsia" w:ascii="华文仿宋" w:hAnsi="华文仿宋" w:eastAsia="华文仿宋" w:cs="华文仿宋"/>
                <w:sz w:val="28"/>
                <w:szCs w:val="28"/>
                <w:lang w:eastAsia="zh-CN"/>
              </w:rPr>
              <w:t>。</w:t>
            </w:r>
          </w:p>
        </w:tc>
        <w:tc>
          <w:tcPr>
            <w:tcW w:w="542" w:type="pct"/>
            <w:gridSpan w:val="2"/>
            <w:vMerge w:val="continue"/>
            <w:noWrap w:val="0"/>
            <w:vAlign w:val="center"/>
          </w:tcPr>
          <w:p w14:paraId="07A33671">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1F1D2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608" w:type="pct"/>
            <w:gridSpan w:val="2"/>
            <w:noWrap w:val="0"/>
            <w:vAlign w:val="center"/>
          </w:tcPr>
          <w:p w14:paraId="4AFF370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调料</w:t>
            </w:r>
          </w:p>
        </w:tc>
        <w:tc>
          <w:tcPr>
            <w:tcW w:w="3848" w:type="pct"/>
            <w:noWrap w:val="0"/>
            <w:vAlign w:val="center"/>
          </w:tcPr>
          <w:p w14:paraId="1BC3651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rPr>
              <w:t>外包装无污物、无泄漏，无胀袋或胖听或鼓盖现象，无变质发霉现象。色泽正常，具有该品种固有的香味，滋味无异味，油酱均匀的酱体或无结块的粉状固体，封口平整，无破包，夹包，漏包，无污染</w:t>
            </w:r>
            <w:r>
              <w:rPr>
                <w:rFonts w:hint="eastAsia" w:ascii="华文仿宋" w:hAnsi="华文仿宋" w:eastAsia="华文仿宋" w:cs="华文仿宋"/>
                <w:sz w:val="28"/>
                <w:szCs w:val="28"/>
                <w:lang w:eastAsia="zh-CN"/>
              </w:rPr>
              <w:t>。</w:t>
            </w:r>
          </w:p>
        </w:tc>
        <w:tc>
          <w:tcPr>
            <w:tcW w:w="542" w:type="pct"/>
            <w:gridSpan w:val="2"/>
            <w:vMerge w:val="continue"/>
            <w:noWrap w:val="0"/>
            <w:vAlign w:val="center"/>
          </w:tcPr>
          <w:p w14:paraId="5AEF41B1">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r w14:paraId="6AC21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608" w:type="pct"/>
            <w:gridSpan w:val="2"/>
            <w:noWrap w:val="0"/>
            <w:vAlign w:val="center"/>
          </w:tcPr>
          <w:p w14:paraId="3AFE00C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副食及其他</w:t>
            </w:r>
          </w:p>
        </w:tc>
        <w:tc>
          <w:tcPr>
            <w:tcW w:w="3848" w:type="pct"/>
            <w:noWrap w:val="0"/>
            <w:vAlign w:val="center"/>
          </w:tcPr>
          <w:p w14:paraId="06B5A1A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须保证食材干净、不含非食品用化学物质、按统一标准加工、码放整齐、无须二次处理可以直接进行熟加工。</w:t>
            </w:r>
          </w:p>
        </w:tc>
        <w:tc>
          <w:tcPr>
            <w:tcW w:w="542" w:type="pct"/>
            <w:gridSpan w:val="2"/>
            <w:noWrap w:val="0"/>
            <w:vAlign w:val="center"/>
          </w:tcPr>
          <w:p w14:paraId="13107155">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p>
        </w:tc>
      </w:tr>
    </w:tbl>
    <w:p w14:paraId="2209552B">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bookmarkStart w:id="144" w:name="_Toc10967"/>
      <w:r>
        <w:rPr>
          <w:rFonts w:hint="eastAsia" w:ascii="华文仿宋" w:hAnsi="华文仿宋" w:eastAsia="华文仿宋" w:cs="华文仿宋"/>
          <w:b/>
          <w:bCs/>
          <w:sz w:val="28"/>
          <w:szCs w:val="28"/>
          <w:lang w:val="en-US" w:eastAsia="zh-CN"/>
        </w:rPr>
        <w:t>（三）服务内容</w:t>
      </w:r>
      <w:bookmarkEnd w:id="144"/>
      <w:r>
        <w:rPr>
          <w:rFonts w:hint="eastAsia" w:ascii="华文仿宋" w:hAnsi="华文仿宋" w:eastAsia="华文仿宋" w:cs="华文仿宋"/>
          <w:b/>
          <w:bCs/>
          <w:sz w:val="28"/>
          <w:szCs w:val="28"/>
          <w:lang w:val="en-US" w:eastAsia="zh-CN"/>
        </w:rPr>
        <w:t>：</w:t>
      </w:r>
      <w:r>
        <w:rPr>
          <w:rFonts w:hint="eastAsia" w:ascii="华文仿宋" w:hAnsi="华文仿宋" w:eastAsia="华文仿宋" w:cs="华文仿宋"/>
          <w:sz w:val="28"/>
          <w:szCs w:val="28"/>
          <w:lang w:val="en-US" w:eastAsia="zh-CN"/>
        </w:rPr>
        <w:t>供应商供应的食材等价格均按照当地大型超市（如华润万家超市、永辉超市、开邻超市等）每月1—5日任一天公布的价格平均值为基准单价（若为超市没有公布价格的品种、按采购人市场调研价格结算）。每月向采购人提供至少三家的超市比价（此三家超市菜价仅供参考）。</w:t>
      </w:r>
    </w:p>
    <w:p w14:paraId="60FE3158">
      <w:pPr>
        <w:pStyle w:val="11"/>
        <w:rPr>
          <w:rFonts w:hint="eastAsia" w:ascii="华文仿宋" w:hAnsi="华文仿宋" w:eastAsia="华文仿宋" w:cs="华文仿宋"/>
          <w:sz w:val="28"/>
          <w:szCs w:val="28"/>
          <w:lang w:val="en-US" w:eastAsia="zh-CN"/>
        </w:rPr>
      </w:pPr>
    </w:p>
    <w:p w14:paraId="175212DF">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注：该项目技术参数由采购人提供。</w:t>
      </w:r>
    </w:p>
    <w:p w14:paraId="32C4B642">
      <w:pPr>
        <w:pStyle w:val="11"/>
        <w:rPr>
          <w:rFonts w:hint="eastAsia" w:ascii="华文仿宋" w:hAnsi="华文仿宋" w:eastAsia="华文仿宋" w:cs="华文仿宋"/>
          <w:b/>
          <w:bCs/>
          <w:color w:val="auto"/>
          <w:kern w:val="2"/>
          <w:sz w:val="28"/>
          <w:szCs w:val="28"/>
          <w:highlight w:val="none"/>
          <w:lang w:val="en-US" w:eastAsia="zh-CN" w:bidi="ar-SA"/>
        </w:rPr>
      </w:pPr>
    </w:p>
    <w:p w14:paraId="70956F55">
      <w:pPr>
        <w:pStyle w:val="11"/>
        <w:rPr>
          <w:rFonts w:hint="eastAsia" w:ascii="仿宋" w:hAnsi="仿宋" w:eastAsia="仿宋" w:cs="仿宋"/>
          <w:b/>
          <w:bCs/>
          <w:color w:val="auto"/>
          <w:kern w:val="2"/>
          <w:sz w:val="28"/>
          <w:szCs w:val="28"/>
          <w:highlight w:val="none"/>
          <w:lang w:val="en-US" w:eastAsia="zh-CN" w:bidi="ar-SA"/>
        </w:rPr>
      </w:pP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3"/>
          <w:rFonts w:ascii="黑体" w:hAnsi="黑体" w:eastAsia="黑体" w:cs="黑体"/>
          <w:b w:val="0"/>
          <w:bCs/>
          <w:color w:val="000000"/>
          <w:sz w:val="32"/>
          <w:szCs w:val="32"/>
        </w:rPr>
      </w:pPr>
      <w:r>
        <w:rPr>
          <w:rStyle w:val="33"/>
          <w:rFonts w:hint="eastAsia" w:ascii="黑体" w:hAnsi="黑体" w:eastAsia="黑体" w:cs="黑体"/>
          <w:b w:val="0"/>
          <w:bCs/>
          <w:color w:val="000000"/>
          <w:sz w:val="32"/>
          <w:szCs w:val="32"/>
        </w:rPr>
        <w:t>第四章  合同草案条款</w:t>
      </w:r>
    </w:p>
    <w:p w14:paraId="3DF14260">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一、合同总价即成交价格，包括：</w:t>
      </w:r>
      <w:r>
        <w:rPr>
          <w:rFonts w:hint="eastAsia" w:ascii="华文仿宋" w:hAnsi="华文仿宋" w:cs="华文仿宋"/>
          <w:b w:val="0"/>
          <w:bCs w:val="0"/>
          <w:kern w:val="0"/>
          <w:sz w:val="28"/>
          <w:szCs w:val="28"/>
          <w:lang w:val="en-US" w:eastAsia="zh-CN"/>
        </w:rPr>
        <w:t>服务费用、税费、其他费用等相关的全部费用。合同价一次包死，在合同执行过程中不因其他因素进行变更。</w:t>
      </w:r>
    </w:p>
    <w:p w14:paraId="32F12AA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二、服务地点：</w:t>
      </w:r>
      <w:r>
        <w:rPr>
          <w:rFonts w:hint="eastAsia" w:ascii="华文仿宋" w:hAnsi="华文仿宋" w:cs="华文仿宋"/>
          <w:b w:val="0"/>
          <w:bCs w:val="0"/>
          <w:kern w:val="0"/>
          <w:sz w:val="28"/>
          <w:szCs w:val="28"/>
          <w:lang w:val="en-US" w:eastAsia="zh-CN"/>
        </w:rPr>
        <w:t>采购人指定地点（延安市百米大道原消防支队）。</w:t>
      </w:r>
    </w:p>
    <w:p w14:paraId="43567DED">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三、服务期限：</w:t>
      </w:r>
      <w:bookmarkStart w:id="308" w:name="_GoBack"/>
      <w:r>
        <w:rPr>
          <w:rFonts w:hint="eastAsia" w:ascii="华文仿宋" w:hAnsi="华文仿宋" w:cs="华文仿宋"/>
          <w:b w:val="0"/>
          <w:bCs w:val="0"/>
          <w:kern w:val="0"/>
          <w:sz w:val="28"/>
          <w:szCs w:val="28"/>
          <w:lang w:val="en-US" w:eastAsia="zh-CN"/>
        </w:rPr>
        <w:t>自合同签订之日起八个月。</w:t>
      </w:r>
      <w:bookmarkEnd w:id="308"/>
    </w:p>
    <w:p w14:paraId="04ED2EF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四、配送时间：</w:t>
      </w:r>
      <w:r>
        <w:rPr>
          <w:rFonts w:hint="eastAsia" w:ascii="华文仿宋" w:hAnsi="华文仿宋" w:cs="华文仿宋"/>
          <w:b w:val="0"/>
          <w:bCs w:val="0"/>
          <w:kern w:val="0"/>
          <w:sz w:val="28"/>
          <w:szCs w:val="28"/>
          <w:lang w:val="en-US" w:eastAsia="zh-CN"/>
        </w:rPr>
        <w:t>配送当天上午9时00分前配送到指定位置；如遇特殊情况，采购人确需多次供货的，成交人应按照采购人要求及时将所需副食品配送到位。</w:t>
      </w:r>
    </w:p>
    <w:p w14:paraId="6DE85FCB">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五、付款方式：</w:t>
      </w:r>
      <w:r>
        <w:rPr>
          <w:rFonts w:hint="eastAsia" w:ascii="华文仿宋" w:hAnsi="华文仿宋" w:cs="华文仿宋"/>
          <w:b w:val="0"/>
          <w:bCs w:val="0"/>
          <w:kern w:val="0"/>
          <w:sz w:val="28"/>
          <w:szCs w:val="28"/>
          <w:lang w:val="en-US" w:eastAsia="zh-CN"/>
        </w:rPr>
        <w:t>由采购人直接付款，按月结算，于下一月初开票时间算起，7日内结算完毕。</w:t>
      </w:r>
    </w:p>
    <w:p w14:paraId="7D3218A5">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六、货物配送</w:t>
      </w:r>
    </w:p>
    <w:p w14:paraId="58FF71E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1.配送方法</w:t>
      </w:r>
    </w:p>
    <w:p w14:paraId="75F828B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（1）在与成交人签订《食材配送合同》中，由成交人和采购人共同拟订《食材配送质量标准书》。</w:t>
      </w:r>
    </w:p>
    <w:p w14:paraId="50438DE0">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（2）成交人接到配送订单后，将组织的蔬菜由分拣人员按《蔬菜配送质量标准书》分拣包装入筐，专人负责配送，采购人检验合格。</w:t>
      </w:r>
    </w:p>
    <w:p w14:paraId="4FAA0AC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（3）配送的食材由采购人的质量监督员验收。</w:t>
      </w:r>
    </w:p>
    <w:p w14:paraId="2BCE5F2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（4）所有食材供应商必须按照采购人要求的种类、规格进行供货，满足采购人食用需求。所有食材采购均以采购人通知为准，采购人有权根据实际需求量随时调整采购计划及供货时间段。</w:t>
      </w:r>
    </w:p>
    <w:p w14:paraId="67AE57C7">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2.车辆配送服务</w:t>
      </w:r>
    </w:p>
    <w:p w14:paraId="0ECBE89B">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成交人自备送货车（冷藏或恒温），安排专人及时供货，装卸费、送货费用及运输安全由供货方承担。</w:t>
      </w:r>
    </w:p>
    <w:p w14:paraId="08953DC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3.验收</w:t>
      </w:r>
    </w:p>
    <w:p w14:paraId="14C3CC74">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配送方到达指定地点，将货物清单送至采购人，采购人根据验收标准检验产品，清点货物，填写验收单，对于验收不合格的产品，成交人应及时处理，为此造成的损失及费用由成交人负责。</w:t>
      </w:r>
    </w:p>
    <w:p w14:paraId="0C04C22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原材料验收由采购人、成交人双方现场检验，对供应产品的质量无异议数量准确无误后签字，各自留存。</w:t>
      </w:r>
    </w:p>
    <w:p w14:paraId="4E71F12E">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七、采购标准</w:t>
      </w:r>
    </w:p>
    <w:p w14:paraId="3163FE8C">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必须符合原材料质量安全验收相关制度</w:t>
      </w:r>
    </w:p>
    <w:p w14:paraId="56E71D8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肉类必须保证提供为当日生产产品，肉身必须盖有卫生检疫章，同时出具加盖政府机构动物卫生监督所鲜章的动物检疫合格证明，畜肉品须色泽鲜亮、无任何异味、无毛、按压无注水，纹理清晰，肉质细腻，品质好。</w:t>
      </w:r>
    </w:p>
    <w:p w14:paraId="18FC9C4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2.禽类制品须肉面干净、无任何异味、无注水、无羽毛、表皮无疤痕，大小匀称、肉质紧致，码放整齐。</w:t>
      </w:r>
    </w:p>
    <w:p w14:paraId="6FBDA2D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蔬菜类必须保证无黄叶、枯死叶、无虫、无杂质，须当日采摘，当日供应，原菜须保证菜面干净、无明显泥土、码放整齐、无破损、大小基本统一、不得过熟或欠熟；净菜须保证菜面完全干净、无泥土、按统一标准加工、码放整齐、无须二次处理可以直接进行熟加工。</w:t>
      </w:r>
    </w:p>
    <w:p w14:paraId="0B6DF3C5">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4.蛋类须新鲜，不超过三日产品，大小均匀，外壳无破裂，光洁饱满的产品，周转箱堆放 。</w:t>
      </w:r>
    </w:p>
    <w:p w14:paraId="6981DA9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5.豆制类须保证食材干净、不含非食品用化学物质、按统一标准加工、码放整齐、无须二次处理可以直接进行熟加工。</w:t>
      </w:r>
    </w:p>
    <w:p w14:paraId="1BF1547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6.水果类需保证新鲜 ，无农药，无异味，无挤压、虫眼、过熟或欠熟，大小重量匀称等，表面无疤痕，果体光洁饱满。</w:t>
      </w:r>
    </w:p>
    <w:p w14:paraId="03050A91">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7.米、面、油类、大米须达国家1354～86特二级标准，水分含量在12°以下，无掺杂、无沙石，碎米少，无黄粒米；大米包装袋上印有大米品名、等级、数量、出厂名、厂家地址及电话。高筋面粉达GB8607国家标准，质量等级一级；低筋面粉达Q/JHMF01标准，质量等级一级；低筋面粉达Q/JHMF01标准，质量等级一级；色泽正常，干爽无异味；验收粮、油时必须要求供方提供经国家食品卫生检验检疫机构检验出具的该批次粮、油产品检验报告或合格证。</w:t>
      </w:r>
    </w:p>
    <w:p w14:paraId="595DCADC">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8.水产品类须保证鲜活、大小基本统一，水产类净菜须保证处理干净。表面无鳞片、血迹、内脏清理彻底、无异味。 </w:t>
      </w:r>
    </w:p>
    <w:p w14:paraId="2D7A0BFC">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9.冻品外包装需完整，无破损，无不封口现象，有生产日期。干货类须保证配送种类、品牌、规格，质量完全符合采购人要求，生产日期须在保质期二分之一之内，包装完整。</w:t>
      </w:r>
    </w:p>
    <w:p w14:paraId="0544D43D">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10.副食及其他需保证食材干净、不含非食品用化学物质、按统一标准加工、码放整齐、无须二次处理可以直接进行熟加工。</w:t>
      </w:r>
    </w:p>
    <w:p w14:paraId="5DF53EE1">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11.散装干货类物品、无任何破损、无挤压、无破碎、无异味、无任何表面附着物或衍生物，不掺假、不过期、不变味、无杂质、无毒无害，无霉变，符合国家食品卫生的有关规定。</w:t>
      </w:r>
    </w:p>
    <w:p w14:paraId="4B0500CB">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12.定量包装调味品及小食品、牛奶须保证品牌、品种、规格完全符合用餐要求，内外包装规格与标注相符，是符合国家食品行业规定的正规产品，出厂日期到收货日期间隔时间不得超出商品保质期限的三分之一，商品包装须有合格证及食品生产许可证编号和生产许可标识。无任何破损、无挤压、无破碎、无异味、无任何表面附着物或衍生物。</w:t>
      </w:r>
    </w:p>
    <w:p w14:paraId="4DC4899A">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八、服务承诺</w:t>
      </w:r>
    </w:p>
    <w:p w14:paraId="6778C380">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为了更好地服务于贵单位，供应商应承诺如下：</w:t>
      </w:r>
    </w:p>
    <w:p w14:paraId="29EE7BA5">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1.根据采购人需求，保证供货及时。</w:t>
      </w:r>
    </w:p>
    <w:p w14:paraId="6DC90230">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2.所有包装产品日期保证新鲜。</w:t>
      </w:r>
    </w:p>
    <w:p w14:paraId="0294910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保证所配送的各类食材符合国家食品安全标准要求，不掺杂、掺假、以次充好、以不合格品冒充合格品。保证蔬菜类做到：新鲜菜光滑、清脆鲜嫩，无变质腐烂、无黄叶、不带泥沙、无杂草；水果类做到新鲜，颜色亮丽，无变质腐烂。</w:t>
      </w:r>
    </w:p>
    <w:p w14:paraId="49B5010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九、供应责任</w:t>
      </w:r>
    </w:p>
    <w:p w14:paraId="6B65E1A1">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1.原材料成交人须保证所供原材料均为符合国家卫生、质量检验标准的正规产品，保证配送品种完全满足采购人要求，所有原材料每日均留存样品一份，保存时间为36小时，确认期间无任何食品安全问题后丢弃。</w:t>
      </w:r>
    </w:p>
    <w:p w14:paraId="47D47D2C">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2.原材料没有按时按要求配送到位，影响采购人餐厅正常开餐的，以当日需求计划总量两倍价款赔付当日损失，同时采购人将对责任原材料成交人进行处罚。</w:t>
      </w:r>
    </w:p>
    <w:p w14:paraId="1D1B842B">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3.原材料在验收时有不符合要求的，一律退回，成交人无条件重新更换配送货物，更换后仍然不符合标准的采购人有权对成交人处以一定金额的罚款。</w:t>
      </w:r>
    </w:p>
    <w:p w14:paraId="52AED86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4.任何因原材料质量问题导致的食品安全或食物中毒责任，在确认导致问题的原材料品种后，由该成交人承担全部法律责任与经济损失，除对采购人进行赔付外，采购人有权单方终止合同。</w:t>
      </w:r>
    </w:p>
    <w:p w14:paraId="159816B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5.根据采购人要求进行必要的货源组织，提供种类明细与价格。</w:t>
      </w:r>
    </w:p>
    <w:p w14:paraId="1664C688">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6.为与采购人合作成立独立小组或团队、项目经理介绍与组织架构设计。</w:t>
      </w:r>
    </w:p>
    <w:p w14:paraId="4F849CFF">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7.货源组织、配货、配送、验货、会计等专业对口人员的安排与职责划分。</w:t>
      </w:r>
    </w:p>
    <w:p w14:paraId="3EA1BFB5">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8.确保原材料新鲜、安全、及时的各类措施或组织管理办法。</w:t>
      </w:r>
    </w:p>
    <w:p w14:paraId="0F284647">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9.原材料成交人对于自身原材料生产、外部原材料的采购、销售，其合格标准与检验标准。</w:t>
      </w:r>
    </w:p>
    <w:p w14:paraId="70B91AEA">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10.原材料成交人对于可能的违约责任或食品安全责任的责任承担说明。</w:t>
      </w:r>
    </w:p>
    <w:p w14:paraId="58975787">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11.若当月其中单品价格涨幅（降幅）超过20%，应及时向采购人反馈，采购人知晓后应组织人员调研市场行情，若情况属实成交人有权要求价格调整（成交人申请并经采购人确认），结算时，按调整后的单价计算。按照供应商在接受采购人的每一笔付款前，应向采购人提供结算清单并开具相应金额的商业发票。对价格有异议的，可协商解决。每月结算的价款包含但不限于税费、运输费、仓储费、保管费等供应商为履行本合同所需的一切费用。</w:t>
      </w:r>
    </w:p>
    <w:p w14:paraId="051AE107">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12.针对采购人临时用餐接待、会议服务临时性保障任务，需在30分钟内响应服务，根据采购人需求提供食材保障。</w:t>
      </w:r>
    </w:p>
    <w:p w14:paraId="07EED1D8">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十、其他要求</w:t>
      </w:r>
    </w:p>
    <w:p w14:paraId="734FCC4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1.原材料成交人应严格遵守《中华人民共和国食品安全法》《中华人民共和国动物防疫法》《食品安全国家标准 食品添加剂使用标准》（GB 2760-2014）等相关规定，一经发现供应以下食品，除全部退货外，将取消供货单位的供货资格，并由供货商承担由此造成的经济责任和法律责任。</w:t>
      </w:r>
    </w:p>
    <w:p w14:paraId="65382A25">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（1）腐败变质，油脂酸败，霉变，生虫，污秽不洁，混有异物或者其他感官性状异常，含有毒，有害物质污染，可能对人体健康有害的食品。</w:t>
      </w:r>
    </w:p>
    <w:p w14:paraId="1BBBFBAE">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（2）含有毒、有害物质或者被有害物质污染，对人体健康有害的。</w:t>
      </w:r>
    </w:p>
    <w:p w14:paraId="50D35C3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（3）含有致病性寄生虫、微生物或者微生物含量超过国家限定标准的。</w:t>
      </w:r>
    </w:p>
    <w:p w14:paraId="5360FDF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（4）未经动物检疫部门检疫、检验或者检疫、检验不合格的肉类及其制品。</w:t>
      </w:r>
    </w:p>
    <w:p w14:paraId="63338978">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（5）掺假、掺杂、以次充好，影响营养、卫生的。</w:t>
      </w:r>
    </w:p>
    <w:p w14:paraId="262569D8">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（6）用非食品原料加工的，加入非食品用化学物质。</w:t>
      </w:r>
    </w:p>
    <w:p w14:paraId="51A4A8E2">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2.成交人在供货时不得提供以下产品，一经发现采购人有权取消该供货商供货资格。</w:t>
      </w:r>
    </w:p>
    <w:p w14:paraId="46D11329">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（1）无品名、产地、厂名，生产日期，保质期及中文标识及原料说明的定型包装食品。</w:t>
      </w:r>
    </w:p>
    <w:p w14:paraId="01779BF8">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（2）超过保质期限或不符合食品标签规定的定型包装食品。</w:t>
      </w:r>
    </w:p>
    <w:p w14:paraId="37B18D74">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（3）病死或者死因不明的水产品，畜，禽及其制品，劣质食用油，不合格调味品，工业用盐，非食品原料和滥用食品添加剂，农药残留超标的蔬菜等。</w:t>
      </w:r>
    </w:p>
    <w:p w14:paraId="1EA74DE8">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（4）其他不符合食品卫生标准和要求的食品。</w:t>
      </w:r>
    </w:p>
    <w:p w14:paraId="104C455E">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（3）成交人提供五年内无重大食品安全、人员安全事故声明。</w:t>
      </w:r>
    </w:p>
    <w:p w14:paraId="7946F64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十一、违约责任</w:t>
      </w:r>
    </w:p>
    <w:p w14:paraId="6D78A81F">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1.按照《中华人民共和国民法典》中的相关条款执行。</w:t>
      </w:r>
    </w:p>
    <w:p w14:paraId="2632F109">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2.未按合同要求提供货物质量不能满足技术要求，采购人有权终止合同，并对供方违约行为进行追究，同时按《中华人民共和国政府采购法》等有关规定进行处罚。</w:t>
      </w:r>
    </w:p>
    <w:p w14:paraId="70145FF3">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十二、争议解决：</w:t>
      </w:r>
      <w:r>
        <w:rPr>
          <w:rFonts w:hint="eastAsia" w:ascii="华文仿宋" w:hAnsi="华文仿宋" w:cs="华文仿宋"/>
          <w:b w:val="0"/>
          <w:bCs w:val="0"/>
          <w:kern w:val="0"/>
          <w:sz w:val="28"/>
          <w:szCs w:val="28"/>
          <w:lang w:val="en-US" w:eastAsia="zh-CN"/>
        </w:rPr>
        <w:t>若本合同执行过程中产生纠纷， 由采购人与成交人双方协商解决；若协商不成， 向采购人所在地的人民法院提起诉讼。</w:t>
      </w:r>
    </w:p>
    <w:p w14:paraId="0C0857EE">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十三、合同一经签订，不得擅自变更、中止或者终止合同。对确需变更、调整或者中止、终止合同的，应按规定履行相应的手续。</w:t>
      </w:r>
    </w:p>
    <w:p w14:paraId="563F63C7">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十四、本合同从签订之日起生效，合同规定的全部事宜和程序结束后终止。合同份数不低于四份，具体份数由采购人和成交供应商依需商定。</w:t>
      </w:r>
    </w:p>
    <w:p w14:paraId="563BC20C">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十五、未尽事宜由双方在签订合同时具体明确，但不得超出磋商文件合同草案规定。</w:t>
      </w:r>
    </w:p>
    <w:p w14:paraId="74EC9E4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本合同须经中心确认，否则无效。</w:t>
      </w:r>
    </w:p>
    <w:p w14:paraId="1655272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eastAsia="华文仿宋" w:cs="华文仿宋"/>
          <w:b w:val="0"/>
          <w:bCs w:val="0"/>
          <w:kern w:val="0"/>
          <w:sz w:val="28"/>
          <w:szCs w:val="28"/>
          <w:lang w:val="en-US" w:eastAsia="zh-CN"/>
        </w:rPr>
      </w:pPr>
    </w:p>
    <w:p w14:paraId="6255AB3A">
      <w:pPr>
        <w:rPr>
          <w:rFonts w:hint="eastAsia" w:ascii="华文仿宋" w:hAnsi="华文仿宋" w:cs="华文仿宋"/>
          <w:b w:val="0"/>
          <w:bCs w:val="0"/>
          <w:color w:val="000000"/>
          <w:sz w:val="28"/>
          <w:szCs w:val="28"/>
        </w:rPr>
      </w:pPr>
    </w:p>
    <w:p w14:paraId="231EB13A">
      <w:pPr>
        <w:rPr>
          <w:rFonts w:hint="eastAsia" w:ascii="华文仿宋" w:hAnsi="华文仿宋" w:cs="华文仿宋"/>
          <w:b w:val="0"/>
          <w:bCs w:val="0"/>
          <w:color w:val="000000"/>
          <w:sz w:val="28"/>
          <w:szCs w:val="28"/>
        </w:rPr>
      </w:pPr>
    </w:p>
    <w:p w14:paraId="3CA76111">
      <w:pPr>
        <w:pStyle w:val="4"/>
        <w:rPr>
          <w:rFonts w:hint="eastAsia" w:ascii="华文仿宋" w:hAnsi="华文仿宋" w:cs="华文仿宋"/>
          <w:b w:val="0"/>
          <w:bCs w:val="0"/>
          <w:color w:val="000000"/>
          <w:sz w:val="28"/>
          <w:szCs w:val="28"/>
        </w:rPr>
      </w:pPr>
    </w:p>
    <w:p w14:paraId="4B84D7B8">
      <w:pPr>
        <w:rPr>
          <w:rFonts w:hint="eastAsia" w:ascii="华文仿宋" w:hAnsi="华文仿宋" w:cs="华文仿宋"/>
          <w:b w:val="0"/>
          <w:bCs w:val="0"/>
          <w:color w:val="000000"/>
          <w:sz w:val="28"/>
          <w:szCs w:val="28"/>
        </w:rPr>
      </w:pPr>
    </w:p>
    <w:p w14:paraId="1963C583">
      <w:pPr>
        <w:pStyle w:val="4"/>
        <w:rPr>
          <w:rFonts w:hint="eastAsia" w:ascii="华文仿宋" w:hAnsi="华文仿宋" w:cs="华文仿宋"/>
          <w:b w:val="0"/>
          <w:bCs w:val="0"/>
          <w:color w:val="000000"/>
          <w:sz w:val="28"/>
          <w:szCs w:val="28"/>
        </w:rPr>
      </w:pPr>
    </w:p>
    <w:p w14:paraId="543928FB">
      <w:pPr>
        <w:rPr>
          <w:rFonts w:hint="eastAsia" w:ascii="华文仿宋" w:hAnsi="华文仿宋" w:cs="华文仿宋"/>
          <w:b w:val="0"/>
          <w:bCs w:val="0"/>
          <w:color w:val="000000"/>
          <w:sz w:val="28"/>
          <w:szCs w:val="28"/>
        </w:rPr>
      </w:pPr>
    </w:p>
    <w:p w14:paraId="68B4722A">
      <w:pPr>
        <w:pStyle w:val="4"/>
        <w:rPr>
          <w:rFonts w:hint="eastAsia" w:ascii="华文仿宋" w:hAnsi="华文仿宋" w:cs="华文仿宋"/>
          <w:b w:val="0"/>
          <w:bCs w:val="0"/>
          <w:color w:val="000000"/>
          <w:sz w:val="28"/>
          <w:szCs w:val="28"/>
        </w:rPr>
      </w:pPr>
    </w:p>
    <w:p w14:paraId="23A5B3B8">
      <w:pPr>
        <w:rPr>
          <w:rFonts w:hint="eastAsia" w:ascii="华文仿宋" w:hAnsi="华文仿宋" w:cs="华文仿宋"/>
          <w:b w:val="0"/>
          <w:bCs w:val="0"/>
          <w:color w:val="000000"/>
          <w:sz w:val="28"/>
          <w:szCs w:val="28"/>
        </w:rPr>
      </w:pPr>
    </w:p>
    <w:p w14:paraId="23D42B86">
      <w:pPr>
        <w:pStyle w:val="4"/>
        <w:rPr>
          <w:rFonts w:hint="eastAsia" w:ascii="华文仿宋" w:hAnsi="华文仿宋" w:cs="华文仿宋"/>
          <w:b w:val="0"/>
          <w:bCs w:val="0"/>
          <w:color w:val="000000"/>
          <w:sz w:val="28"/>
          <w:szCs w:val="28"/>
        </w:rPr>
      </w:pPr>
    </w:p>
    <w:p w14:paraId="1CC5D936">
      <w:pPr>
        <w:rPr>
          <w:rFonts w:hint="eastAsia" w:ascii="华文仿宋" w:hAnsi="华文仿宋" w:cs="华文仿宋"/>
          <w:b w:val="0"/>
          <w:bCs w:val="0"/>
          <w:color w:val="000000"/>
          <w:sz w:val="28"/>
          <w:szCs w:val="28"/>
        </w:rPr>
      </w:pPr>
    </w:p>
    <w:p w14:paraId="5FEFA38B">
      <w:pPr>
        <w:pStyle w:val="4"/>
        <w:rPr>
          <w:rFonts w:hint="eastAsia" w:ascii="华文仿宋" w:hAnsi="华文仿宋" w:cs="华文仿宋"/>
          <w:b w:val="0"/>
          <w:bCs w:val="0"/>
          <w:color w:val="000000"/>
          <w:sz w:val="28"/>
          <w:szCs w:val="28"/>
        </w:rPr>
      </w:pPr>
    </w:p>
    <w:p w14:paraId="03F88286">
      <w:pPr>
        <w:rPr>
          <w:rFonts w:hint="eastAsia" w:ascii="华文仿宋" w:hAnsi="华文仿宋" w:cs="华文仿宋"/>
          <w:b w:val="0"/>
          <w:bCs w:val="0"/>
          <w:color w:val="000000"/>
          <w:sz w:val="28"/>
          <w:szCs w:val="28"/>
        </w:rPr>
      </w:pPr>
    </w:p>
    <w:p w14:paraId="11EE7656">
      <w:pPr>
        <w:pStyle w:val="4"/>
        <w:rPr>
          <w:rFonts w:hint="eastAsia" w:ascii="华文仿宋" w:hAnsi="华文仿宋" w:cs="华文仿宋"/>
          <w:b w:val="0"/>
          <w:bCs w:val="0"/>
          <w:color w:val="000000"/>
          <w:sz w:val="28"/>
          <w:szCs w:val="28"/>
        </w:rPr>
      </w:pPr>
    </w:p>
    <w:p w14:paraId="294BB0A1">
      <w:pPr>
        <w:rPr>
          <w:rFonts w:hint="eastAsia" w:ascii="华文仿宋" w:hAnsi="华文仿宋" w:cs="华文仿宋"/>
          <w:b w:val="0"/>
          <w:bCs w:val="0"/>
          <w:color w:val="000000"/>
          <w:sz w:val="28"/>
          <w:szCs w:val="28"/>
        </w:rPr>
      </w:pPr>
    </w:p>
    <w:p w14:paraId="365B2D07">
      <w:pPr>
        <w:rPr>
          <w:rFonts w:hint="eastAsia" w:ascii="华文仿宋" w:hAnsi="华文仿宋" w:cs="华文仿宋"/>
          <w:b w:val="0"/>
          <w:bCs w:val="0"/>
          <w:color w:val="000000"/>
          <w:sz w:val="28"/>
          <w:szCs w:val="28"/>
        </w:rPr>
      </w:pPr>
    </w:p>
    <w:p w14:paraId="286581A0">
      <w:pPr>
        <w:rPr>
          <w:rFonts w:hint="eastAsia" w:ascii="华文仿宋" w:hAnsi="华文仿宋" w:cs="华文仿宋"/>
          <w:b w:val="0"/>
          <w:bCs w:val="0"/>
          <w:color w:val="000000"/>
          <w:sz w:val="28"/>
          <w:szCs w:val="28"/>
        </w:rPr>
      </w:pPr>
    </w:p>
    <w:p w14:paraId="435EB60C">
      <w:pPr>
        <w:rPr>
          <w:rFonts w:hint="eastAsia" w:ascii="华文仿宋" w:hAnsi="华文仿宋" w:cs="华文仿宋"/>
          <w:b w:val="0"/>
          <w:bCs w:val="0"/>
          <w:color w:val="000000"/>
          <w:sz w:val="28"/>
          <w:szCs w:val="28"/>
        </w:rPr>
      </w:pPr>
    </w:p>
    <w:p w14:paraId="7959E3D2">
      <w:pPr>
        <w:rPr>
          <w:rFonts w:hint="eastAsia" w:ascii="华文仿宋" w:hAnsi="华文仿宋" w:cs="华文仿宋"/>
          <w:b w:val="0"/>
          <w:bCs w:val="0"/>
          <w:color w:val="000000"/>
          <w:sz w:val="28"/>
          <w:szCs w:val="28"/>
        </w:rPr>
      </w:pPr>
    </w:p>
    <w:p w14:paraId="313BE7F0">
      <w:pPr>
        <w:rPr>
          <w:rFonts w:hint="eastAsia" w:ascii="华文仿宋" w:hAnsi="华文仿宋" w:cs="华文仿宋"/>
          <w:b w:val="0"/>
          <w:bCs w:val="0"/>
          <w:color w:val="000000"/>
          <w:sz w:val="28"/>
          <w:szCs w:val="28"/>
        </w:rPr>
      </w:pPr>
    </w:p>
    <w:p w14:paraId="69ABB9AE">
      <w:pPr>
        <w:rPr>
          <w:rFonts w:hint="eastAsia" w:ascii="华文仿宋" w:hAnsi="华文仿宋" w:cs="华文仿宋"/>
          <w:b w:val="0"/>
          <w:bCs w:val="0"/>
          <w:color w:val="000000"/>
          <w:sz w:val="28"/>
          <w:szCs w:val="28"/>
        </w:rPr>
      </w:pPr>
    </w:p>
    <w:p w14:paraId="05812ECB">
      <w:pPr>
        <w:rPr>
          <w:rFonts w:hint="eastAsia" w:ascii="华文仿宋" w:hAnsi="华文仿宋" w:cs="华文仿宋"/>
          <w:b w:val="0"/>
          <w:bCs w:val="0"/>
          <w:color w:val="000000"/>
          <w:sz w:val="28"/>
          <w:szCs w:val="28"/>
        </w:rPr>
      </w:pPr>
    </w:p>
    <w:p w14:paraId="7DDCBBE5">
      <w:pPr>
        <w:rPr>
          <w:rFonts w:hint="eastAsia" w:ascii="华文仿宋" w:hAnsi="华文仿宋" w:cs="华文仿宋"/>
          <w:b w:val="0"/>
          <w:bCs w:val="0"/>
          <w:color w:val="000000"/>
          <w:sz w:val="28"/>
          <w:szCs w:val="28"/>
        </w:rPr>
      </w:pPr>
    </w:p>
    <w:p w14:paraId="3B099590">
      <w:pPr>
        <w:pStyle w:val="4"/>
        <w:rPr>
          <w:rFonts w:hint="eastAsia" w:ascii="华文仿宋" w:hAnsi="华文仿宋" w:cs="华文仿宋"/>
          <w:b w:val="0"/>
          <w:bCs w:val="0"/>
          <w:color w:val="000000"/>
          <w:sz w:val="28"/>
          <w:szCs w:val="28"/>
        </w:rPr>
      </w:pPr>
    </w:p>
    <w:p w14:paraId="4E6F1E45">
      <w:pPr>
        <w:rPr>
          <w:rFonts w:hint="eastAsia"/>
        </w:rPr>
      </w:pPr>
    </w:p>
    <w:p w14:paraId="792198F9">
      <w:pPr>
        <w:rPr>
          <w:rFonts w:hint="eastAsia" w:ascii="华文仿宋" w:hAnsi="华文仿宋" w:cs="华文仿宋"/>
          <w:b w:val="0"/>
          <w:bCs w:val="0"/>
          <w:color w:val="000000"/>
          <w:sz w:val="28"/>
          <w:szCs w:val="28"/>
        </w:rPr>
      </w:pPr>
    </w:p>
    <w:p w14:paraId="1A70F96F">
      <w:pPr>
        <w:rPr>
          <w:rFonts w:hint="eastAsia" w:ascii="华文仿宋" w:hAnsi="华文仿宋" w:cs="华文仿宋"/>
          <w:b w:val="0"/>
          <w:bCs w:val="0"/>
          <w:color w:val="000000"/>
          <w:sz w:val="28"/>
          <w:szCs w:val="28"/>
        </w:rPr>
      </w:pPr>
    </w:p>
    <w:p w14:paraId="20A15379">
      <w:pPr>
        <w:rPr>
          <w:rFonts w:hint="eastAsia" w:ascii="华文仿宋" w:hAnsi="华文仿宋" w:cs="华文仿宋"/>
          <w:b w:val="0"/>
          <w:bCs w:val="0"/>
          <w:color w:val="000000"/>
          <w:sz w:val="28"/>
          <w:szCs w:val="28"/>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4"/>
        <w:rPr>
          <w:color w:val="000000"/>
        </w:rPr>
      </w:pPr>
    </w:p>
    <w:p w14:paraId="00B4211B">
      <w:pPr>
        <w:pStyle w:val="34"/>
        <w:rPr>
          <w:color w:val="000000"/>
        </w:rPr>
      </w:pPr>
    </w:p>
    <w:p w14:paraId="406E5026">
      <w:pPr>
        <w:pStyle w:val="34"/>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4"/>
        <w:rPr>
          <w:color w:val="000000"/>
          <w:sz w:val="20"/>
        </w:rPr>
      </w:pPr>
    </w:p>
    <w:p w14:paraId="44F47F5A">
      <w:pPr>
        <w:pStyle w:val="31"/>
        <w:spacing w:line="240" w:lineRule="auto"/>
        <w:ind w:firstLine="253" w:firstLineChars="70"/>
        <w:jc w:val="center"/>
        <w:rPr>
          <w:rFonts w:ascii="宋体" w:hAnsi="宋体" w:eastAsia="宋体"/>
          <w:color w:val="000000"/>
          <w:sz w:val="36"/>
          <w:szCs w:val="36"/>
        </w:rPr>
      </w:pPr>
    </w:p>
    <w:p w14:paraId="37259556">
      <w:pPr>
        <w:pStyle w:val="31"/>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31"/>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5" w:name="_Toc26349"/>
      <w:bookmarkStart w:id="146" w:name="_Toc26293"/>
      <w:bookmarkStart w:id="147" w:name="_Toc23235"/>
      <w:bookmarkStart w:id="148" w:name="_Toc257"/>
      <w:bookmarkStart w:id="149" w:name="_Toc20830"/>
      <w:bookmarkStart w:id="150" w:name="_Toc6132"/>
      <w:bookmarkStart w:id="151" w:name="_Toc24786"/>
      <w:bookmarkStart w:id="152" w:name="_Toc10248"/>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5"/>
      <w:bookmarkEnd w:id="146"/>
      <w:bookmarkEnd w:id="147"/>
      <w:bookmarkEnd w:id="148"/>
      <w:bookmarkEnd w:id="149"/>
      <w:bookmarkEnd w:id="150"/>
      <w:bookmarkEnd w:id="151"/>
      <w:bookmarkEnd w:id="152"/>
    </w:p>
    <w:p w14:paraId="7D703E59">
      <w:pPr>
        <w:pStyle w:val="31"/>
        <w:spacing w:line="240" w:lineRule="auto"/>
        <w:ind w:firstLine="310" w:firstLineChars="70"/>
        <w:jc w:val="center"/>
        <w:rPr>
          <w:rFonts w:ascii="华文仿宋" w:hAnsi="华文仿宋" w:cs="华文仿宋"/>
          <w:color w:val="000000"/>
          <w:sz w:val="44"/>
          <w:szCs w:val="44"/>
        </w:rPr>
      </w:pPr>
    </w:p>
    <w:p w14:paraId="33B01BD2">
      <w:pPr>
        <w:pStyle w:val="31"/>
        <w:spacing w:line="240" w:lineRule="auto"/>
        <w:ind w:firstLine="253" w:firstLineChars="70"/>
        <w:jc w:val="center"/>
        <w:rPr>
          <w:rFonts w:ascii="华文仿宋" w:hAnsi="华文仿宋" w:cs="华文仿宋"/>
          <w:color w:val="000000"/>
          <w:sz w:val="36"/>
          <w:szCs w:val="36"/>
        </w:rPr>
      </w:pPr>
    </w:p>
    <w:p w14:paraId="698198C2">
      <w:pPr>
        <w:pStyle w:val="31"/>
        <w:spacing w:line="240" w:lineRule="auto"/>
        <w:ind w:firstLine="0" w:firstLineChars="0"/>
        <w:jc w:val="center"/>
        <w:rPr>
          <w:rFonts w:ascii="华文仿宋" w:hAnsi="华文仿宋" w:cs="华文仿宋"/>
          <w:color w:val="000000"/>
          <w:kern w:val="0"/>
          <w:sz w:val="96"/>
          <w:szCs w:val="96"/>
        </w:rPr>
      </w:pPr>
      <w:bookmarkStart w:id="153" w:name="_Toc13950"/>
      <w:bookmarkStart w:id="154" w:name="_Toc8257"/>
      <w:bookmarkStart w:id="155" w:name="_Toc76"/>
      <w:bookmarkStart w:id="156" w:name="_Toc17700"/>
      <w:bookmarkStart w:id="157" w:name="_Toc16362"/>
      <w:bookmarkStart w:id="158" w:name="_Toc19569"/>
      <w:bookmarkStart w:id="159" w:name="_Toc20481"/>
      <w:bookmarkStart w:id="160" w:name="_Toc26378"/>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3"/>
      <w:bookmarkEnd w:id="154"/>
      <w:bookmarkEnd w:id="155"/>
      <w:bookmarkEnd w:id="156"/>
      <w:bookmarkEnd w:id="157"/>
      <w:bookmarkEnd w:id="158"/>
      <w:bookmarkEnd w:id="159"/>
      <w:bookmarkEnd w:id="160"/>
    </w:p>
    <w:p w14:paraId="2ADCB4B5">
      <w:pPr>
        <w:pStyle w:val="31"/>
        <w:spacing w:line="240" w:lineRule="auto"/>
        <w:ind w:firstLine="0" w:firstLineChars="0"/>
        <w:jc w:val="center"/>
        <w:rPr>
          <w:rFonts w:ascii="华文仿宋" w:hAnsi="华文仿宋" w:cs="华文仿宋"/>
          <w:color w:val="000000"/>
          <w:sz w:val="36"/>
          <w:szCs w:val="36"/>
        </w:rPr>
      </w:pPr>
    </w:p>
    <w:p w14:paraId="26A6CD33">
      <w:pPr>
        <w:pStyle w:val="31"/>
        <w:spacing w:line="240" w:lineRule="auto"/>
        <w:ind w:firstLine="0" w:firstLineChars="0"/>
        <w:jc w:val="center"/>
        <w:rPr>
          <w:rFonts w:ascii="华文仿宋" w:hAnsi="华文仿宋" w:cs="华文仿宋"/>
          <w:color w:val="000000"/>
          <w:sz w:val="36"/>
          <w:szCs w:val="36"/>
        </w:rPr>
      </w:pPr>
    </w:p>
    <w:p w14:paraId="29B3B128">
      <w:pPr>
        <w:pStyle w:val="31"/>
        <w:spacing w:line="240" w:lineRule="auto"/>
        <w:ind w:firstLine="0" w:firstLineChars="0"/>
        <w:jc w:val="center"/>
        <w:rPr>
          <w:rFonts w:ascii="华文仿宋" w:hAnsi="华文仿宋" w:cs="华文仿宋"/>
          <w:color w:val="000000"/>
          <w:sz w:val="36"/>
          <w:szCs w:val="36"/>
        </w:rPr>
      </w:pPr>
    </w:p>
    <w:p w14:paraId="4DABFD41">
      <w:pPr>
        <w:pStyle w:val="31"/>
        <w:spacing w:line="240" w:lineRule="auto"/>
        <w:ind w:firstLine="0" w:firstLineChars="0"/>
        <w:jc w:val="center"/>
        <w:rPr>
          <w:rFonts w:ascii="华文仿宋" w:hAnsi="华文仿宋" w:cs="华文仿宋"/>
          <w:color w:val="000000"/>
          <w:sz w:val="36"/>
          <w:szCs w:val="36"/>
        </w:rPr>
      </w:pPr>
    </w:p>
    <w:p w14:paraId="77F7F5F4">
      <w:pPr>
        <w:pStyle w:val="31"/>
        <w:spacing w:line="240" w:lineRule="auto"/>
        <w:ind w:firstLine="0" w:firstLineChars="0"/>
        <w:jc w:val="center"/>
        <w:rPr>
          <w:rFonts w:ascii="华文仿宋" w:hAnsi="华文仿宋" w:cs="华文仿宋"/>
          <w:color w:val="000000"/>
          <w:sz w:val="36"/>
        </w:rPr>
      </w:pPr>
    </w:p>
    <w:p w14:paraId="5B5C0DD1">
      <w:pPr>
        <w:pStyle w:val="31"/>
        <w:spacing w:line="240" w:lineRule="auto"/>
        <w:ind w:firstLine="1452" w:firstLineChars="400"/>
        <w:rPr>
          <w:rFonts w:hint="default" w:ascii="仿宋" w:hAnsi="仿宋" w:eastAsia="仿宋" w:cs="仿宋"/>
          <w:b/>
          <w:color w:val="000000"/>
          <w:sz w:val="36"/>
          <w:szCs w:val="36"/>
          <w:u w:val="single"/>
          <w:lang w:val="en-US" w:eastAsia="zh-CN"/>
        </w:rPr>
      </w:pPr>
      <w:bookmarkStart w:id="161" w:name="_Toc15354"/>
      <w:bookmarkStart w:id="162" w:name="_Toc23171"/>
      <w:bookmarkStart w:id="163" w:name="_Toc12627"/>
      <w:bookmarkStart w:id="164" w:name="_Toc2030"/>
      <w:bookmarkStart w:id="165" w:name="_Toc21212"/>
      <w:bookmarkStart w:id="166" w:name="_Toc24457"/>
      <w:bookmarkStart w:id="167" w:name="_Toc22280"/>
      <w:bookmarkStart w:id="168" w:name="_Toc24486"/>
      <w:r>
        <w:rPr>
          <w:rFonts w:hint="eastAsia" w:ascii="仿宋" w:hAnsi="仿宋" w:eastAsia="仿宋" w:cs="仿宋"/>
          <w:bCs/>
          <w:color w:val="000000"/>
          <w:sz w:val="36"/>
          <w:szCs w:val="36"/>
        </w:rPr>
        <w:t>项目名称：</w:t>
      </w:r>
      <w:bookmarkEnd w:id="161"/>
      <w:bookmarkEnd w:id="162"/>
      <w:bookmarkEnd w:id="163"/>
      <w:bookmarkEnd w:id="164"/>
      <w:bookmarkEnd w:id="165"/>
      <w:bookmarkEnd w:id="166"/>
      <w:bookmarkEnd w:id="167"/>
      <w:bookmarkEnd w:id="168"/>
      <w:r>
        <w:rPr>
          <w:rFonts w:hint="eastAsia" w:ascii="仿宋" w:hAnsi="仿宋" w:eastAsia="仿宋" w:cs="仿宋"/>
          <w:bCs/>
          <w:color w:val="000000"/>
          <w:sz w:val="36"/>
          <w:szCs w:val="36"/>
          <w:u w:val="single"/>
          <w:lang w:val="en-US" w:eastAsia="zh-CN"/>
        </w:rPr>
        <w:t xml:space="preserve">             </w:t>
      </w:r>
    </w:p>
    <w:p w14:paraId="383331CB">
      <w:pPr>
        <w:pStyle w:val="31"/>
        <w:spacing w:line="240" w:lineRule="auto"/>
        <w:ind w:firstLine="1452" w:firstLineChars="400"/>
        <w:rPr>
          <w:rFonts w:hint="default" w:ascii="仿宋" w:hAnsi="仿宋" w:eastAsia="仿宋" w:cs="仿宋"/>
          <w:color w:val="000000"/>
          <w:sz w:val="36"/>
          <w:szCs w:val="36"/>
          <w:u w:val="single"/>
        </w:rPr>
      </w:pPr>
      <w:bookmarkStart w:id="169" w:name="_Toc4485"/>
      <w:bookmarkStart w:id="170" w:name="_Toc346"/>
      <w:bookmarkStart w:id="171" w:name="_Toc12638"/>
      <w:bookmarkStart w:id="172" w:name="_Toc3140"/>
      <w:bookmarkStart w:id="173" w:name="_Toc27644"/>
      <w:bookmarkStart w:id="174" w:name="_Toc13586"/>
      <w:bookmarkStart w:id="175" w:name="_Toc6740"/>
      <w:bookmarkStart w:id="176" w:name="_Toc10738"/>
      <w:r>
        <w:rPr>
          <w:rFonts w:hint="eastAsia" w:ascii="仿宋" w:hAnsi="仿宋" w:eastAsia="仿宋" w:cs="仿宋"/>
          <w:color w:val="000000"/>
          <w:sz w:val="36"/>
          <w:szCs w:val="36"/>
        </w:rPr>
        <w:t>项目编号：</w:t>
      </w:r>
      <w:bookmarkEnd w:id="169"/>
      <w:bookmarkEnd w:id="170"/>
      <w:bookmarkEnd w:id="171"/>
      <w:bookmarkEnd w:id="172"/>
      <w:bookmarkEnd w:id="173"/>
      <w:bookmarkEnd w:id="174"/>
      <w:bookmarkEnd w:id="175"/>
      <w:bookmarkEnd w:id="176"/>
      <w:r>
        <w:rPr>
          <w:rFonts w:hint="eastAsia" w:ascii="仿宋" w:hAnsi="仿宋" w:eastAsia="仿宋" w:cs="仿宋"/>
          <w:color w:val="000000"/>
          <w:sz w:val="36"/>
          <w:szCs w:val="36"/>
          <w:u w:val="single"/>
          <w:lang w:val="en-US" w:eastAsia="zh-CN"/>
        </w:rPr>
        <w:t xml:space="preserve">             </w:t>
      </w:r>
    </w:p>
    <w:p w14:paraId="3787610E">
      <w:pPr>
        <w:pStyle w:val="31"/>
        <w:spacing w:line="240" w:lineRule="auto"/>
        <w:ind w:firstLine="1452" w:firstLineChars="400"/>
        <w:rPr>
          <w:rFonts w:ascii="仿宋" w:hAnsi="仿宋" w:eastAsia="仿宋" w:cs="仿宋"/>
          <w:color w:val="000000"/>
          <w:sz w:val="36"/>
        </w:rPr>
      </w:pPr>
      <w:bookmarkStart w:id="177" w:name="_Toc22519"/>
      <w:bookmarkStart w:id="178" w:name="_Toc11267"/>
      <w:bookmarkStart w:id="179" w:name="_Toc7640"/>
      <w:bookmarkStart w:id="180" w:name="_Toc21054"/>
      <w:bookmarkStart w:id="181" w:name="_Toc1120"/>
      <w:bookmarkStart w:id="182" w:name="_Toc5428"/>
      <w:bookmarkStart w:id="183" w:name="_Toc15987"/>
      <w:bookmarkStart w:id="184" w:name="_Toc29966"/>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7"/>
      <w:bookmarkEnd w:id="178"/>
      <w:bookmarkEnd w:id="179"/>
      <w:bookmarkEnd w:id="180"/>
      <w:bookmarkEnd w:id="181"/>
      <w:bookmarkEnd w:id="182"/>
      <w:bookmarkEnd w:id="183"/>
      <w:bookmarkEnd w:id="184"/>
    </w:p>
    <w:p w14:paraId="23334FD4">
      <w:pPr>
        <w:pStyle w:val="31"/>
        <w:spacing w:line="240" w:lineRule="auto"/>
        <w:ind w:firstLine="1452" w:firstLineChars="400"/>
        <w:jc w:val="left"/>
        <w:rPr>
          <w:rFonts w:hint="default" w:ascii="仿宋" w:hAnsi="仿宋" w:eastAsia="仿宋" w:cs="仿宋"/>
          <w:color w:val="000000"/>
          <w:sz w:val="36"/>
          <w:szCs w:val="36"/>
          <w:u w:val="single"/>
          <w:lang w:val="en-US" w:eastAsia="zh-CN"/>
        </w:rPr>
      </w:pPr>
      <w:bookmarkStart w:id="185" w:name="_Toc2899"/>
      <w:bookmarkStart w:id="186" w:name="_Toc24294"/>
      <w:bookmarkStart w:id="187" w:name="_Toc21702"/>
      <w:bookmarkStart w:id="188" w:name="_Toc880"/>
      <w:bookmarkStart w:id="189" w:name="_Toc15429"/>
      <w:bookmarkStart w:id="190" w:name="_Toc5243"/>
      <w:bookmarkStart w:id="191" w:name="_Toc26250"/>
      <w:bookmarkStart w:id="192" w:name="_Toc7734"/>
      <w:r>
        <w:rPr>
          <w:rFonts w:hint="eastAsia" w:ascii="仿宋" w:hAnsi="仿宋" w:eastAsia="仿宋" w:cs="仿宋"/>
          <w:color w:val="000000"/>
          <w:sz w:val="36"/>
        </w:rPr>
        <w:t>时　  间：</w:t>
      </w:r>
      <w:bookmarkEnd w:id="185"/>
      <w:bookmarkEnd w:id="186"/>
      <w:bookmarkEnd w:id="187"/>
      <w:bookmarkEnd w:id="188"/>
      <w:bookmarkEnd w:id="189"/>
      <w:bookmarkEnd w:id="190"/>
      <w:bookmarkEnd w:id="191"/>
      <w:bookmarkEnd w:id="192"/>
      <w:r>
        <w:rPr>
          <w:rFonts w:hint="eastAsia" w:ascii="仿宋" w:hAnsi="仿宋" w:eastAsia="仿宋" w:cs="仿宋"/>
          <w:color w:val="000000"/>
          <w:sz w:val="36"/>
          <w:u w:val="single"/>
          <w:lang w:val="en-US" w:eastAsia="zh-CN"/>
        </w:rPr>
        <w:t xml:space="preserve">             </w:t>
      </w:r>
    </w:p>
    <w:p w14:paraId="29E59F5D">
      <w:pPr>
        <w:pStyle w:val="31"/>
        <w:spacing w:line="240" w:lineRule="auto"/>
        <w:ind w:firstLine="1452" w:firstLineChars="400"/>
        <w:jc w:val="left"/>
        <w:rPr>
          <w:rFonts w:ascii="仿宋" w:hAnsi="仿宋" w:eastAsia="仿宋" w:cs="仿宋"/>
          <w:color w:val="000000"/>
          <w:sz w:val="36"/>
          <w:szCs w:val="36"/>
          <w:u w:val="single"/>
        </w:rPr>
      </w:pPr>
    </w:p>
    <w:p w14:paraId="71FFB00B">
      <w:pPr>
        <w:pStyle w:val="35"/>
        <w:ind w:firstLine="888"/>
        <w:outlineLvl w:val="9"/>
        <w:rPr>
          <w:rFonts w:ascii="Calibri Light" w:hAnsi="Calibri Light"/>
          <w:color w:val="000000"/>
          <w:sz w:val="36"/>
          <w:szCs w:val="36"/>
        </w:rPr>
      </w:pPr>
      <w:bookmarkStart w:id="193" w:name="_Toc11156"/>
      <w:bookmarkStart w:id="194" w:name="_Toc10193"/>
      <w:bookmarkStart w:id="195" w:name="_Toc22476_WPSOffice_Level1"/>
      <w:bookmarkStart w:id="196" w:name="_Toc2071_WPSOffice_Level1"/>
      <w:bookmarkStart w:id="197" w:name="_Toc23450"/>
      <w:bookmarkStart w:id="198" w:name="_Toc31082_WPSOffice_Level1"/>
      <w:bookmarkStart w:id="199" w:name="_Toc3838"/>
      <w:bookmarkStart w:id="200" w:name="_Toc24906"/>
      <w:bookmarkStart w:id="201" w:name="_Toc21571_WPSOffice_Level1"/>
      <w:r>
        <w:rPr>
          <w:rFonts w:hint="eastAsia" w:ascii="华文仿宋" w:hAnsi="华文仿宋" w:cs="华文仿宋"/>
          <w:color w:val="000000"/>
          <w:sz w:val="44"/>
          <w:szCs w:val="44"/>
        </w:rPr>
        <w:br w:type="page"/>
      </w:r>
      <w:bookmarkStart w:id="202" w:name="_Toc580"/>
      <w:r>
        <w:rPr>
          <w:rFonts w:hint="eastAsia" w:ascii="华文仿宋" w:hAnsi="华文仿宋" w:cs="华文仿宋"/>
          <w:color w:val="000000"/>
          <w:sz w:val="44"/>
          <w:szCs w:val="44"/>
        </w:rPr>
        <w:t>目  录</w:t>
      </w:r>
      <w:bookmarkEnd w:id="193"/>
      <w:bookmarkEnd w:id="194"/>
      <w:bookmarkEnd w:id="195"/>
      <w:bookmarkEnd w:id="196"/>
      <w:bookmarkEnd w:id="197"/>
      <w:bookmarkEnd w:id="198"/>
      <w:bookmarkEnd w:id="199"/>
      <w:bookmarkEnd w:id="200"/>
      <w:bookmarkEnd w:id="201"/>
      <w:bookmarkEnd w:id="202"/>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3" w:name="_Toc25537_WPSOffice_Level1"/>
      <w:bookmarkStart w:id="204" w:name="_Toc26192_WPSOffice_Level1"/>
      <w:bookmarkStart w:id="205" w:name="_Toc8294_WPSOffice_Level1"/>
      <w:bookmarkStart w:id="206" w:name="_Toc19993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3"/>
      <w:bookmarkEnd w:id="204"/>
      <w:bookmarkEnd w:id="205"/>
      <w:bookmarkEnd w:id="206"/>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7" w:name="_Toc25969_WPSOffice_Level2"/>
      <w:bookmarkStart w:id="208" w:name="_Toc14464_WPSOffice_Level2"/>
      <w:bookmarkStart w:id="209" w:name="_Toc19993_WPSOffice_Level2"/>
      <w:bookmarkStart w:id="210" w:name="_Toc31082_WPSOffice_Level2"/>
      <w:r>
        <w:rPr>
          <w:rFonts w:hint="eastAsia"/>
          <w:color w:val="000000"/>
        </w:rPr>
        <w:t>一、营业执照等主体资格证明文件</w:t>
      </w:r>
      <w:r>
        <w:rPr>
          <w:color w:val="000000"/>
        </w:rPr>
        <w:tab/>
      </w:r>
      <w:r>
        <w:rPr>
          <w:color w:val="000000"/>
        </w:rPr>
        <w:t>X</w:t>
      </w:r>
      <w:bookmarkEnd w:id="207"/>
      <w:bookmarkEnd w:id="208"/>
      <w:bookmarkEnd w:id="209"/>
      <w:bookmarkEnd w:id="210"/>
    </w:p>
    <w:p w14:paraId="411713C2">
      <w:pPr>
        <w:tabs>
          <w:tab w:val="right" w:leader="hyphen" w:pos="8504"/>
        </w:tabs>
        <w:spacing w:line="500" w:lineRule="exact"/>
        <w:ind w:right="849" w:rightChars="300" w:firstLine="1415" w:firstLineChars="500"/>
        <w:rPr>
          <w:color w:val="000000"/>
        </w:rPr>
      </w:pPr>
      <w:bookmarkStart w:id="211" w:name="_Toc27026_WPSOffice_Level2"/>
      <w:bookmarkStart w:id="212" w:name="_Toc5830_WPSOffice_Level2"/>
      <w:bookmarkStart w:id="213" w:name="_Toc25537_WPSOffice_Level2"/>
      <w:bookmarkStart w:id="214"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1"/>
      <w:bookmarkEnd w:id="212"/>
      <w:bookmarkEnd w:id="213"/>
      <w:bookmarkEnd w:id="214"/>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4F27D419">
      <w:pPr>
        <w:tabs>
          <w:tab w:val="right" w:leader="hyphen" w:pos="8504"/>
        </w:tabs>
        <w:spacing w:line="500" w:lineRule="exact"/>
        <w:ind w:right="849" w:rightChars="300" w:firstLine="1415" w:firstLineChars="500"/>
        <w:rPr>
          <w:rFonts w:hint="default"/>
          <w:color w:val="000000"/>
          <w:lang w:val="en-US" w:eastAsia="zh-CN"/>
        </w:rPr>
      </w:pPr>
      <w:r>
        <w:rPr>
          <w:rFonts w:hint="eastAsia"/>
          <w:color w:val="000000"/>
          <w:lang w:val="en-US" w:eastAsia="zh-CN"/>
        </w:rPr>
        <w:t>八、特定资格要求</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5" w:name="_Toc28631_WPSOffice_Level2"/>
      <w:bookmarkStart w:id="216" w:name="_Toc7348_WPSOffice_Level2"/>
      <w:bookmarkStart w:id="217" w:name="_Toc5795_WPSOffice_Level2"/>
      <w:bookmarkStart w:id="218" w:name="_Toc183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5"/>
      <w:bookmarkEnd w:id="216"/>
      <w:bookmarkEnd w:id="217"/>
      <w:bookmarkEnd w:id="218"/>
    </w:p>
    <w:p w14:paraId="0486DC73">
      <w:pPr>
        <w:tabs>
          <w:tab w:val="right" w:leader="hyphen" w:pos="8504"/>
        </w:tabs>
        <w:spacing w:line="500" w:lineRule="exact"/>
        <w:ind w:right="849" w:rightChars="300" w:firstLine="1415" w:firstLineChars="500"/>
        <w:rPr>
          <w:rFonts w:hint="eastAsia"/>
          <w:color w:val="000000"/>
        </w:rPr>
      </w:pPr>
      <w:bookmarkStart w:id="219" w:name="_Toc27223_WPSOffice_Level2"/>
      <w:bookmarkStart w:id="220" w:name="_Toc9021_WPSOffice_Level2"/>
      <w:bookmarkStart w:id="221" w:name="_Toc8116_WPSOffice_Level2"/>
      <w:bookmarkStart w:id="222" w:name="_Toc1168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9"/>
      <w:bookmarkEnd w:id="220"/>
      <w:bookmarkEnd w:id="221"/>
      <w:bookmarkEnd w:id="222"/>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3" w:name="_Toc11630_WPSOffice_Level2"/>
      <w:bookmarkStart w:id="224" w:name="_Toc3525_WPSOffice_Level2"/>
      <w:bookmarkStart w:id="225" w:name="_Toc27170_WPSOffice_Level2"/>
      <w:bookmarkStart w:id="226" w:name="_Toc29414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3"/>
      <w:bookmarkEnd w:id="224"/>
      <w:bookmarkEnd w:id="225"/>
      <w:bookmarkEnd w:id="226"/>
    </w:p>
    <w:p w14:paraId="0E468E6A">
      <w:pPr>
        <w:tabs>
          <w:tab w:val="right" w:leader="hyphen" w:pos="8504"/>
        </w:tabs>
        <w:spacing w:line="480" w:lineRule="exact"/>
        <w:ind w:right="849" w:rightChars="300" w:firstLine="1415" w:firstLineChars="500"/>
        <w:rPr>
          <w:color w:val="000000"/>
        </w:rPr>
      </w:pPr>
      <w:bookmarkStart w:id="227" w:name="_Toc18811_WPSOffice_Level2"/>
      <w:bookmarkStart w:id="228" w:name="_Toc31457_WPSOffice_Level2"/>
      <w:bookmarkStart w:id="229" w:name="_Toc1782_WPSOffice_Level2"/>
      <w:bookmarkStart w:id="230" w:name="_Toc20504_WPSOffice_Level2"/>
      <w:r>
        <w:rPr>
          <w:rFonts w:hint="eastAsia"/>
          <w:color w:val="000000"/>
          <w:lang w:val="en-US" w:eastAsia="zh-CN"/>
        </w:rPr>
        <w:t>五</w:t>
      </w:r>
      <w:r>
        <w:rPr>
          <w:rFonts w:hint="eastAsia"/>
          <w:color w:val="000000"/>
        </w:rPr>
        <w:t>、</w:t>
      </w:r>
      <w:bookmarkEnd w:id="227"/>
      <w:bookmarkEnd w:id="228"/>
      <w:bookmarkEnd w:id="229"/>
      <w:bookmarkEnd w:id="230"/>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1" w:name="_Toc17428_WPSOffice_Level2"/>
      <w:bookmarkStart w:id="232" w:name="_Toc13258_WPSOffice_Level2"/>
      <w:bookmarkStart w:id="233" w:name="_Toc28279_WPSOffice_Level2"/>
      <w:bookmarkStart w:id="234" w:name="_Toc19486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1"/>
      <w:bookmarkEnd w:id="232"/>
      <w:bookmarkEnd w:id="233"/>
      <w:bookmarkEnd w:id="234"/>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5" w:name="_Toc21905_WPSOffice_Level1"/>
      <w:bookmarkStart w:id="236" w:name="_Toc22808_WPSOffice_Level1"/>
      <w:bookmarkStart w:id="237" w:name="_Toc23092_WPSOffice_Level1"/>
      <w:bookmarkStart w:id="238" w:name="_Toc27464_WPSOffice_Level1"/>
      <w:r>
        <w:rPr>
          <w:rFonts w:hint="eastAsia" w:ascii="黑体" w:hAnsi="黑体" w:eastAsia="黑体" w:cs="黑体"/>
          <w:color w:val="000000"/>
        </w:rPr>
        <w:t>第三部分  响应方案</w:t>
      </w:r>
      <w:bookmarkEnd w:id="235"/>
      <w:bookmarkEnd w:id="236"/>
      <w:bookmarkEnd w:id="237"/>
      <w:bookmarkEnd w:id="238"/>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9" w:name="_Toc7951_WPSOffice_Level2"/>
      <w:bookmarkStart w:id="240" w:name="_Toc8316_WPSOffice_Level2"/>
      <w:bookmarkStart w:id="241" w:name="_Toc980_WPSOffice_Level2"/>
      <w:bookmarkStart w:id="242" w:name="_Toc7544_WPSOffice_Level2"/>
      <w:r>
        <w:rPr>
          <w:rFonts w:hint="eastAsia"/>
          <w:color w:val="000000"/>
        </w:rPr>
        <w:t>一、供应</w:t>
      </w:r>
      <w:r>
        <w:rPr>
          <w:color w:val="000000"/>
        </w:rPr>
        <w:t>商</w:t>
      </w:r>
      <w:bookmarkEnd w:id="239"/>
      <w:r>
        <w:rPr>
          <w:rFonts w:hint="eastAsia"/>
          <w:color w:val="000000"/>
        </w:rPr>
        <w:t>概况</w:t>
      </w:r>
      <w:r>
        <w:rPr>
          <w:color w:val="000000"/>
        </w:rPr>
        <w:tab/>
      </w:r>
      <w:r>
        <w:rPr>
          <w:color w:val="000000"/>
        </w:rPr>
        <w:t>X</w:t>
      </w:r>
      <w:bookmarkEnd w:id="240"/>
      <w:bookmarkEnd w:id="241"/>
      <w:bookmarkEnd w:id="242"/>
    </w:p>
    <w:p w14:paraId="5A27765E">
      <w:pPr>
        <w:tabs>
          <w:tab w:val="right" w:leader="hyphen" w:pos="8504"/>
        </w:tabs>
        <w:spacing w:line="500" w:lineRule="exact"/>
        <w:ind w:left="849" w:leftChars="300" w:right="849" w:rightChars="300" w:firstLine="566" w:firstLineChars="200"/>
        <w:rPr>
          <w:color w:val="000000"/>
        </w:rPr>
      </w:pPr>
      <w:bookmarkStart w:id="243" w:name="_Toc2987_WPSOffice_Level2"/>
      <w:bookmarkStart w:id="244" w:name="_Toc2999_WPSOffice_Level2"/>
      <w:bookmarkStart w:id="245" w:name="_Toc15474_WPSOffice_Level2"/>
      <w:bookmarkStart w:id="246"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3"/>
      <w:bookmarkEnd w:id="244"/>
      <w:bookmarkEnd w:id="245"/>
      <w:bookmarkEnd w:id="246"/>
    </w:p>
    <w:p w14:paraId="40CA49D7">
      <w:pPr>
        <w:numPr>
          <w:ilvl w:val="0"/>
          <w:numId w:val="6"/>
        </w:numPr>
        <w:tabs>
          <w:tab w:val="right" w:leader="hyphen" w:pos="8504"/>
        </w:tabs>
        <w:spacing w:line="500" w:lineRule="exact"/>
        <w:ind w:left="1981" w:leftChars="500" w:right="849" w:rightChars="300" w:hanging="566" w:hangingChars="200"/>
        <w:rPr>
          <w:color w:val="000000"/>
        </w:rPr>
      </w:pPr>
      <w:bookmarkStart w:id="247" w:name="_Toc13401_WPSOffice_Level2"/>
      <w:bookmarkStart w:id="248" w:name="_Toc28542_WPSOffice_Level2"/>
      <w:bookmarkStart w:id="249" w:name="_Toc22913_WPSOffice_Level2"/>
      <w:bookmarkStart w:id="250" w:name="_Toc15492_WPSOffice_Level2"/>
      <w:r>
        <w:rPr>
          <w:rFonts w:hint="eastAsia"/>
          <w:color w:val="000000"/>
        </w:rPr>
        <w:t>参考样表</w:t>
      </w:r>
      <w:r>
        <w:rPr>
          <w:color w:val="000000"/>
        </w:rPr>
        <w:tab/>
      </w:r>
      <w:r>
        <w:rPr>
          <w:color w:val="000000"/>
        </w:rPr>
        <w:t>X</w:t>
      </w:r>
      <w:bookmarkEnd w:id="247"/>
      <w:bookmarkEnd w:id="248"/>
      <w:bookmarkEnd w:id="249"/>
      <w:bookmarkEnd w:id="250"/>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1" w:name="_Toc31057"/>
      <w:bookmarkStart w:id="252" w:name="_Toc1807"/>
      <w:bookmarkStart w:id="253" w:name="_Toc13654"/>
      <w:r>
        <w:rPr>
          <w:rStyle w:val="36"/>
          <w:rFonts w:hint="eastAsia" w:ascii="黑体" w:hAnsi="黑体" w:eastAsia="黑体"/>
          <w:b w:val="0"/>
          <w:bCs w:val="0"/>
          <w:color w:val="000000"/>
        </w:rPr>
        <w:t>第一部分  资格证明文件</w:t>
      </w:r>
      <w:bookmarkEnd w:id="251"/>
      <w:bookmarkEnd w:id="252"/>
      <w:bookmarkEnd w:id="253"/>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7"/>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802"/>
        <w:gridCol w:w="1837"/>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802"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837"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7"/>
        <w:spacing w:line="500" w:lineRule="atLeast"/>
        <w:ind w:firstLine="607"/>
        <w:jc w:val="center"/>
        <w:outlineLvl w:val="9"/>
        <w:rPr>
          <w:rFonts w:cs="Times New Roman"/>
          <w:color w:val="000000"/>
          <w:szCs w:val="30"/>
        </w:rPr>
      </w:pPr>
      <w:bookmarkStart w:id="254" w:name="_Toc18044"/>
      <w:bookmarkStart w:id="255" w:name="_Toc15591"/>
      <w:bookmarkStart w:id="256" w:name="_Toc19326"/>
      <w:bookmarkStart w:id="257" w:name="_Toc29822"/>
      <w:bookmarkStart w:id="258" w:name="_Toc17482"/>
      <w:bookmarkStart w:id="259" w:name="_Toc9004"/>
      <w:bookmarkStart w:id="260" w:name="_Toc12408"/>
      <w:bookmarkStart w:id="261" w:name="_Toc13312"/>
      <w:r>
        <w:rPr>
          <w:rFonts w:hint="eastAsia" w:cs="华文仿宋"/>
          <w:color w:val="000000"/>
          <w:szCs w:val="30"/>
        </w:rPr>
        <w:t>法定代表人授权委托书</w:t>
      </w:r>
      <w:bookmarkEnd w:id="254"/>
      <w:bookmarkEnd w:id="255"/>
      <w:bookmarkEnd w:id="256"/>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7"/>
    </w:p>
    <w:bookmarkEnd w:id="258"/>
    <w:bookmarkEnd w:id="259"/>
    <w:bookmarkEnd w:id="260"/>
    <w:bookmarkEnd w:id="261"/>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0320D949">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4AC14BF5">
      <w:pPr>
        <w:pStyle w:val="35"/>
        <w:ind w:firstLine="0" w:firstLineChars="0"/>
        <w:rPr>
          <w:rFonts w:hint="eastAsia" w:ascii="黑体" w:hAnsi="黑体" w:eastAsia="黑体"/>
          <w:b w:val="0"/>
          <w:color w:val="000000"/>
        </w:rPr>
      </w:pPr>
      <w:bookmarkStart w:id="262" w:name="_Toc28770"/>
      <w:bookmarkStart w:id="263" w:name="_Toc16881"/>
    </w:p>
    <w:p w14:paraId="3FA7B3E6">
      <w:pPr>
        <w:pStyle w:val="35"/>
        <w:ind w:firstLine="0" w:firstLineChars="0"/>
        <w:rPr>
          <w:rFonts w:hint="eastAsia" w:ascii="黑体" w:hAnsi="黑体" w:eastAsia="黑体"/>
          <w:b w:val="0"/>
          <w:color w:val="000000"/>
        </w:rPr>
      </w:pPr>
    </w:p>
    <w:p w14:paraId="539CB749">
      <w:pPr>
        <w:pStyle w:val="35"/>
        <w:ind w:firstLine="0" w:firstLineChars="0"/>
        <w:rPr>
          <w:rFonts w:hint="eastAsia" w:ascii="黑体" w:hAnsi="黑体" w:eastAsia="黑体"/>
          <w:b w:val="0"/>
          <w:color w:val="000000"/>
        </w:rPr>
      </w:pPr>
    </w:p>
    <w:p w14:paraId="71DE320D">
      <w:pPr>
        <w:pStyle w:val="35"/>
        <w:ind w:firstLine="0" w:firstLineChars="0"/>
        <w:rPr>
          <w:rFonts w:hint="eastAsia" w:ascii="黑体" w:hAnsi="黑体" w:eastAsia="黑体"/>
          <w:b w:val="0"/>
          <w:color w:val="000000"/>
        </w:rPr>
      </w:pPr>
    </w:p>
    <w:p w14:paraId="73FFCD0E">
      <w:pPr>
        <w:pStyle w:val="35"/>
        <w:ind w:firstLine="0" w:firstLineChars="0"/>
        <w:rPr>
          <w:rFonts w:hint="eastAsia" w:ascii="黑体" w:hAnsi="黑体" w:eastAsia="黑体"/>
          <w:b w:val="0"/>
          <w:color w:val="000000"/>
        </w:rPr>
      </w:pPr>
    </w:p>
    <w:p w14:paraId="56DD0FAD">
      <w:pPr>
        <w:pStyle w:val="4"/>
        <w:numPr>
          <w:ilvl w:val="0"/>
          <w:numId w:val="0"/>
        </w:numPr>
        <w:ind w:firstLine="566" w:firstLineChars="200"/>
        <w:rPr>
          <w:rFonts w:hint="eastAsia"/>
          <w:b w:val="0"/>
          <w:bCs w:val="0"/>
        </w:rPr>
      </w:pPr>
      <w:r>
        <w:rPr>
          <w:rFonts w:hint="eastAsia" w:ascii="华文仿宋" w:hAnsi="华文仿宋" w:eastAsia="华文仿宋" w:cs="华文仿宋"/>
          <w:b/>
          <w:bCs/>
          <w:color w:val="auto"/>
          <w:kern w:val="2"/>
          <w:sz w:val="28"/>
          <w:szCs w:val="28"/>
          <w:highlight w:val="none"/>
          <w:lang w:val="en-US" w:eastAsia="zh-CN" w:bidi="ar-SA"/>
        </w:rPr>
        <w:t>八、特定资格要求：</w:t>
      </w:r>
      <w:r>
        <w:rPr>
          <w:rFonts w:hint="eastAsia"/>
          <w:b w:val="0"/>
          <w:bCs w:val="0"/>
        </w:rPr>
        <w:t>供应商须</w:t>
      </w:r>
      <w:r>
        <w:rPr>
          <w:rFonts w:hint="eastAsia"/>
          <w:b w:val="0"/>
          <w:bCs w:val="0"/>
          <w:lang w:eastAsia="zh-CN"/>
        </w:rPr>
        <w:t>提供</w:t>
      </w:r>
      <w:r>
        <w:rPr>
          <w:rFonts w:hint="eastAsia"/>
          <w:b w:val="0"/>
          <w:bCs w:val="0"/>
        </w:rPr>
        <w:t>有效的食品经营许可证或食品生产许可证或食品经营许可备案登记证或省级部门生鲜肉经营备案表（肉类）（原件或加盖投标人红色公章的复印件）。</w:t>
      </w:r>
    </w:p>
    <w:p w14:paraId="6399A65E">
      <w:pPr>
        <w:pStyle w:val="35"/>
        <w:ind w:firstLine="0" w:firstLineChars="0"/>
        <w:rPr>
          <w:rFonts w:hint="eastAsia" w:ascii="黑体" w:hAnsi="黑体" w:eastAsia="黑体"/>
          <w:b w:val="0"/>
          <w:color w:val="000000"/>
        </w:rPr>
      </w:pPr>
    </w:p>
    <w:p w14:paraId="00D20356">
      <w:pPr>
        <w:pStyle w:val="35"/>
        <w:ind w:firstLine="0" w:firstLineChars="0"/>
        <w:rPr>
          <w:rFonts w:hint="eastAsia" w:ascii="黑体" w:hAnsi="黑体" w:eastAsia="黑体"/>
          <w:b w:val="0"/>
          <w:color w:val="000000"/>
        </w:rPr>
      </w:pPr>
    </w:p>
    <w:p w14:paraId="61FF7EF7">
      <w:pPr>
        <w:pStyle w:val="35"/>
        <w:ind w:firstLine="0" w:firstLineChars="0"/>
        <w:rPr>
          <w:rFonts w:hint="eastAsia" w:ascii="黑体" w:hAnsi="黑体" w:eastAsia="黑体"/>
          <w:b w:val="0"/>
          <w:color w:val="000000"/>
        </w:rPr>
      </w:pPr>
    </w:p>
    <w:p w14:paraId="0BC3C38C">
      <w:pPr>
        <w:pStyle w:val="35"/>
        <w:ind w:firstLine="0" w:firstLineChars="0"/>
        <w:rPr>
          <w:rFonts w:hint="eastAsia" w:ascii="黑体" w:hAnsi="黑体" w:eastAsia="黑体"/>
          <w:b w:val="0"/>
          <w:color w:val="000000"/>
        </w:rPr>
      </w:pPr>
    </w:p>
    <w:p w14:paraId="21EFEA36">
      <w:pPr>
        <w:pStyle w:val="35"/>
        <w:keepNext w:val="0"/>
        <w:keepLines/>
        <w:pageBreakBefore/>
        <w:widowControl/>
        <w:kinsoku/>
        <w:wordWrap/>
        <w:overflowPunct/>
        <w:topLinePunct w:val="0"/>
        <w:autoSpaceDE/>
        <w:autoSpaceDN/>
        <w:bidi w:val="0"/>
        <w:adjustRightInd/>
        <w:snapToGrid/>
        <w:ind w:firstLine="0" w:firstLineChars="0"/>
        <w:textAlignment w:val="auto"/>
        <w:rPr>
          <w:rFonts w:ascii="黑体" w:hAnsi="黑体" w:eastAsia="黑体"/>
          <w:b w:val="0"/>
          <w:color w:val="000000"/>
        </w:rPr>
      </w:pPr>
      <w:bookmarkStart w:id="264" w:name="_Toc29074"/>
      <w:r>
        <w:rPr>
          <w:rFonts w:hint="eastAsia" w:ascii="黑体" w:hAnsi="黑体" w:eastAsia="黑体"/>
          <w:b w:val="0"/>
          <w:color w:val="000000"/>
        </w:rPr>
        <w:t>第二部分  符合性证明文件</w:t>
      </w:r>
      <w:bookmarkEnd w:id="262"/>
      <w:bookmarkEnd w:id="263"/>
      <w:bookmarkEnd w:id="264"/>
    </w:p>
    <w:p w14:paraId="4249899B">
      <w:pPr>
        <w:pStyle w:val="35"/>
        <w:ind w:firstLine="609"/>
        <w:jc w:val="both"/>
        <w:outlineLvl w:val="2"/>
        <w:rPr>
          <w:rFonts w:ascii="仿宋" w:hAnsi="仿宋" w:eastAsia="仿宋" w:cs="仿宋"/>
          <w:bCs w:val="0"/>
          <w:color w:val="000000"/>
        </w:rPr>
      </w:pPr>
      <w:bookmarkStart w:id="265" w:name="_Toc19788"/>
      <w:bookmarkStart w:id="266" w:name="_Toc19195"/>
      <w:bookmarkStart w:id="267" w:name="_Toc2230"/>
      <w:bookmarkStart w:id="268" w:name="_Toc14262"/>
      <w:r>
        <w:rPr>
          <w:rFonts w:hint="eastAsia" w:ascii="仿宋" w:hAnsi="仿宋" w:eastAsia="仿宋" w:cs="仿宋"/>
          <w:bCs w:val="0"/>
          <w:color w:val="000000"/>
        </w:rPr>
        <w:t>一、响应函格式</w:t>
      </w:r>
      <w:bookmarkEnd w:id="265"/>
      <w:bookmarkEnd w:id="266"/>
      <w:bookmarkEnd w:id="267"/>
      <w:bookmarkEnd w:id="268"/>
    </w:p>
    <w:p w14:paraId="58D43A13">
      <w:pPr>
        <w:pStyle w:val="31"/>
        <w:ind w:firstLine="0" w:firstLineChars="0"/>
        <w:jc w:val="center"/>
        <w:rPr>
          <w:rFonts w:ascii="黑体" w:hAnsi="黑体" w:eastAsia="黑体" w:cs="黑体"/>
          <w:color w:val="000000"/>
          <w:sz w:val="32"/>
          <w:szCs w:val="32"/>
        </w:rPr>
      </w:pPr>
      <w:bookmarkStart w:id="269" w:name="_Toc23334"/>
      <w:bookmarkStart w:id="270" w:name="_Toc10617"/>
      <w:bookmarkStart w:id="271" w:name="_Toc22777"/>
      <w:r>
        <w:rPr>
          <w:rFonts w:hint="eastAsia" w:ascii="黑体" w:hAnsi="黑体" w:eastAsia="黑体" w:cs="黑体"/>
          <w:color w:val="000000"/>
          <w:sz w:val="32"/>
          <w:szCs w:val="32"/>
        </w:rPr>
        <w:t>响应函</w:t>
      </w:r>
      <w:bookmarkEnd w:id="269"/>
      <w:bookmarkEnd w:id="270"/>
      <w:bookmarkEnd w:id="271"/>
    </w:p>
    <w:p w14:paraId="282EA6BA">
      <w:pPr>
        <w:pStyle w:val="31"/>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31"/>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31"/>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31"/>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31"/>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31"/>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31"/>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31"/>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31"/>
        <w:spacing w:line="500" w:lineRule="exact"/>
        <w:ind w:firstLine="567"/>
        <w:rPr>
          <w:rFonts w:ascii="华文仿宋" w:hAnsi="华文仿宋" w:cs="华文仿宋"/>
          <w:color w:val="000000"/>
        </w:rPr>
      </w:pPr>
    </w:p>
    <w:p w14:paraId="209525BA">
      <w:pPr>
        <w:pStyle w:val="31"/>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31"/>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31"/>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31"/>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31"/>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31"/>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31"/>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31"/>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31"/>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31"/>
        <w:ind w:firstLine="0" w:firstLineChars="0"/>
        <w:rPr>
          <w:rFonts w:ascii="华文仿宋" w:hAnsi="华文仿宋" w:cs="华文仿宋"/>
          <w:color w:val="000000"/>
          <w:sz w:val="36"/>
        </w:rPr>
      </w:pPr>
    </w:p>
    <w:p w14:paraId="4C6D3F6B">
      <w:pPr>
        <w:pStyle w:val="31"/>
        <w:ind w:firstLine="0" w:firstLineChars="0"/>
        <w:rPr>
          <w:color w:val="000000"/>
          <w:sz w:val="36"/>
        </w:rPr>
      </w:pPr>
    </w:p>
    <w:p w14:paraId="70C7C9DE">
      <w:pPr>
        <w:pStyle w:val="31"/>
        <w:ind w:firstLine="0" w:firstLineChars="0"/>
        <w:rPr>
          <w:color w:val="000000"/>
          <w:sz w:val="24"/>
          <w:szCs w:val="24"/>
        </w:rPr>
      </w:pPr>
    </w:p>
    <w:p w14:paraId="1EE38841">
      <w:pPr>
        <w:pStyle w:val="31"/>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31"/>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5"/>
        <w:ind w:firstLine="609"/>
        <w:jc w:val="both"/>
        <w:outlineLvl w:val="9"/>
        <w:rPr>
          <w:rFonts w:ascii="仿宋" w:hAnsi="仿宋" w:eastAsia="仿宋" w:cs="仿宋"/>
          <w:bCs w:val="0"/>
          <w:color w:val="000000"/>
        </w:rPr>
      </w:pPr>
      <w:bookmarkStart w:id="272" w:name="_Toc6921"/>
      <w:bookmarkStart w:id="273" w:name="_Toc24876"/>
      <w:bookmarkStart w:id="274" w:name="_Toc23660"/>
    </w:p>
    <w:p w14:paraId="1AF40D03">
      <w:pPr>
        <w:pStyle w:val="35"/>
        <w:ind w:firstLine="609"/>
        <w:jc w:val="both"/>
        <w:outlineLvl w:val="9"/>
        <w:rPr>
          <w:rFonts w:ascii="仿宋" w:hAnsi="仿宋" w:eastAsia="仿宋" w:cs="仿宋"/>
          <w:bCs w:val="0"/>
          <w:color w:val="000000"/>
        </w:rPr>
      </w:pPr>
    </w:p>
    <w:p w14:paraId="12E6B8AB">
      <w:pPr>
        <w:pStyle w:val="35"/>
        <w:ind w:firstLine="609"/>
        <w:jc w:val="both"/>
        <w:outlineLvl w:val="9"/>
        <w:rPr>
          <w:rFonts w:ascii="仿宋" w:hAnsi="仿宋" w:eastAsia="仿宋" w:cs="仿宋"/>
          <w:bCs w:val="0"/>
          <w:color w:val="000000"/>
        </w:rPr>
      </w:pPr>
    </w:p>
    <w:p w14:paraId="65D75D7C">
      <w:pPr>
        <w:pStyle w:val="35"/>
        <w:ind w:firstLine="609"/>
        <w:jc w:val="both"/>
        <w:outlineLvl w:val="9"/>
        <w:rPr>
          <w:rFonts w:ascii="仿宋" w:hAnsi="仿宋" w:eastAsia="仿宋" w:cs="仿宋"/>
          <w:bCs w:val="0"/>
          <w:color w:val="000000"/>
        </w:rPr>
      </w:pPr>
    </w:p>
    <w:p w14:paraId="33FAB430">
      <w:pPr>
        <w:pStyle w:val="35"/>
        <w:ind w:firstLine="609"/>
        <w:jc w:val="both"/>
        <w:outlineLvl w:val="9"/>
        <w:rPr>
          <w:rFonts w:ascii="仿宋" w:hAnsi="仿宋" w:eastAsia="仿宋" w:cs="仿宋"/>
          <w:bCs w:val="0"/>
          <w:color w:val="000000"/>
        </w:rPr>
      </w:pPr>
    </w:p>
    <w:p w14:paraId="7E6641E9">
      <w:pPr>
        <w:pStyle w:val="35"/>
        <w:ind w:firstLine="609"/>
        <w:jc w:val="both"/>
        <w:outlineLvl w:val="9"/>
        <w:rPr>
          <w:rFonts w:ascii="仿宋" w:hAnsi="仿宋" w:eastAsia="仿宋" w:cs="仿宋"/>
          <w:bCs w:val="0"/>
          <w:color w:val="000000"/>
        </w:rPr>
      </w:pPr>
    </w:p>
    <w:p w14:paraId="32D911F3">
      <w:pPr>
        <w:pStyle w:val="35"/>
        <w:ind w:firstLine="609"/>
        <w:jc w:val="both"/>
        <w:outlineLvl w:val="9"/>
        <w:rPr>
          <w:rFonts w:ascii="仿宋" w:hAnsi="仿宋" w:eastAsia="仿宋" w:cs="仿宋"/>
          <w:bCs w:val="0"/>
          <w:color w:val="000000"/>
        </w:rPr>
      </w:pPr>
    </w:p>
    <w:p w14:paraId="0306B5D9">
      <w:pPr>
        <w:pStyle w:val="35"/>
        <w:ind w:firstLine="609"/>
        <w:jc w:val="both"/>
        <w:outlineLvl w:val="9"/>
        <w:rPr>
          <w:rFonts w:ascii="仿宋" w:hAnsi="仿宋" w:eastAsia="仿宋" w:cs="仿宋"/>
          <w:bCs w:val="0"/>
          <w:color w:val="000000"/>
        </w:rPr>
      </w:pPr>
    </w:p>
    <w:bookmarkEnd w:id="272"/>
    <w:bookmarkEnd w:id="273"/>
    <w:bookmarkEnd w:id="274"/>
    <w:p w14:paraId="52129943">
      <w:pPr>
        <w:spacing w:line="500" w:lineRule="exact"/>
        <w:ind w:firstLine="6460" w:firstLineChars="2000"/>
        <w:rPr>
          <w:rFonts w:ascii="宋体" w:hAnsi="宋体"/>
          <w:b/>
          <w:bCs/>
          <w:color w:val="000000"/>
          <w:sz w:val="32"/>
          <w:szCs w:val="32"/>
        </w:rPr>
      </w:pPr>
    </w:p>
    <w:p w14:paraId="6E5D5EC2">
      <w:pPr>
        <w:spacing w:line="500" w:lineRule="exact"/>
        <w:rPr>
          <w:rFonts w:ascii="宋体" w:hAnsi="宋体"/>
          <w:b/>
          <w:bCs/>
          <w:color w:val="000000"/>
          <w:sz w:val="32"/>
          <w:szCs w:val="32"/>
        </w:rPr>
        <w:sectPr>
          <w:footerReference r:id="rId9" w:type="first"/>
          <w:headerReference r:id="rId7" w:type="default"/>
          <w:footerReference r:id="rId8" w:type="default"/>
          <w:pgSz w:w="11906" w:h="16838"/>
          <w:pgMar w:top="1304" w:right="1417" w:bottom="1304" w:left="1417" w:header="850" w:footer="624" w:gutter="0"/>
          <w:pgNumType w:fmt="decimal" w:start="1"/>
          <w:cols w:space="720" w:num="1"/>
          <w:docGrid w:type="linesAndChars" w:linePitch="381" w:charSpace="704"/>
        </w:sectPr>
      </w:pPr>
    </w:p>
    <w:p w14:paraId="78866ED1">
      <w:pPr>
        <w:pStyle w:val="35"/>
        <w:numPr>
          <w:ilvl w:val="0"/>
          <w:numId w:val="7"/>
        </w:numPr>
        <w:ind w:firstLine="609"/>
        <w:jc w:val="both"/>
        <w:outlineLvl w:val="2"/>
        <w:rPr>
          <w:rFonts w:hint="eastAsia" w:eastAsia="华文仿宋"/>
          <w:b/>
          <w:bCs/>
          <w:color w:val="000000"/>
          <w:sz w:val="30"/>
          <w:szCs w:val="30"/>
          <w:lang w:eastAsia="zh-CN"/>
        </w:rPr>
      </w:pPr>
      <w:bookmarkStart w:id="275" w:name="_Toc10520"/>
      <w:r>
        <w:rPr>
          <w:rFonts w:hint="eastAsia" w:ascii="仿宋" w:hAnsi="仿宋" w:eastAsia="仿宋" w:cs="仿宋"/>
          <w:color w:val="000000"/>
          <w:lang w:val="en-US" w:eastAsia="zh-CN"/>
        </w:rPr>
        <w:t>落实的政府采购政策</w:t>
      </w:r>
    </w:p>
    <w:p w14:paraId="0832D672">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val="0"/>
          <w:bCs w:val="0"/>
          <w:color w:val="auto"/>
          <w:sz w:val="28"/>
          <w:szCs w:val="28"/>
          <w:u w:val="single"/>
          <w:lang w:val="en-US" w:eastAsia="zh-CN"/>
        </w:rPr>
        <w:t>其他未列明行业</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其他未列明行业</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5"/>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5"/>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0"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5"/>
              <w:widowControl w:val="0"/>
              <w:spacing w:line="240" w:lineRule="auto"/>
              <w:ind w:firstLine="0" w:firstLineChars="0"/>
              <w:rPr>
                <w:rFonts w:ascii="仿宋" w:hAnsi="仿宋" w:eastAsia="仿宋" w:cs="仿宋"/>
                <w:b w:val="0"/>
                <w:bCs w:val="0"/>
                <w:color w:val="000000"/>
                <w:kern w:val="0"/>
                <w:sz w:val="24"/>
                <w:szCs w:val="24"/>
              </w:rPr>
            </w:pPr>
            <w:bookmarkStart w:id="276" w:name="_Toc16359"/>
            <w:bookmarkStart w:id="277" w:name="_Toc16202"/>
            <w:bookmarkStart w:id="278" w:name="_Toc28616"/>
            <w:bookmarkStart w:id="279" w:name="_Toc32559"/>
            <w:r>
              <w:rPr>
                <w:rFonts w:hint="eastAsia" w:ascii="仿宋" w:hAnsi="仿宋" w:eastAsia="仿宋" w:cs="仿宋"/>
                <w:bCs w:val="0"/>
                <w:color w:val="000000"/>
                <w:sz w:val="24"/>
                <w:szCs w:val="24"/>
              </w:rPr>
              <w:t>计量单位</w:t>
            </w:r>
            <w:bookmarkEnd w:id="276"/>
            <w:bookmarkEnd w:id="277"/>
            <w:bookmarkEnd w:id="278"/>
            <w:bookmarkEnd w:id="279"/>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5"/>
              <w:widowControl w:val="0"/>
              <w:spacing w:line="240" w:lineRule="auto"/>
              <w:ind w:firstLine="0" w:firstLineChars="0"/>
              <w:rPr>
                <w:rFonts w:ascii="仿宋" w:hAnsi="仿宋" w:eastAsia="仿宋" w:cs="仿宋"/>
                <w:b w:val="0"/>
                <w:bCs w:val="0"/>
                <w:color w:val="000000"/>
                <w:kern w:val="0"/>
                <w:sz w:val="24"/>
                <w:szCs w:val="24"/>
                <w:lang w:val="zh-CN"/>
              </w:rPr>
            </w:pPr>
            <w:bookmarkStart w:id="280" w:name="_Toc29236"/>
            <w:bookmarkStart w:id="281" w:name="_Toc26417"/>
            <w:bookmarkStart w:id="282" w:name="_Toc5340"/>
            <w:bookmarkStart w:id="283" w:name="_Toc4371"/>
            <w:r>
              <w:rPr>
                <w:rFonts w:hint="eastAsia" w:ascii="仿宋" w:hAnsi="仿宋" w:eastAsia="仿宋" w:cs="仿宋"/>
                <w:bCs w:val="0"/>
                <w:color w:val="000000"/>
                <w:sz w:val="24"/>
                <w:szCs w:val="24"/>
              </w:rPr>
              <w:t>具体要求说明</w:t>
            </w:r>
            <w:bookmarkEnd w:id="280"/>
            <w:bookmarkEnd w:id="281"/>
            <w:bookmarkEnd w:id="282"/>
            <w:bookmarkEnd w:id="283"/>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5"/>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5"/>
              <w:widowControl w:val="0"/>
              <w:spacing w:line="240" w:lineRule="auto"/>
              <w:ind w:firstLine="0" w:firstLineChars="0"/>
              <w:rPr>
                <w:rFonts w:ascii="仿宋" w:hAnsi="仿宋" w:eastAsia="仿宋" w:cs="仿宋"/>
                <w:bCs w:val="0"/>
                <w:color w:val="000000"/>
                <w:sz w:val="24"/>
                <w:szCs w:val="24"/>
              </w:rPr>
            </w:pPr>
            <w:bookmarkStart w:id="284" w:name="_Toc14670"/>
            <w:bookmarkStart w:id="285" w:name="_Toc9206"/>
            <w:bookmarkStart w:id="286" w:name="_Toc24317"/>
            <w:bookmarkStart w:id="287" w:name="_Toc18908"/>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5"/>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5"/>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4"/>
            <w:bookmarkEnd w:id="285"/>
            <w:bookmarkEnd w:id="286"/>
            <w:bookmarkEnd w:id="287"/>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9"/>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9"/>
        <w:rPr>
          <w:color w:val="000000"/>
        </w:rPr>
      </w:pPr>
    </w:p>
    <w:p w14:paraId="10481BDF">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1" w:type="default"/>
          <w:footerReference r:id="rId12"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9"/>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071719C9">
      <w:pPr>
        <w:pStyle w:val="35"/>
        <w:ind w:firstLine="609"/>
        <w:jc w:val="both"/>
        <w:outlineLvl w:val="2"/>
        <w:rPr>
          <w:rFonts w:ascii="仿宋" w:hAnsi="仿宋" w:eastAsia="仿宋" w:cs="仿宋"/>
          <w:bCs w:val="0"/>
          <w:color w:val="000000"/>
        </w:rPr>
      </w:pPr>
      <w:bookmarkStart w:id="288" w:name="_Toc19377"/>
      <w:bookmarkStart w:id="289" w:name="_Toc31382"/>
      <w:bookmarkStart w:id="290" w:name="_Toc27738"/>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1" w:name="_Toc20905"/>
      <w:r>
        <w:rPr>
          <w:rFonts w:hint="eastAsia" w:ascii="仿宋" w:hAnsi="仿宋" w:eastAsia="仿宋" w:cs="仿宋"/>
          <w:bCs w:val="0"/>
          <w:color w:val="000000"/>
        </w:rPr>
        <w:t>供应商</w:t>
      </w:r>
      <w:bookmarkEnd w:id="288"/>
      <w:bookmarkEnd w:id="289"/>
      <w:bookmarkEnd w:id="290"/>
      <w:r>
        <w:rPr>
          <w:rFonts w:hint="eastAsia" w:ascii="仿宋" w:hAnsi="仿宋" w:eastAsia="仿宋" w:cs="仿宋"/>
          <w:bCs w:val="0"/>
          <w:color w:val="000000"/>
        </w:rPr>
        <w:t>承诺书</w:t>
      </w:r>
      <w:bookmarkEnd w:id="291"/>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8"/>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5"/>
        <w:ind w:firstLine="0" w:firstLineChars="0"/>
        <w:rPr>
          <w:rFonts w:ascii="黑体" w:hAnsi="黑体" w:eastAsia="黑体"/>
          <w:b w:val="0"/>
          <w:color w:val="000000"/>
        </w:rPr>
      </w:pPr>
      <w:r>
        <w:rPr>
          <w:rFonts w:ascii="黑体" w:hAnsi="黑体" w:eastAsia="黑体"/>
          <w:b w:val="0"/>
          <w:color w:val="000000"/>
        </w:rPr>
        <w:br w:type="page"/>
      </w:r>
      <w:bookmarkStart w:id="292" w:name="_Toc11295"/>
      <w:bookmarkStart w:id="293" w:name="_Toc525"/>
      <w:bookmarkStart w:id="294" w:name="_Toc18795"/>
      <w:bookmarkStart w:id="295" w:name="_Toc15586"/>
      <w:bookmarkStart w:id="296" w:name="_Toc12899"/>
      <w:r>
        <w:rPr>
          <w:rFonts w:hint="eastAsia" w:ascii="黑体" w:hAnsi="黑体" w:eastAsia="黑体"/>
          <w:b w:val="0"/>
          <w:color w:val="000000"/>
          <w:sz w:val="32"/>
          <w:szCs w:val="36"/>
        </w:rPr>
        <w:t>第三部分  响应方案</w:t>
      </w:r>
      <w:bookmarkEnd w:id="292"/>
      <w:bookmarkEnd w:id="293"/>
      <w:bookmarkEnd w:id="294"/>
      <w:bookmarkEnd w:id="295"/>
      <w:bookmarkEnd w:id="296"/>
    </w:p>
    <w:p w14:paraId="397633A1">
      <w:pPr>
        <w:pStyle w:val="35"/>
        <w:ind w:firstLine="609"/>
        <w:jc w:val="both"/>
        <w:outlineLvl w:val="2"/>
        <w:rPr>
          <w:rFonts w:ascii="仿宋" w:hAnsi="仿宋" w:eastAsia="仿宋" w:cs="仿宋"/>
          <w:bCs w:val="0"/>
          <w:color w:val="000000"/>
        </w:rPr>
      </w:pPr>
      <w:bookmarkStart w:id="297" w:name="_Toc9337_WPSOffice_Level2"/>
      <w:bookmarkStart w:id="298" w:name="_Toc17621"/>
      <w:bookmarkStart w:id="299" w:name="_Toc7732"/>
      <w:bookmarkStart w:id="300" w:name="_Toc7989"/>
      <w:bookmarkStart w:id="301" w:name="_Toc15660_WPSOffice_Level2"/>
      <w:bookmarkStart w:id="302" w:name="_Toc11555"/>
      <w:bookmarkStart w:id="303" w:name="_Toc17062_WPSOffice_Level2"/>
      <w:bookmarkStart w:id="304" w:name="_Toc29975_WPSOffice_Level2"/>
      <w:bookmarkStart w:id="305" w:name="_Toc24887"/>
      <w:bookmarkStart w:id="306" w:name="_Toc9079"/>
      <w:bookmarkStart w:id="307" w:name="_Toc28702"/>
      <w:r>
        <w:rPr>
          <w:rFonts w:hint="eastAsia" w:ascii="仿宋" w:hAnsi="仿宋" w:eastAsia="仿宋" w:cs="仿宋"/>
          <w:bCs w:val="0"/>
          <w:color w:val="000000"/>
        </w:rPr>
        <w:t>一、供应商概况</w:t>
      </w:r>
      <w:bookmarkEnd w:id="297"/>
      <w:bookmarkEnd w:id="298"/>
      <w:bookmarkEnd w:id="299"/>
      <w:bookmarkEnd w:id="300"/>
      <w:bookmarkEnd w:id="301"/>
      <w:bookmarkEnd w:id="302"/>
      <w:bookmarkEnd w:id="303"/>
      <w:bookmarkEnd w:id="304"/>
      <w:bookmarkEnd w:id="305"/>
      <w:bookmarkEnd w:id="306"/>
      <w:bookmarkEnd w:id="307"/>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5"/>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headerReference r:id="rId13" w:type="default"/>
      <w:footerReference r:id="rId14"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tabs>
        <w:tab w:val="left" w:pos="368"/>
      </w:tabs>
      <w:jc w:val="center"/>
      <w:rPr>
        <w:rFonts w:hint="eastAsia" w:eastAsia="宋体"/>
        <w:lang w:eastAsia="zh-CN"/>
      </w:rPr>
    </w:pPr>
    <w:r>
      <w:rPr>
        <w:rFonts w:hint="eastAsia"/>
        <w:b w:val="0"/>
        <w:bCs w:val="0"/>
        <w:color w:val="auto"/>
        <w:lang w:eastAsia="zh-CN"/>
      </w:rPr>
      <w:t>延安市森林草原消防机动大队主副食配送服务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延安市森林草原消防机动大队主副食配送服务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color w:val="000000"/>
        <w:lang w:val="en-US" w:eastAsia="zh-CN"/>
      </w:rPr>
      <w:t>延安市森林草原消防机动大队主副食配送服务</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延安市森林草原消防机动大队主副食配送服务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E74408BC"/>
    <w:multiLevelType w:val="singleLevel"/>
    <w:tmpl w:val="E74408BC"/>
    <w:lvl w:ilvl="0" w:tentative="0">
      <w:start w:val="2"/>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5A625738"/>
    <w:multiLevelType w:val="singleLevel"/>
    <w:tmpl w:val="5A625738"/>
    <w:lvl w:ilvl="0" w:tentative="0">
      <w:start w:val="1"/>
      <w:numFmt w:val="chineseCounting"/>
      <w:suff w:val="space"/>
      <w:lvlText w:val="第%1章"/>
      <w:lvlJc w:val="left"/>
      <w:rPr>
        <w:rFonts w:hint="eastAsia"/>
      </w:rPr>
    </w:lvl>
  </w:abstractNum>
  <w:abstractNum w:abstractNumId="6">
    <w:nsid w:val="700C5CB2"/>
    <w:multiLevelType w:val="singleLevel"/>
    <w:tmpl w:val="700C5CB2"/>
    <w:lvl w:ilvl="0" w:tentative="0">
      <w:start w:val="2"/>
      <w:numFmt w:val="chineseCounting"/>
      <w:suff w:val="nothing"/>
      <w:lvlText w:val="%1、"/>
      <w:lvlJc w:val="left"/>
      <w:rPr>
        <w:rFonts w:hint="eastAsia"/>
      </w:rPr>
    </w:lvl>
  </w:abstractNum>
  <w:num w:numId="1">
    <w:abstractNumId w:val="4"/>
  </w:num>
  <w:num w:numId="2">
    <w:abstractNumId w:val="5"/>
  </w:num>
  <w:num w:numId="3">
    <w:abstractNumId w:val="0"/>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630F4"/>
    <w:rsid w:val="000942B7"/>
    <w:rsid w:val="00150EAD"/>
    <w:rsid w:val="00503069"/>
    <w:rsid w:val="005C4D2E"/>
    <w:rsid w:val="006836D3"/>
    <w:rsid w:val="007C717F"/>
    <w:rsid w:val="007E1154"/>
    <w:rsid w:val="00885B23"/>
    <w:rsid w:val="008C6C96"/>
    <w:rsid w:val="008E0C60"/>
    <w:rsid w:val="00B22BA0"/>
    <w:rsid w:val="00B708C9"/>
    <w:rsid w:val="00CD79DA"/>
    <w:rsid w:val="00FD6FFF"/>
    <w:rsid w:val="01064C9A"/>
    <w:rsid w:val="0106590A"/>
    <w:rsid w:val="01161381"/>
    <w:rsid w:val="0153724B"/>
    <w:rsid w:val="017165B7"/>
    <w:rsid w:val="017E6B98"/>
    <w:rsid w:val="018B236D"/>
    <w:rsid w:val="018E1CDD"/>
    <w:rsid w:val="01995B0E"/>
    <w:rsid w:val="01A422D2"/>
    <w:rsid w:val="01E6443F"/>
    <w:rsid w:val="01E90844"/>
    <w:rsid w:val="01EE19B6"/>
    <w:rsid w:val="020A0DA8"/>
    <w:rsid w:val="02183E82"/>
    <w:rsid w:val="022B570E"/>
    <w:rsid w:val="0241242E"/>
    <w:rsid w:val="02457A2C"/>
    <w:rsid w:val="026B3007"/>
    <w:rsid w:val="027D2D3A"/>
    <w:rsid w:val="029562D6"/>
    <w:rsid w:val="02CB0CA2"/>
    <w:rsid w:val="02CD1F13"/>
    <w:rsid w:val="02D13556"/>
    <w:rsid w:val="02D768EE"/>
    <w:rsid w:val="02E80AFB"/>
    <w:rsid w:val="02F6579D"/>
    <w:rsid w:val="03253AFD"/>
    <w:rsid w:val="032F5083"/>
    <w:rsid w:val="03351867"/>
    <w:rsid w:val="03767EB5"/>
    <w:rsid w:val="03AE3AF3"/>
    <w:rsid w:val="03D42E2E"/>
    <w:rsid w:val="03E33071"/>
    <w:rsid w:val="03FB660C"/>
    <w:rsid w:val="04115E30"/>
    <w:rsid w:val="041B2BA7"/>
    <w:rsid w:val="041E4679"/>
    <w:rsid w:val="04471852"/>
    <w:rsid w:val="045301F6"/>
    <w:rsid w:val="045C7680"/>
    <w:rsid w:val="047162A0"/>
    <w:rsid w:val="047D34C5"/>
    <w:rsid w:val="0482288A"/>
    <w:rsid w:val="04867C52"/>
    <w:rsid w:val="0490144A"/>
    <w:rsid w:val="04AD3DAA"/>
    <w:rsid w:val="04B663D0"/>
    <w:rsid w:val="04B74C29"/>
    <w:rsid w:val="04B90AB9"/>
    <w:rsid w:val="04C46E30"/>
    <w:rsid w:val="04ED064B"/>
    <w:rsid w:val="04FD0162"/>
    <w:rsid w:val="053C0609"/>
    <w:rsid w:val="05465EBB"/>
    <w:rsid w:val="055374D6"/>
    <w:rsid w:val="05597B30"/>
    <w:rsid w:val="055B7A87"/>
    <w:rsid w:val="05706667"/>
    <w:rsid w:val="057C1CC2"/>
    <w:rsid w:val="05950780"/>
    <w:rsid w:val="05985572"/>
    <w:rsid w:val="059C797B"/>
    <w:rsid w:val="05A0746B"/>
    <w:rsid w:val="05CA26AE"/>
    <w:rsid w:val="05CC0260"/>
    <w:rsid w:val="05CD2EB1"/>
    <w:rsid w:val="05CE19E6"/>
    <w:rsid w:val="05DB4947"/>
    <w:rsid w:val="05E732EC"/>
    <w:rsid w:val="05F11A75"/>
    <w:rsid w:val="05FD2B10"/>
    <w:rsid w:val="0620235A"/>
    <w:rsid w:val="0627193B"/>
    <w:rsid w:val="06500E91"/>
    <w:rsid w:val="06571C6C"/>
    <w:rsid w:val="067508F8"/>
    <w:rsid w:val="067F52D3"/>
    <w:rsid w:val="069279F6"/>
    <w:rsid w:val="069F5975"/>
    <w:rsid w:val="06A15565"/>
    <w:rsid w:val="06A72A7B"/>
    <w:rsid w:val="06B55971"/>
    <w:rsid w:val="06FC4B75"/>
    <w:rsid w:val="070007AB"/>
    <w:rsid w:val="07267E44"/>
    <w:rsid w:val="074810B3"/>
    <w:rsid w:val="07524795"/>
    <w:rsid w:val="075F6A10"/>
    <w:rsid w:val="07660241"/>
    <w:rsid w:val="0774651B"/>
    <w:rsid w:val="0781507A"/>
    <w:rsid w:val="07A019A5"/>
    <w:rsid w:val="07A03D8C"/>
    <w:rsid w:val="07CF1388"/>
    <w:rsid w:val="080041F1"/>
    <w:rsid w:val="08161C67"/>
    <w:rsid w:val="08535CDD"/>
    <w:rsid w:val="08602EE2"/>
    <w:rsid w:val="086A3D60"/>
    <w:rsid w:val="08A41020"/>
    <w:rsid w:val="08A92ADB"/>
    <w:rsid w:val="08B01682"/>
    <w:rsid w:val="08B576D2"/>
    <w:rsid w:val="08E6531C"/>
    <w:rsid w:val="09000221"/>
    <w:rsid w:val="090C4E18"/>
    <w:rsid w:val="090E293E"/>
    <w:rsid w:val="092E0A33"/>
    <w:rsid w:val="0935436E"/>
    <w:rsid w:val="093700E7"/>
    <w:rsid w:val="093C1139"/>
    <w:rsid w:val="09420839"/>
    <w:rsid w:val="0943175F"/>
    <w:rsid w:val="094E71DE"/>
    <w:rsid w:val="0969226A"/>
    <w:rsid w:val="09945156"/>
    <w:rsid w:val="09B41737"/>
    <w:rsid w:val="09F00295"/>
    <w:rsid w:val="0ABD286D"/>
    <w:rsid w:val="0AFD2C6A"/>
    <w:rsid w:val="0B0614D4"/>
    <w:rsid w:val="0B1F6DEE"/>
    <w:rsid w:val="0B2E1E80"/>
    <w:rsid w:val="0B5E5DFE"/>
    <w:rsid w:val="0B6A3BEB"/>
    <w:rsid w:val="0B6E78D8"/>
    <w:rsid w:val="0B753148"/>
    <w:rsid w:val="0B845139"/>
    <w:rsid w:val="0B8769D7"/>
    <w:rsid w:val="0B8827A8"/>
    <w:rsid w:val="0B892750"/>
    <w:rsid w:val="0B931ED3"/>
    <w:rsid w:val="0B9A495D"/>
    <w:rsid w:val="0BA80E28"/>
    <w:rsid w:val="0BAF665A"/>
    <w:rsid w:val="0BBE6B6A"/>
    <w:rsid w:val="0BCB0FBA"/>
    <w:rsid w:val="0BE675F8"/>
    <w:rsid w:val="0BF64289"/>
    <w:rsid w:val="0C2A7A8F"/>
    <w:rsid w:val="0C3A3E75"/>
    <w:rsid w:val="0C5B233E"/>
    <w:rsid w:val="0C7B17EF"/>
    <w:rsid w:val="0C8278CB"/>
    <w:rsid w:val="0CA8688D"/>
    <w:rsid w:val="0CE265BB"/>
    <w:rsid w:val="0CF42CB0"/>
    <w:rsid w:val="0CFD33F5"/>
    <w:rsid w:val="0D26294C"/>
    <w:rsid w:val="0D4227D8"/>
    <w:rsid w:val="0D654E36"/>
    <w:rsid w:val="0D974726"/>
    <w:rsid w:val="0DCB34F3"/>
    <w:rsid w:val="0DD71E98"/>
    <w:rsid w:val="0DE73C50"/>
    <w:rsid w:val="0DFB64F3"/>
    <w:rsid w:val="0DFC0475"/>
    <w:rsid w:val="0E0013EF"/>
    <w:rsid w:val="0E0302A0"/>
    <w:rsid w:val="0E121122"/>
    <w:rsid w:val="0E484619"/>
    <w:rsid w:val="0E5C20CA"/>
    <w:rsid w:val="0E835B7C"/>
    <w:rsid w:val="0E9465F6"/>
    <w:rsid w:val="0E990EFC"/>
    <w:rsid w:val="0E9B1118"/>
    <w:rsid w:val="0EAA48E1"/>
    <w:rsid w:val="0EB65F51"/>
    <w:rsid w:val="0EC51CF1"/>
    <w:rsid w:val="0EE320D8"/>
    <w:rsid w:val="0EEA5BFB"/>
    <w:rsid w:val="0EF83E74"/>
    <w:rsid w:val="0EFD148A"/>
    <w:rsid w:val="0F40581B"/>
    <w:rsid w:val="0F5A4B1A"/>
    <w:rsid w:val="0F8C5352"/>
    <w:rsid w:val="0F8C5DD4"/>
    <w:rsid w:val="0F933B9D"/>
    <w:rsid w:val="0FA364D6"/>
    <w:rsid w:val="0FB75ADD"/>
    <w:rsid w:val="0FBA381F"/>
    <w:rsid w:val="0FCB7000"/>
    <w:rsid w:val="0FD33704"/>
    <w:rsid w:val="10480E2B"/>
    <w:rsid w:val="104F55B9"/>
    <w:rsid w:val="106875CB"/>
    <w:rsid w:val="10AD0C8E"/>
    <w:rsid w:val="10B473E7"/>
    <w:rsid w:val="1111746F"/>
    <w:rsid w:val="111D59F8"/>
    <w:rsid w:val="113E5D8A"/>
    <w:rsid w:val="11494223"/>
    <w:rsid w:val="115A7068"/>
    <w:rsid w:val="11634536"/>
    <w:rsid w:val="117D2D56"/>
    <w:rsid w:val="11873B72"/>
    <w:rsid w:val="11991213"/>
    <w:rsid w:val="11B12B6C"/>
    <w:rsid w:val="11B92B3A"/>
    <w:rsid w:val="11BF336F"/>
    <w:rsid w:val="11C72224"/>
    <w:rsid w:val="11CB5870"/>
    <w:rsid w:val="11CE35B2"/>
    <w:rsid w:val="11CE710E"/>
    <w:rsid w:val="11DF756D"/>
    <w:rsid w:val="12163D18"/>
    <w:rsid w:val="12266F4A"/>
    <w:rsid w:val="122907E8"/>
    <w:rsid w:val="12693030"/>
    <w:rsid w:val="1284715D"/>
    <w:rsid w:val="12BA4725"/>
    <w:rsid w:val="12BE7183"/>
    <w:rsid w:val="12C31B2A"/>
    <w:rsid w:val="12C40D6D"/>
    <w:rsid w:val="13113756"/>
    <w:rsid w:val="13427DB4"/>
    <w:rsid w:val="13483D9B"/>
    <w:rsid w:val="13485EDB"/>
    <w:rsid w:val="13491142"/>
    <w:rsid w:val="134A310C"/>
    <w:rsid w:val="134A5D34"/>
    <w:rsid w:val="13503262"/>
    <w:rsid w:val="13631E88"/>
    <w:rsid w:val="13830225"/>
    <w:rsid w:val="13C0517C"/>
    <w:rsid w:val="13C82EBD"/>
    <w:rsid w:val="13D73634"/>
    <w:rsid w:val="13F37300"/>
    <w:rsid w:val="13F41F7E"/>
    <w:rsid w:val="13F56BD4"/>
    <w:rsid w:val="13F923DF"/>
    <w:rsid w:val="14014803"/>
    <w:rsid w:val="14072DAB"/>
    <w:rsid w:val="140B63F8"/>
    <w:rsid w:val="145204CA"/>
    <w:rsid w:val="146C6567"/>
    <w:rsid w:val="148625B0"/>
    <w:rsid w:val="14A423A8"/>
    <w:rsid w:val="14A75F77"/>
    <w:rsid w:val="14C30A80"/>
    <w:rsid w:val="14C667C2"/>
    <w:rsid w:val="14EA2EBE"/>
    <w:rsid w:val="14FE41AE"/>
    <w:rsid w:val="150E74E4"/>
    <w:rsid w:val="15217D53"/>
    <w:rsid w:val="154D47EE"/>
    <w:rsid w:val="155344FA"/>
    <w:rsid w:val="15787B7C"/>
    <w:rsid w:val="15CA5B4B"/>
    <w:rsid w:val="15D867AD"/>
    <w:rsid w:val="15EC2259"/>
    <w:rsid w:val="162912E3"/>
    <w:rsid w:val="16297009"/>
    <w:rsid w:val="16315EBE"/>
    <w:rsid w:val="166167A3"/>
    <w:rsid w:val="167364D6"/>
    <w:rsid w:val="168662A0"/>
    <w:rsid w:val="16953E88"/>
    <w:rsid w:val="16D74786"/>
    <w:rsid w:val="172B0B5F"/>
    <w:rsid w:val="1743234C"/>
    <w:rsid w:val="175E666B"/>
    <w:rsid w:val="17640690"/>
    <w:rsid w:val="177B15A9"/>
    <w:rsid w:val="17887D5F"/>
    <w:rsid w:val="17A22A5A"/>
    <w:rsid w:val="17F83137"/>
    <w:rsid w:val="1800023D"/>
    <w:rsid w:val="1814038D"/>
    <w:rsid w:val="18147845"/>
    <w:rsid w:val="18185636"/>
    <w:rsid w:val="182932F0"/>
    <w:rsid w:val="18371EB1"/>
    <w:rsid w:val="185B4FDD"/>
    <w:rsid w:val="185F6D12"/>
    <w:rsid w:val="18664452"/>
    <w:rsid w:val="186C7681"/>
    <w:rsid w:val="189831C8"/>
    <w:rsid w:val="18B16BD1"/>
    <w:rsid w:val="18BC4164"/>
    <w:rsid w:val="18C80D5B"/>
    <w:rsid w:val="18D771F0"/>
    <w:rsid w:val="18DD40DB"/>
    <w:rsid w:val="18F558C8"/>
    <w:rsid w:val="190C006F"/>
    <w:rsid w:val="191044B0"/>
    <w:rsid w:val="19191C06"/>
    <w:rsid w:val="1934019F"/>
    <w:rsid w:val="196A1E12"/>
    <w:rsid w:val="196F11D7"/>
    <w:rsid w:val="196F567B"/>
    <w:rsid w:val="19752927"/>
    <w:rsid w:val="198A7DBF"/>
    <w:rsid w:val="19974BFE"/>
    <w:rsid w:val="1998697F"/>
    <w:rsid w:val="19A05834"/>
    <w:rsid w:val="19A50AE7"/>
    <w:rsid w:val="19BD019E"/>
    <w:rsid w:val="19C71013"/>
    <w:rsid w:val="19F210D5"/>
    <w:rsid w:val="19FD4AA7"/>
    <w:rsid w:val="1A037B71"/>
    <w:rsid w:val="1A1A5F70"/>
    <w:rsid w:val="1A2639D1"/>
    <w:rsid w:val="1A4B2A44"/>
    <w:rsid w:val="1A6E76E0"/>
    <w:rsid w:val="1A7A42D7"/>
    <w:rsid w:val="1A845156"/>
    <w:rsid w:val="1A89276C"/>
    <w:rsid w:val="1A972B45"/>
    <w:rsid w:val="1ABF7590"/>
    <w:rsid w:val="1AC55423"/>
    <w:rsid w:val="1AC62ED8"/>
    <w:rsid w:val="1AC6751C"/>
    <w:rsid w:val="1AD32329"/>
    <w:rsid w:val="1ADC289C"/>
    <w:rsid w:val="1AF220BF"/>
    <w:rsid w:val="1AF851FC"/>
    <w:rsid w:val="1B0F3646"/>
    <w:rsid w:val="1B1D686F"/>
    <w:rsid w:val="1B281F85"/>
    <w:rsid w:val="1B304996"/>
    <w:rsid w:val="1B361E84"/>
    <w:rsid w:val="1B5A5FF4"/>
    <w:rsid w:val="1B6805D3"/>
    <w:rsid w:val="1B701236"/>
    <w:rsid w:val="1B7747A6"/>
    <w:rsid w:val="1B854CE1"/>
    <w:rsid w:val="1BBD18E9"/>
    <w:rsid w:val="1BE116DF"/>
    <w:rsid w:val="1BF72592"/>
    <w:rsid w:val="1C24274C"/>
    <w:rsid w:val="1C273FEB"/>
    <w:rsid w:val="1C2F10F1"/>
    <w:rsid w:val="1C3A34E8"/>
    <w:rsid w:val="1C3D650C"/>
    <w:rsid w:val="1C4113E5"/>
    <w:rsid w:val="1C533032"/>
    <w:rsid w:val="1C5E5533"/>
    <w:rsid w:val="1C6E12C2"/>
    <w:rsid w:val="1C6E7E6B"/>
    <w:rsid w:val="1C7A30C4"/>
    <w:rsid w:val="1C986C96"/>
    <w:rsid w:val="1C9C6787"/>
    <w:rsid w:val="1CA13D9D"/>
    <w:rsid w:val="1CC25AC1"/>
    <w:rsid w:val="1CE35C57"/>
    <w:rsid w:val="1D1665A9"/>
    <w:rsid w:val="1D231C99"/>
    <w:rsid w:val="1D2616DA"/>
    <w:rsid w:val="1D4665DA"/>
    <w:rsid w:val="1D70376F"/>
    <w:rsid w:val="1D737B22"/>
    <w:rsid w:val="1D85546D"/>
    <w:rsid w:val="1DA3134E"/>
    <w:rsid w:val="1DB775F0"/>
    <w:rsid w:val="1DDB5524"/>
    <w:rsid w:val="1DE96F38"/>
    <w:rsid w:val="1DEA52D0"/>
    <w:rsid w:val="1DF148B0"/>
    <w:rsid w:val="1E2A7DC2"/>
    <w:rsid w:val="1E2E3FC6"/>
    <w:rsid w:val="1E45667C"/>
    <w:rsid w:val="1E546B22"/>
    <w:rsid w:val="1E6F3A27"/>
    <w:rsid w:val="1EA47B74"/>
    <w:rsid w:val="1ED1023E"/>
    <w:rsid w:val="1EDF295B"/>
    <w:rsid w:val="1EF3668B"/>
    <w:rsid w:val="1EFE57D2"/>
    <w:rsid w:val="1F3233D2"/>
    <w:rsid w:val="1F4727DA"/>
    <w:rsid w:val="1F511C17"/>
    <w:rsid w:val="1F5844BB"/>
    <w:rsid w:val="1F5B337D"/>
    <w:rsid w:val="1F745799"/>
    <w:rsid w:val="1F797010"/>
    <w:rsid w:val="1F8C6655"/>
    <w:rsid w:val="1F971571"/>
    <w:rsid w:val="1FE17C1D"/>
    <w:rsid w:val="1FE90BAE"/>
    <w:rsid w:val="1FEC17D3"/>
    <w:rsid w:val="1FEF4E1F"/>
    <w:rsid w:val="20026C99"/>
    <w:rsid w:val="200603BB"/>
    <w:rsid w:val="20370574"/>
    <w:rsid w:val="20B35E4D"/>
    <w:rsid w:val="20F23661"/>
    <w:rsid w:val="21020B82"/>
    <w:rsid w:val="21072EE3"/>
    <w:rsid w:val="21393694"/>
    <w:rsid w:val="21983295"/>
    <w:rsid w:val="219C0FD7"/>
    <w:rsid w:val="21B3498B"/>
    <w:rsid w:val="21B37336"/>
    <w:rsid w:val="21DC0A61"/>
    <w:rsid w:val="21E8421C"/>
    <w:rsid w:val="21E964A3"/>
    <w:rsid w:val="220D5A31"/>
    <w:rsid w:val="221E7C3E"/>
    <w:rsid w:val="2248284A"/>
    <w:rsid w:val="22944E50"/>
    <w:rsid w:val="22B031B7"/>
    <w:rsid w:val="22FB7F7F"/>
    <w:rsid w:val="22FF181D"/>
    <w:rsid w:val="231449BC"/>
    <w:rsid w:val="2351194D"/>
    <w:rsid w:val="235D02F2"/>
    <w:rsid w:val="23650F38"/>
    <w:rsid w:val="236930C6"/>
    <w:rsid w:val="23952182"/>
    <w:rsid w:val="23A34D10"/>
    <w:rsid w:val="23B2156E"/>
    <w:rsid w:val="23BC3F4D"/>
    <w:rsid w:val="23C13D4C"/>
    <w:rsid w:val="23F72D5D"/>
    <w:rsid w:val="243A65CE"/>
    <w:rsid w:val="244514B2"/>
    <w:rsid w:val="24455956"/>
    <w:rsid w:val="246700A8"/>
    <w:rsid w:val="24763D61"/>
    <w:rsid w:val="24CF1A0F"/>
    <w:rsid w:val="24D97E4C"/>
    <w:rsid w:val="24DE36B4"/>
    <w:rsid w:val="250A44A9"/>
    <w:rsid w:val="251F3B5B"/>
    <w:rsid w:val="253D1A6A"/>
    <w:rsid w:val="254F72FB"/>
    <w:rsid w:val="25546F0C"/>
    <w:rsid w:val="25633D82"/>
    <w:rsid w:val="25804B6B"/>
    <w:rsid w:val="258C3110"/>
    <w:rsid w:val="259049AF"/>
    <w:rsid w:val="25B83F05"/>
    <w:rsid w:val="25B974F6"/>
    <w:rsid w:val="25BF3B7E"/>
    <w:rsid w:val="25D845A8"/>
    <w:rsid w:val="25DC5A76"/>
    <w:rsid w:val="26284BE7"/>
    <w:rsid w:val="26321976"/>
    <w:rsid w:val="264D2300"/>
    <w:rsid w:val="266D5053"/>
    <w:rsid w:val="268564DD"/>
    <w:rsid w:val="26882E12"/>
    <w:rsid w:val="26B4291F"/>
    <w:rsid w:val="26BD63AC"/>
    <w:rsid w:val="26E36D60"/>
    <w:rsid w:val="26F1147D"/>
    <w:rsid w:val="27190A70"/>
    <w:rsid w:val="272555CB"/>
    <w:rsid w:val="272D447F"/>
    <w:rsid w:val="277D3506"/>
    <w:rsid w:val="27835FC2"/>
    <w:rsid w:val="27AB2EB7"/>
    <w:rsid w:val="27BC6787"/>
    <w:rsid w:val="28003475"/>
    <w:rsid w:val="280E605F"/>
    <w:rsid w:val="28371501"/>
    <w:rsid w:val="285717B4"/>
    <w:rsid w:val="285B2042"/>
    <w:rsid w:val="287A7186"/>
    <w:rsid w:val="28836967"/>
    <w:rsid w:val="28B36B23"/>
    <w:rsid w:val="28C130D1"/>
    <w:rsid w:val="28C36E49"/>
    <w:rsid w:val="28D472A8"/>
    <w:rsid w:val="28DD1D90"/>
    <w:rsid w:val="28EA6ACC"/>
    <w:rsid w:val="28F23FA6"/>
    <w:rsid w:val="28F6721F"/>
    <w:rsid w:val="29172C46"/>
    <w:rsid w:val="29307688"/>
    <w:rsid w:val="29310257"/>
    <w:rsid w:val="294A1318"/>
    <w:rsid w:val="29514455"/>
    <w:rsid w:val="295D7732"/>
    <w:rsid w:val="298962E5"/>
    <w:rsid w:val="29B844D4"/>
    <w:rsid w:val="29C341E8"/>
    <w:rsid w:val="29CB726B"/>
    <w:rsid w:val="29CC3486"/>
    <w:rsid w:val="29DA269C"/>
    <w:rsid w:val="29E4176D"/>
    <w:rsid w:val="29E7300B"/>
    <w:rsid w:val="29EE7EF6"/>
    <w:rsid w:val="29FF0355"/>
    <w:rsid w:val="2A246AEB"/>
    <w:rsid w:val="2A2C0A1E"/>
    <w:rsid w:val="2A473886"/>
    <w:rsid w:val="2A573CED"/>
    <w:rsid w:val="2A596061"/>
    <w:rsid w:val="2A720B27"/>
    <w:rsid w:val="2A7C1065"/>
    <w:rsid w:val="2A7C3754"/>
    <w:rsid w:val="2A930A9D"/>
    <w:rsid w:val="2A9A62D0"/>
    <w:rsid w:val="2A9F38E6"/>
    <w:rsid w:val="2AA02968"/>
    <w:rsid w:val="2AAF1D7B"/>
    <w:rsid w:val="2AC944BF"/>
    <w:rsid w:val="2ADE62B2"/>
    <w:rsid w:val="2B6D12EE"/>
    <w:rsid w:val="2B7D7783"/>
    <w:rsid w:val="2BB331A5"/>
    <w:rsid w:val="2BC60FC8"/>
    <w:rsid w:val="2BFD6B16"/>
    <w:rsid w:val="2C0A1414"/>
    <w:rsid w:val="2C197C11"/>
    <w:rsid w:val="2C273B93"/>
    <w:rsid w:val="2C2B3B1E"/>
    <w:rsid w:val="2C484235"/>
    <w:rsid w:val="2C526E62"/>
    <w:rsid w:val="2C8F617F"/>
    <w:rsid w:val="2CB45044"/>
    <w:rsid w:val="2CBA2FBD"/>
    <w:rsid w:val="2CCE7FC5"/>
    <w:rsid w:val="2CD755B9"/>
    <w:rsid w:val="2CE90A48"/>
    <w:rsid w:val="2CEA709A"/>
    <w:rsid w:val="2CF9552F"/>
    <w:rsid w:val="2CFD01DC"/>
    <w:rsid w:val="2D0D0FDB"/>
    <w:rsid w:val="2D0F08AF"/>
    <w:rsid w:val="2D1876A4"/>
    <w:rsid w:val="2D283C7A"/>
    <w:rsid w:val="2D306A77"/>
    <w:rsid w:val="2D3447B9"/>
    <w:rsid w:val="2D630BFB"/>
    <w:rsid w:val="2D870D8D"/>
    <w:rsid w:val="2D9D235F"/>
    <w:rsid w:val="2DB62812"/>
    <w:rsid w:val="2DBE22D5"/>
    <w:rsid w:val="2DBF5292"/>
    <w:rsid w:val="2DC44785"/>
    <w:rsid w:val="2DD85145"/>
    <w:rsid w:val="2DF45CF7"/>
    <w:rsid w:val="2E0942AF"/>
    <w:rsid w:val="2E0B6E95"/>
    <w:rsid w:val="2E0C06A3"/>
    <w:rsid w:val="2E100D83"/>
    <w:rsid w:val="2E314855"/>
    <w:rsid w:val="2E861045"/>
    <w:rsid w:val="2E9F03ED"/>
    <w:rsid w:val="2EA25C4E"/>
    <w:rsid w:val="2ED3590C"/>
    <w:rsid w:val="2EF1054D"/>
    <w:rsid w:val="2F085524"/>
    <w:rsid w:val="2F44743E"/>
    <w:rsid w:val="2F472CFA"/>
    <w:rsid w:val="2F603644"/>
    <w:rsid w:val="2F6A2714"/>
    <w:rsid w:val="2F6F1AD9"/>
    <w:rsid w:val="2F8A246F"/>
    <w:rsid w:val="2F8C268B"/>
    <w:rsid w:val="2FD162F0"/>
    <w:rsid w:val="2FD26B56"/>
    <w:rsid w:val="2FF16992"/>
    <w:rsid w:val="2FF26187"/>
    <w:rsid w:val="2FFB572C"/>
    <w:rsid w:val="30110DE2"/>
    <w:rsid w:val="302503E9"/>
    <w:rsid w:val="3041203C"/>
    <w:rsid w:val="304A60A2"/>
    <w:rsid w:val="305D7B83"/>
    <w:rsid w:val="30915A7F"/>
    <w:rsid w:val="30A9101A"/>
    <w:rsid w:val="30B55C11"/>
    <w:rsid w:val="30C32657"/>
    <w:rsid w:val="30EC4205"/>
    <w:rsid w:val="30EF69E4"/>
    <w:rsid w:val="310929F9"/>
    <w:rsid w:val="312132A7"/>
    <w:rsid w:val="313308E4"/>
    <w:rsid w:val="313A0BD1"/>
    <w:rsid w:val="31404725"/>
    <w:rsid w:val="31440D43"/>
    <w:rsid w:val="31485E5B"/>
    <w:rsid w:val="31552F50"/>
    <w:rsid w:val="31615451"/>
    <w:rsid w:val="316867E0"/>
    <w:rsid w:val="316D3DF6"/>
    <w:rsid w:val="31735FEC"/>
    <w:rsid w:val="31905D36"/>
    <w:rsid w:val="31BB2DB3"/>
    <w:rsid w:val="32021C86"/>
    <w:rsid w:val="32582CF8"/>
    <w:rsid w:val="32593346"/>
    <w:rsid w:val="325B00F2"/>
    <w:rsid w:val="32A63A63"/>
    <w:rsid w:val="32B80009"/>
    <w:rsid w:val="32B83797"/>
    <w:rsid w:val="32BB6DE3"/>
    <w:rsid w:val="32CE4D68"/>
    <w:rsid w:val="32E04BAD"/>
    <w:rsid w:val="330D3A5D"/>
    <w:rsid w:val="3341378C"/>
    <w:rsid w:val="338C2FAC"/>
    <w:rsid w:val="339935C8"/>
    <w:rsid w:val="33C64231"/>
    <w:rsid w:val="33D2532E"/>
    <w:rsid w:val="33D47D4F"/>
    <w:rsid w:val="340A1DD0"/>
    <w:rsid w:val="34666500"/>
    <w:rsid w:val="346E6803"/>
    <w:rsid w:val="349C4646"/>
    <w:rsid w:val="34A71D15"/>
    <w:rsid w:val="34AF2977"/>
    <w:rsid w:val="34B43C68"/>
    <w:rsid w:val="34E40B78"/>
    <w:rsid w:val="34EB5D83"/>
    <w:rsid w:val="34FC4643"/>
    <w:rsid w:val="355A2DB4"/>
    <w:rsid w:val="355B6BD8"/>
    <w:rsid w:val="3565644E"/>
    <w:rsid w:val="35672FFF"/>
    <w:rsid w:val="356A5862"/>
    <w:rsid w:val="3575771D"/>
    <w:rsid w:val="35812566"/>
    <w:rsid w:val="3581411C"/>
    <w:rsid w:val="35814314"/>
    <w:rsid w:val="35867B7C"/>
    <w:rsid w:val="359027A9"/>
    <w:rsid w:val="359E1ADF"/>
    <w:rsid w:val="35A973C7"/>
    <w:rsid w:val="35FC1BEC"/>
    <w:rsid w:val="36392E40"/>
    <w:rsid w:val="364745B3"/>
    <w:rsid w:val="365D6B2F"/>
    <w:rsid w:val="367B236C"/>
    <w:rsid w:val="3692250F"/>
    <w:rsid w:val="36B97711"/>
    <w:rsid w:val="36BD312A"/>
    <w:rsid w:val="36E0506A"/>
    <w:rsid w:val="36E21696"/>
    <w:rsid w:val="36E903C3"/>
    <w:rsid w:val="36F122E3"/>
    <w:rsid w:val="36F62AE0"/>
    <w:rsid w:val="371E68C5"/>
    <w:rsid w:val="37304FEB"/>
    <w:rsid w:val="37410A59"/>
    <w:rsid w:val="374E46CA"/>
    <w:rsid w:val="376C4B50"/>
    <w:rsid w:val="37936580"/>
    <w:rsid w:val="37DC4F30"/>
    <w:rsid w:val="37ED7A3F"/>
    <w:rsid w:val="37FC5ED4"/>
    <w:rsid w:val="382B2790"/>
    <w:rsid w:val="38392C84"/>
    <w:rsid w:val="38455ACD"/>
    <w:rsid w:val="384E39BC"/>
    <w:rsid w:val="384E5558"/>
    <w:rsid w:val="3860524D"/>
    <w:rsid w:val="38845B55"/>
    <w:rsid w:val="388B6AFB"/>
    <w:rsid w:val="38960E85"/>
    <w:rsid w:val="38A34BF8"/>
    <w:rsid w:val="38B22A36"/>
    <w:rsid w:val="38DD49D6"/>
    <w:rsid w:val="38E5105E"/>
    <w:rsid w:val="39344543"/>
    <w:rsid w:val="394F0285"/>
    <w:rsid w:val="396B3311"/>
    <w:rsid w:val="39785A2E"/>
    <w:rsid w:val="397D1296"/>
    <w:rsid w:val="399C796E"/>
    <w:rsid w:val="39A17917"/>
    <w:rsid w:val="39E15381"/>
    <w:rsid w:val="3A2C2CB0"/>
    <w:rsid w:val="3A2D6818"/>
    <w:rsid w:val="3A3473AE"/>
    <w:rsid w:val="3A724367"/>
    <w:rsid w:val="3A743A5B"/>
    <w:rsid w:val="3A8E6472"/>
    <w:rsid w:val="3A9248CD"/>
    <w:rsid w:val="3A992100"/>
    <w:rsid w:val="3A9B73CB"/>
    <w:rsid w:val="3AD52E6E"/>
    <w:rsid w:val="3B0E3CCE"/>
    <w:rsid w:val="3B163750"/>
    <w:rsid w:val="3B2C2F74"/>
    <w:rsid w:val="3B3E6803"/>
    <w:rsid w:val="3B410244"/>
    <w:rsid w:val="3B8E778B"/>
    <w:rsid w:val="3B954FF7"/>
    <w:rsid w:val="3B985F13"/>
    <w:rsid w:val="3BE43653"/>
    <w:rsid w:val="3BFD046C"/>
    <w:rsid w:val="3C17152E"/>
    <w:rsid w:val="3C2F3E7A"/>
    <w:rsid w:val="3C371BD0"/>
    <w:rsid w:val="3C687483"/>
    <w:rsid w:val="3C8B7953"/>
    <w:rsid w:val="3C9F71B8"/>
    <w:rsid w:val="3CB13731"/>
    <w:rsid w:val="3CB13CE3"/>
    <w:rsid w:val="3CB804A0"/>
    <w:rsid w:val="3CBF05CA"/>
    <w:rsid w:val="3CD13DD3"/>
    <w:rsid w:val="3CE31410"/>
    <w:rsid w:val="3CF9475D"/>
    <w:rsid w:val="3D181C2D"/>
    <w:rsid w:val="3D1E2D4B"/>
    <w:rsid w:val="3D3703C7"/>
    <w:rsid w:val="3D453E79"/>
    <w:rsid w:val="3D4B66A5"/>
    <w:rsid w:val="3D4F3DCA"/>
    <w:rsid w:val="3DD77D43"/>
    <w:rsid w:val="3DDA0A65"/>
    <w:rsid w:val="3DE6740A"/>
    <w:rsid w:val="3DFF0391"/>
    <w:rsid w:val="3E0C4997"/>
    <w:rsid w:val="3E1F291C"/>
    <w:rsid w:val="3E264AF2"/>
    <w:rsid w:val="3E2D4AB9"/>
    <w:rsid w:val="3E4405D4"/>
    <w:rsid w:val="3E4E6333"/>
    <w:rsid w:val="3E614CE2"/>
    <w:rsid w:val="3E6D3687"/>
    <w:rsid w:val="3E7435A2"/>
    <w:rsid w:val="3E832EAB"/>
    <w:rsid w:val="3E8A248B"/>
    <w:rsid w:val="3ECD2378"/>
    <w:rsid w:val="3EE74323"/>
    <w:rsid w:val="3EF96368"/>
    <w:rsid w:val="3F055FB6"/>
    <w:rsid w:val="3F18759E"/>
    <w:rsid w:val="3F2C52F0"/>
    <w:rsid w:val="3F422D66"/>
    <w:rsid w:val="3F605BBD"/>
    <w:rsid w:val="3F6321EA"/>
    <w:rsid w:val="3F685210"/>
    <w:rsid w:val="3F7D3D9E"/>
    <w:rsid w:val="3F8051EC"/>
    <w:rsid w:val="3F9904AC"/>
    <w:rsid w:val="3FBB6674"/>
    <w:rsid w:val="3FD12164"/>
    <w:rsid w:val="3FFC1167"/>
    <w:rsid w:val="400172BB"/>
    <w:rsid w:val="4004001B"/>
    <w:rsid w:val="40273D0A"/>
    <w:rsid w:val="407E7DCE"/>
    <w:rsid w:val="408847A8"/>
    <w:rsid w:val="408A030B"/>
    <w:rsid w:val="40C17CBA"/>
    <w:rsid w:val="40E91C7A"/>
    <w:rsid w:val="410127AD"/>
    <w:rsid w:val="410302D3"/>
    <w:rsid w:val="41057DE0"/>
    <w:rsid w:val="411038CD"/>
    <w:rsid w:val="41214F2E"/>
    <w:rsid w:val="4156420D"/>
    <w:rsid w:val="41695BD4"/>
    <w:rsid w:val="41881F15"/>
    <w:rsid w:val="41911D83"/>
    <w:rsid w:val="4192346F"/>
    <w:rsid w:val="41A41AB6"/>
    <w:rsid w:val="41B63597"/>
    <w:rsid w:val="41BB6E00"/>
    <w:rsid w:val="41F37760"/>
    <w:rsid w:val="42002A64"/>
    <w:rsid w:val="42051E29"/>
    <w:rsid w:val="420B38E3"/>
    <w:rsid w:val="42440BA3"/>
    <w:rsid w:val="424B0183"/>
    <w:rsid w:val="424C7EC7"/>
    <w:rsid w:val="42632766"/>
    <w:rsid w:val="427F607F"/>
    <w:rsid w:val="42813BA5"/>
    <w:rsid w:val="42837B1B"/>
    <w:rsid w:val="42935686"/>
    <w:rsid w:val="42CD0B98"/>
    <w:rsid w:val="42CF2B62"/>
    <w:rsid w:val="42D77C69"/>
    <w:rsid w:val="42E14644"/>
    <w:rsid w:val="42FF2625"/>
    <w:rsid w:val="43023F34"/>
    <w:rsid w:val="43156CC7"/>
    <w:rsid w:val="432D1637"/>
    <w:rsid w:val="432F3B07"/>
    <w:rsid w:val="43591D9B"/>
    <w:rsid w:val="436A4639"/>
    <w:rsid w:val="43727992"/>
    <w:rsid w:val="43747266"/>
    <w:rsid w:val="43A4388B"/>
    <w:rsid w:val="43AF64F0"/>
    <w:rsid w:val="43BE3225"/>
    <w:rsid w:val="43C35D74"/>
    <w:rsid w:val="43E3619A"/>
    <w:rsid w:val="43F649EB"/>
    <w:rsid w:val="43FD36FF"/>
    <w:rsid w:val="440F51E1"/>
    <w:rsid w:val="44240C8C"/>
    <w:rsid w:val="44352FD3"/>
    <w:rsid w:val="44356037"/>
    <w:rsid w:val="446A2417"/>
    <w:rsid w:val="447D75CD"/>
    <w:rsid w:val="4488746D"/>
    <w:rsid w:val="44B74F0C"/>
    <w:rsid w:val="44D5342A"/>
    <w:rsid w:val="44D86915"/>
    <w:rsid w:val="44DF70AD"/>
    <w:rsid w:val="44E421C9"/>
    <w:rsid w:val="44F468B0"/>
    <w:rsid w:val="45062140"/>
    <w:rsid w:val="4545710C"/>
    <w:rsid w:val="45612332"/>
    <w:rsid w:val="456377EE"/>
    <w:rsid w:val="4565330A"/>
    <w:rsid w:val="456652D4"/>
    <w:rsid w:val="456D0411"/>
    <w:rsid w:val="45701CAF"/>
    <w:rsid w:val="4577128F"/>
    <w:rsid w:val="45783434"/>
    <w:rsid w:val="45C67123"/>
    <w:rsid w:val="45FF45A2"/>
    <w:rsid w:val="460D6DA0"/>
    <w:rsid w:val="461E572A"/>
    <w:rsid w:val="46267DEB"/>
    <w:rsid w:val="46380A1F"/>
    <w:rsid w:val="465C00A0"/>
    <w:rsid w:val="46601D24"/>
    <w:rsid w:val="466435C2"/>
    <w:rsid w:val="470703F1"/>
    <w:rsid w:val="470E79D1"/>
    <w:rsid w:val="475D3DA8"/>
    <w:rsid w:val="478E45D4"/>
    <w:rsid w:val="47BB30B2"/>
    <w:rsid w:val="47C85DD2"/>
    <w:rsid w:val="47D72A0D"/>
    <w:rsid w:val="47FF0499"/>
    <w:rsid w:val="48215A10"/>
    <w:rsid w:val="486C49B0"/>
    <w:rsid w:val="486D73A7"/>
    <w:rsid w:val="486F44A0"/>
    <w:rsid w:val="4893018E"/>
    <w:rsid w:val="489B7854"/>
    <w:rsid w:val="48AB372A"/>
    <w:rsid w:val="48E1539E"/>
    <w:rsid w:val="48F830FD"/>
    <w:rsid w:val="48FD7CFE"/>
    <w:rsid w:val="49211C3E"/>
    <w:rsid w:val="492653E3"/>
    <w:rsid w:val="49386D6A"/>
    <w:rsid w:val="49553BA0"/>
    <w:rsid w:val="495A6EFE"/>
    <w:rsid w:val="496438D9"/>
    <w:rsid w:val="499A554C"/>
    <w:rsid w:val="49A62143"/>
    <w:rsid w:val="49A63EF1"/>
    <w:rsid w:val="49A64E5C"/>
    <w:rsid w:val="49C23456"/>
    <w:rsid w:val="4A035B0E"/>
    <w:rsid w:val="4A0A26D2"/>
    <w:rsid w:val="4A325785"/>
    <w:rsid w:val="4A38723F"/>
    <w:rsid w:val="4A475589"/>
    <w:rsid w:val="4A493E9B"/>
    <w:rsid w:val="4A6A6D04"/>
    <w:rsid w:val="4A8A736F"/>
    <w:rsid w:val="4A8F2BD7"/>
    <w:rsid w:val="4AC26B09"/>
    <w:rsid w:val="4AC66BD0"/>
    <w:rsid w:val="4AC76815"/>
    <w:rsid w:val="4ACC5BD9"/>
    <w:rsid w:val="4ADE0EEB"/>
    <w:rsid w:val="4ADE5503"/>
    <w:rsid w:val="4AE9678B"/>
    <w:rsid w:val="4AF241A0"/>
    <w:rsid w:val="4B09298A"/>
    <w:rsid w:val="4B23143B"/>
    <w:rsid w:val="4B2B2900"/>
    <w:rsid w:val="4B3612A5"/>
    <w:rsid w:val="4B501DBF"/>
    <w:rsid w:val="4B5A1437"/>
    <w:rsid w:val="4B6B0F4E"/>
    <w:rsid w:val="4B7F0E9E"/>
    <w:rsid w:val="4B9C465E"/>
    <w:rsid w:val="4BE551A5"/>
    <w:rsid w:val="4C067917"/>
    <w:rsid w:val="4C115F9A"/>
    <w:rsid w:val="4C2B4E0D"/>
    <w:rsid w:val="4C46543A"/>
    <w:rsid w:val="4C6562E6"/>
    <w:rsid w:val="4C6D0CF6"/>
    <w:rsid w:val="4C6E2B99"/>
    <w:rsid w:val="4C6E7D48"/>
    <w:rsid w:val="4C856040"/>
    <w:rsid w:val="4C8E4F10"/>
    <w:rsid w:val="4CB608EF"/>
    <w:rsid w:val="4CB701C3"/>
    <w:rsid w:val="4CC0176E"/>
    <w:rsid w:val="4CD947ED"/>
    <w:rsid w:val="4CDB17E4"/>
    <w:rsid w:val="4CE973D5"/>
    <w:rsid w:val="4CFA4C80"/>
    <w:rsid w:val="4D025C37"/>
    <w:rsid w:val="4D027691"/>
    <w:rsid w:val="4D0B2FD8"/>
    <w:rsid w:val="4D1D44CA"/>
    <w:rsid w:val="4D27359B"/>
    <w:rsid w:val="4D302450"/>
    <w:rsid w:val="4D3637DE"/>
    <w:rsid w:val="4D5A571F"/>
    <w:rsid w:val="4D623393"/>
    <w:rsid w:val="4D644F78"/>
    <w:rsid w:val="4D704F42"/>
    <w:rsid w:val="4D9F3131"/>
    <w:rsid w:val="4E235B10"/>
    <w:rsid w:val="4E4D0DDF"/>
    <w:rsid w:val="4E5321ED"/>
    <w:rsid w:val="4E6016D6"/>
    <w:rsid w:val="4E6D76D3"/>
    <w:rsid w:val="4E816CDB"/>
    <w:rsid w:val="4E8C5DAC"/>
    <w:rsid w:val="4E8F351A"/>
    <w:rsid w:val="4EB250E6"/>
    <w:rsid w:val="4EBE7F2F"/>
    <w:rsid w:val="4EDB605D"/>
    <w:rsid w:val="4EE554BC"/>
    <w:rsid w:val="4F18038A"/>
    <w:rsid w:val="4F22226C"/>
    <w:rsid w:val="4F2C6C47"/>
    <w:rsid w:val="4F4F4D7D"/>
    <w:rsid w:val="4F587A3C"/>
    <w:rsid w:val="4F5E329D"/>
    <w:rsid w:val="4F711F6A"/>
    <w:rsid w:val="4F813C30"/>
    <w:rsid w:val="4F9273F2"/>
    <w:rsid w:val="4FBA06F6"/>
    <w:rsid w:val="4FBA78D0"/>
    <w:rsid w:val="4FCB6460"/>
    <w:rsid w:val="4FCE5E25"/>
    <w:rsid w:val="4FCE7CFE"/>
    <w:rsid w:val="50037B8F"/>
    <w:rsid w:val="500951DA"/>
    <w:rsid w:val="50096F88"/>
    <w:rsid w:val="50113D68"/>
    <w:rsid w:val="50134B6A"/>
    <w:rsid w:val="502323AF"/>
    <w:rsid w:val="504C214F"/>
    <w:rsid w:val="504D3319"/>
    <w:rsid w:val="505006DF"/>
    <w:rsid w:val="50BC3B9F"/>
    <w:rsid w:val="510A2FB8"/>
    <w:rsid w:val="51260225"/>
    <w:rsid w:val="512E314A"/>
    <w:rsid w:val="51360251"/>
    <w:rsid w:val="51421F58"/>
    <w:rsid w:val="51454E60"/>
    <w:rsid w:val="51477D68"/>
    <w:rsid w:val="51790BFB"/>
    <w:rsid w:val="51C27D36"/>
    <w:rsid w:val="51C71A20"/>
    <w:rsid w:val="51D3784E"/>
    <w:rsid w:val="51D75590"/>
    <w:rsid w:val="51DA6E2E"/>
    <w:rsid w:val="51FA74D0"/>
    <w:rsid w:val="520F7138"/>
    <w:rsid w:val="5214298C"/>
    <w:rsid w:val="522C72C3"/>
    <w:rsid w:val="522D734C"/>
    <w:rsid w:val="524A1938"/>
    <w:rsid w:val="524D13AE"/>
    <w:rsid w:val="526C6007"/>
    <w:rsid w:val="52B92EE7"/>
    <w:rsid w:val="52BB6C5F"/>
    <w:rsid w:val="52BE6184"/>
    <w:rsid w:val="52CA50F4"/>
    <w:rsid w:val="52DC2732"/>
    <w:rsid w:val="52E02222"/>
    <w:rsid w:val="52EF06B7"/>
    <w:rsid w:val="53041596"/>
    <w:rsid w:val="531D3476"/>
    <w:rsid w:val="533B37EB"/>
    <w:rsid w:val="53654E1D"/>
    <w:rsid w:val="538151F6"/>
    <w:rsid w:val="5382777D"/>
    <w:rsid w:val="53852DC9"/>
    <w:rsid w:val="53886B25"/>
    <w:rsid w:val="53AA2830"/>
    <w:rsid w:val="53BD2563"/>
    <w:rsid w:val="53C32D17"/>
    <w:rsid w:val="53D02F06"/>
    <w:rsid w:val="53FA37B7"/>
    <w:rsid w:val="53FB3961"/>
    <w:rsid w:val="5411012E"/>
    <w:rsid w:val="541D3002"/>
    <w:rsid w:val="54224ABC"/>
    <w:rsid w:val="542B571F"/>
    <w:rsid w:val="544C2E0C"/>
    <w:rsid w:val="544F3B03"/>
    <w:rsid w:val="545869BF"/>
    <w:rsid w:val="54596730"/>
    <w:rsid w:val="54616C3C"/>
    <w:rsid w:val="54617C92"/>
    <w:rsid w:val="54684BC5"/>
    <w:rsid w:val="548136DA"/>
    <w:rsid w:val="54833FB9"/>
    <w:rsid w:val="548B3E72"/>
    <w:rsid w:val="54992FD0"/>
    <w:rsid w:val="54996882"/>
    <w:rsid w:val="54BF046F"/>
    <w:rsid w:val="54CF07A0"/>
    <w:rsid w:val="54D264E2"/>
    <w:rsid w:val="54F71AA5"/>
    <w:rsid w:val="554259E1"/>
    <w:rsid w:val="55614BA6"/>
    <w:rsid w:val="556F3D31"/>
    <w:rsid w:val="55A80624"/>
    <w:rsid w:val="55EB160A"/>
    <w:rsid w:val="56091B70"/>
    <w:rsid w:val="560B3A5A"/>
    <w:rsid w:val="5627460C"/>
    <w:rsid w:val="56286D65"/>
    <w:rsid w:val="56286E64"/>
    <w:rsid w:val="564B20A8"/>
    <w:rsid w:val="564D3489"/>
    <w:rsid w:val="5653734D"/>
    <w:rsid w:val="566B274A"/>
    <w:rsid w:val="567011C6"/>
    <w:rsid w:val="568023CE"/>
    <w:rsid w:val="56834170"/>
    <w:rsid w:val="569F11EB"/>
    <w:rsid w:val="56A21888"/>
    <w:rsid w:val="56C34335"/>
    <w:rsid w:val="56E0268F"/>
    <w:rsid w:val="57016C0B"/>
    <w:rsid w:val="57160908"/>
    <w:rsid w:val="57517B92"/>
    <w:rsid w:val="575A3F96"/>
    <w:rsid w:val="57672713"/>
    <w:rsid w:val="577613A7"/>
    <w:rsid w:val="577A36AD"/>
    <w:rsid w:val="577C0670"/>
    <w:rsid w:val="578C4726"/>
    <w:rsid w:val="57A37CC2"/>
    <w:rsid w:val="57AC603B"/>
    <w:rsid w:val="57B16AC2"/>
    <w:rsid w:val="57B91294"/>
    <w:rsid w:val="57BD1AF6"/>
    <w:rsid w:val="57BF6720"/>
    <w:rsid w:val="57EA19EE"/>
    <w:rsid w:val="57EE718F"/>
    <w:rsid w:val="582C5F09"/>
    <w:rsid w:val="584E7C2E"/>
    <w:rsid w:val="585316E8"/>
    <w:rsid w:val="585D4315"/>
    <w:rsid w:val="586E207E"/>
    <w:rsid w:val="587358E6"/>
    <w:rsid w:val="5889335C"/>
    <w:rsid w:val="588C69A8"/>
    <w:rsid w:val="58AC2CC7"/>
    <w:rsid w:val="58AD0DF8"/>
    <w:rsid w:val="58BD360B"/>
    <w:rsid w:val="58BF0649"/>
    <w:rsid w:val="58D85966"/>
    <w:rsid w:val="58ED5699"/>
    <w:rsid w:val="58F24A5D"/>
    <w:rsid w:val="591730EE"/>
    <w:rsid w:val="591A58A7"/>
    <w:rsid w:val="593212FE"/>
    <w:rsid w:val="59451AAD"/>
    <w:rsid w:val="5946546B"/>
    <w:rsid w:val="59555DCC"/>
    <w:rsid w:val="596F60AE"/>
    <w:rsid w:val="59815DE1"/>
    <w:rsid w:val="59840DC3"/>
    <w:rsid w:val="59855101"/>
    <w:rsid w:val="59877FFD"/>
    <w:rsid w:val="598F49A2"/>
    <w:rsid w:val="599B6EA3"/>
    <w:rsid w:val="59C56616"/>
    <w:rsid w:val="5A205E72"/>
    <w:rsid w:val="5A225816"/>
    <w:rsid w:val="5A2570B4"/>
    <w:rsid w:val="5A3F0176"/>
    <w:rsid w:val="5A492DA3"/>
    <w:rsid w:val="5A6279C1"/>
    <w:rsid w:val="5A655C07"/>
    <w:rsid w:val="5A690D4F"/>
    <w:rsid w:val="5A7A2F5C"/>
    <w:rsid w:val="5A8B77DE"/>
    <w:rsid w:val="5ABC3575"/>
    <w:rsid w:val="5AD92379"/>
    <w:rsid w:val="5ADB4098"/>
    <w:rsid w:val="5ADC336A"/>
    <w:rsid w:val="5AEB18DC"/>
    <w:rsid w:val="5B060C94"/>
    <w:rsid w:val="5B1A473F"/>
    <w:rsid w:val="5B227EAF"/>
    <w:rsid w:val="5B264E92"/>
    <w:rsid w:val="5B323837"/>
    <w:rsid w:val="5B3461F8"/>
    <w:rsid w:val="5B3D3F8A"/>
    <w:rsid w:val="5B501F0F"/>
    <w:rsid w:val="5B5D17D4"/>
    <w:rsid w:val="5B7A35BA"/>
    <w:rsid w:val="5B863B83"/>
    <w:rsid w:val="5BF46D3E"/>
    <w:rsid w:val="5C14118E"/>
    <w:rsid w:val="5C1650EC"/>
    <w:rsid w:val="5C1D5175"/>
    <w:rsid w:val="5C353189"/>
    <w:rsid w:val="5CAE15E3"/>
    <w:rsid w:val="5CD252D1"/>
    <w:rsid w:val="5CDA5F34"/>
    <w:rsid w:val="5CE15514"/>
    <w:rsid w:val="5CE21AED"/>
    <w:rsid w:val="5D1256CE"/>
    <w:rsid w:val="5D1F1D64"/>
    <w:rsid w:val="5D3722DC"/>
    <w:rsid w:val="5D3C099D"/>
    <w:rsid w:val="5D570AB1"/>
    <w:rsid w:val="5D59154F"/>
    <w:rsid w:val="5D600B2F"/>
    <w:rsid w:val="5D7A3273"/>
    <w:rsid w:val="5D8B0E43"/>
    <w:rsid w:val="5D9C143B"/>
    <w:rsid w:val="5DA86032"/>
    <w:rsid w:val="5DAD53F7"/>
    <w:rsid w:val="5DCB6083"/>
    <w:rsid w:val="5DD230AF"/>
    <w:rsid w:val="5DE132F2"/>
    <w:rsid w:val="5DE54B90"/>
    <w:rsid w:val="5DF001EB"/>
    <w:rsid w:val="5DFE3EA4"/>
    <w:rsid w:val="5E055233"/>
    <w:rsid w:val="5E0D72B8"/>
    <w:rsid w:val="5E2970D6"/>
    <w:rsid w:val="5E4775F9"/>
    <w:rsid w:val="5E5C6BAC"/>
    <w:rsid w:val="5E6A778C"/>
    <w:rsid w:val="5E8C345B"/>
    <w:rsid w:val="5EB82C97"/>
    <w:rsid w:val="5EBE2D22"/>
    <w:rsid w:val="5EC94306"/>
    <w:rsid w:val="5ED95287"/>
    <w:rsid w:val="5EE57DEF"/>
    <w:rsid w:val="5F245B8C"/>
    <w:rsid w:val="5F28567D"/>
    <w:rsid w:val="5F29040C"/>
    <w:rsid w:val="5F3479DF"/>
    <w:rsid w:val="5F4010A7"/>
    <w:rsid w:val="5F6B7317"/>
    <w:rsid w:val="5F721AF0"/>
    <w:rsid w:val="5F8E5E24"/>
    <w:rsid w:val="5FAA23A3"/>
    <w:rsid w:val="5FB55B8B"/>
    <w:rsid w:val="5FD82C61"/>
    <w:rsid w:val="5FFA1614"/>
    <w:rsid w:val="5FFE63DD"/>
    <w:rsid w:val="60025ECE"/>
    <w:rsid w:val="600E3E55"/>
    <w:rsid w:val="601C6864"/>
    <w:rsid w:val="603242D9"/>
    <w:rsid w:val="6041144F"/>
    <w:rsid w:val="60432042"/>
    <w:rsid w:val="60583D40"/>
    <w:rsid w:val="60681AA9"/>
    <w:rsid w:val="606C1599"/>
    <w:rsid w:val="6074044E"/>
    <w:rsid w:val="60786190"/>
    <w:rsid w:val="607E307A"/>
    <w:rsid w:val="60940AF0"/>
    <w:rsid w:val="609B0D24"/>
    <w:rsid w:val="60A823BF"/>
    <w:rsid w:val="60A83445"/>
    <w:rsid w:val="60C6562D"/>
    <w:rsid w:val="60D10B35"/>
    <w:rsid w:val="612F2105"/>
    <w:rsid w:val="61354081"/>
    <w:rsid w:val="615F4C5A"/>
    <w:rsid w:val="61677FB2"/>
    <w:rsid w:val="616F002F"/>
    <w:rsid w:val="61730705"/>
    <w:rsid w:val="617F354E"/>
    <w:rsid w:val="61970898"/>
    <w:rsid w:val="61C15914"/>
    <w:rsid w:val="61ED04B8"/>
    <w:rsid w:val="61EF4230"/>
    <w:rsid w:val="61F44302"/>
    <w:rsid w:val="61F73A35"/>
    <w:rsid w:val="62022F83"/>
    <w:rsid w:val="62175534"/>
    <w:rsid w:val="621E4B15"/>
    <w:rsid w:val="624E4BA2"/>
    <w:rsid w:val="625C786C"/>
    <w:rsid w:val="62773F76"/>
    <w:rsid w:val="627E15CF"/>
    <w:rsid w:val="6283706E"/>
    <w:rsid w:val="628801E0"/>
    <w:rsid w:val="62BD432E"/>
    <w:rsid w:val="62D804DD"/>
    <w:rsid w:val="62DE2463"/>
    <w:rsid w:val="63190646"/>
    <w:rsid w:val="63190B09"/>
    <w:rsid w:val="63471E49"/>
    <w:rsid w:val="637114CE"/>
    <w:rsid w:val="638B61DA"/>
    <w:rsid w:val="638E67FA"/>
    <w:rsid w:val="63AB687C"/>
    <w:rsid w:val="644F5459"/>
    <w:rsid w:val="645667E8"/>
    <w:rsid w:val="64866BD9"/>
    <w:rsid w:val="64A37118"/>
    <w:rsid w:val="64B81251"/>
    <w:rsid w:val="64DC78B8"/>
    <w:rsid w:val="64E2007C"/>
    <w:rsid w:val="64E35BA2"/>
    <w:rsid w:val="650D376B"/>
    <w:rsid w:val="654F4FE5"/>
    <w:rsid w:val="65A417D5"/>
    <w:rsid w:val="65AC068A"/>
    <w:rsid w:val="65D57BE0"/>
    <w:rsid w:val="65E25E59"/>
    <w:rsid w:val="66014531"/>
    <w:rsid w:val="661A1A97"/>
    <w:rsid w:val="66212E26"/>
    <w:rsid w:val="662B15AE"/>
    <w:rsid w:val="6632293D"/>
    <w:rsid w:val="66342B59"/>
    <w:rsid w:val="6635067F"/>
    <w:rsid w:val="663C52CC"/>
    <w:rsid w:val="663D0055"/>
    <w:rsid w:val="66521231"/>
    <w:rsid w:val="66693888"/>
    <w:rsid w:val="666A0329"/>
    <w:rsid w:val="66707909"/>
    <w:rsid w:val="66756CCD"/>
    <w:rsid w:val="66C97949"/>
    <w:rsid w:val="66DC0AFB"/>
    <w:rsid w:val="66E3632D"/>
    <w:rsid w:val="66F72064"/>
    <w:rsid w:val="673426E5"/>
    <w:rsid w:val="67535261"/>
    <w:rsid w:val="675608AD"/>
    <w:rsid w:val="676A3084"/>
    <w:rsid w:val="676D5174"/>
    <w:rsid w:val="677A27ED"/>
    <w:rsid w:val="67AA29A7"/>
    <w:rsid w:val="67C670CB"/>
    <w:rsid w:val="67DE774C"/>
    <w:rsid w:val="680718E8"/>
    <w:rsid w:val="68093B71"/>
    <w:rsid w:val="683055A2"/>
    <w:rsid w:val="6846007D"/>
    <w:rsid w:val="6848469A"/>
    <w:rsid w:val="686A4F9A"/>
    <w:rsid w:val="68BC6E36"/>
    <w:rsid w:val="68F22857"/>
    <w:rsid w:val="68F44821"/>
    <w:rsid w:val="68F91E38"/>
    <w:rsid w:val="69515C1F"/>
    <w:rsid w:val="69664A0F"/>
    <w:rsid w:val="69841BF6"/>
    <w:rsid w:val="69857DCB"/>
    <w:rsid w:val="698F00A6"/>
    <w:rsid w:val="69A74526"/>
    <w:rsid w:val="69D331BE"/>
    <w:rsid w:val="69D60BF7"/>
    <w:rsid w:val="69EB1FDC"/>
    <w:rsid w:val="69FA3354"/>
    <w:rsid w:val="69FA5E67"/>
    <w:rsid w:val="69FE4B1A"/>
    <w:rsid w:val="6A015735"/>
    <w:rsid w:val="6A165180"/>
    <w:rsid w:val="6A1F767C"/>
    <w:rsid w:val="6A4E4A0A"/>
    <w:rsid w:val="6A6B466F"/>
    <w:rsid w:val="6A9516EC"/>
    <w:rsid w:val="6AB42873"/>
    <w:rsid w:val="6AC33F7B"/>
    <w:rsid w:val="6AC81AC2"/>
    <w:rsid w:val="6AD064F1"/>
    <w:rsid w:val="6AD62431"/>
    <w:rsid w:val="6AEA7C8A"/>
    <w:rsid w:val="6AF705F9"/>
    <w:rsid w:val="6AFB3C45"/>
    <w:rsid w:val="6B317667"/>
    <w:rsid w:val="6B5A6D4C"/>
    <w:rsid w:val="6B8A60F8"/>
    <w:rsid w:val="6BA8544F"/>
    <w:rsid w:val="6BD56BBF"/>
    <w:rsid w:val="6BDF3567"/>
    <w:rsid w:val="6BED613A"/>
    <w:rsid w:val="6BEE00B5"/>
    <w:rsid w:val="6C2027AD"/>
    <w:rsid w:val="6C3D64DF"/>
    <w:rsid w:val="6C3E7464"/>
    <w:rsid w:val="6C4258A4"/>
    <w:rsid w:val="6C452082"/>
    <w:rsid w:val="6C5506F2"/>
    <w:rsid w:val="6C5C0714"/>
    <w:rsid w:val="6C895281"/>
    <w:rsid w:val="6C8B2992"/>
    <w:rsid w:val="6CA65E33"/>
    <w:rsid w:val="6CAD73D6"/>
    <w:rsid w:val="6CAE6A95"/>
    <w:rsid w:val="6CAF118B"/>
    <w:rsid w:val="6CB73B9C"/>
    <w:rsid w:val="6CE93F71"/>
    <w:rsid w:val="6D0D43C1"/>
    <w:rsid w:val="6D166FC6"/>
    <w:rsid w:val="6D2A0812"/>
    <w:rsid w:val="6D34343E"/>
    <w:rsid w:val="6D544E73"/>
    <w:rsid w:val="6D5C102A"/>
    <w:rsid w:val="6D5E04BB"/>
    <w:rsid w:val="6D633D24"/>
    <w:rsid w:val="6D7221B9"/>
    <w:rsid w:val="6D7D3037"/>
    <w:rsid w:val="6DB36A59"/>
    <w:rsid w:val="6E076DA5"/>
    <w:rsid w:val="6E0F4F8D"/>
    <w:rsid w:val="6E2830B5"/>
    <w:rsid w:val="6E423939"/>
    <w:rsid w:val="6E427879"/>
    <w:rsid w:val="6E533D98"/>
    <w:rsid w:val="6E7837FF"/>
    <w:rsid w:val="6E7A034A"/>
    <w:rsid w:val="6E7D2BC3"/>
    <w:rsid w:val="6E85086A"/>
    <w:rsid w:val="6E9F59DB"/>
    <w:rsid w:val="6EB8009F"/>
    <w:rsid w:val="6EE80984"/>
    <w:rsid w:val="6F143527"/>
    <w:rsid w:val="6F5D2C01"/>
    <w:rsid w:val="6F5D68FC"/>
    <w:rsid w:val="6F7E6BF3"/>
    <w:rsid w:val="6F831E19"/>
    <w:rsid w:val="6F875336"/>
    <w:rsid w:val="6FA10B33"/>
    <w:rsid w:val="6FAC7C04"/>
    <w:rsid w:val="6FCA62DC"/>
    <w:rsid w:val="6FDE58E3"/>
    <w:rsid w:val="6FEE1FCA"/>
    <w:rsid w:val="6FEF189F"/>
    <w:rsid w:val="6FEF5D43"/>
    <w:rsid w:val="6FEF7AF1"/>
    <w:rsid w:val="6FFD40FB"/>
    <w:rsid w:val="700C2451"/>
    <w:rsid w:val="70131A31"/>
    <w:rsid w:val="70221C74"/>
    <w:rsid w:val="702A28D7"/>
    <w:rsid w:val="702B1782"/>
    <w:rsid w:val="702E23C7"/>
    <w:rsid w:val="704A7F86"/>
    <w:rsid w:val="705645D9"/>
    <w:rsid w:val="709B37D5"/>
    <w:rsid w:val="70A628A5"/>
    <w:rsid w:val="70A95AA7"/>
    <w:rsid w:val="70B4218C"/>
    <w:rsid w:val="70C07837"/>
    <w:rsid w:val="70E1568B"/>
    <w:rsid w:val="70E46F2A"/>
    <w:rsid w:val="70ED4030"/>
    <w:rsid w:val="71436346"/>
    <w:rsid w:val="71453598"/>
    <w:rsid w:val="71463740"/>
    <w:rsid w:val="7162370E"/>
    <w:rsid w:val="716A484E"/>
    <w:rsid w:val="71703B38"/>
    <w:rsid w:val="71C07997"/>
    <w:rsid w:val="71C12C62"/>
    <w:rsid w:val="71CD20B4"/>
    <w:rsid w:val="71D1496D"/>
    <w:rsid w:val="71D74828"/>
    <w:rsid w:val="71D90A58"/>
    <w:rsid w:val="71E74120"/>
    <w:rsid w:val="72025473"/>
    <w:rsid w:val="721101F2"/>
    <w:rsid w:val="7218332F"/>
    <w:rsid w:val="72440D47"/>
    <w:rsid w:val="727644F9"/>
    <w:rsid w:val="729F603C"/>
    <w:rsid w:val="72AC2792"/>
    <w:rsid w:val="72AE1098"/>
    <w:rsid w:val="72B1108D"/>
    <w:rsid w:val="72B8241C"/>
    <w:rsid w:val="72BA43E6"/>
    <w:rsid w:val="72BC798D"/>
    <w:rsid w:val="72F378F8"/>
    <w:rsid w:val="73075151"/>
    <w:rsid w:val="730B63E9"/>
    <w:rsid w:val="731D4975"/>
    <w:rsid w:val="731F06ED"/>
    <w:rsid w:val="73231373"/>
    <w:rsid w:val="73261A7B"/>
    <w:rsid w:val="732955BF"/>
    <w:rsid w:val="73426189"/>
    <w:rsid w:val="734F2A11"/>
    <w:rsid w:val="737C5B3F"/>
    <w:rsid w:val="737E18B7"/>
    <w:rsid w:val="73966C01"/>
    <w:rsid w:val="73A11102"/>
    <w:rsid w:val="73FD3E81"/>
    <w:rsid w:val="74250B2B"/>
    <w:rsid w:val="743106D8"/>
    <w:rsid w:val="747800B5"/>
    <w:rsid w:val="747F58E7"/>
    <w:rsid w:val="74890514"/>
    <w:rsid w:val="74921493"/>
    <w:rsid w:val="7493357F"/>
    <w:rsid w:val="749D7B1B"/>
    <w:rsid w:val="74A27930"/>
    <w:rsid w:val="74C257D9"/>
    <w:rsid w:val="74F3249B"/>
    <w:rsid w:val="751678CE"/>
    <w:rsid w:val="75175143"/>
    <w:rsid w:val="754932A6"/>
    <w:rsid w:val="755A3C5E"/>
    <w:rsid w:val="75703482"/>
    <w:rsid w:val="75E63744"/>
    <w:rsid w:val="76085468"/>
    <w:rsid w:val="761171BF"/>
    <w:rsid w:val="76124539"/>
    <w:rsid w:val="7614104F"/>
    <w:rsid w:val="76595CC4"/>
    <w:rsid w:val="76676633"/>
    <w:rsid w:val="76A315AA"/>
    <w:rsid w:val="76BB697E"/>
    <w:rsid w:val="76E11E70"/>
    <w:rsid w:val="76E9529A"/>
    <w:rsid w:val="770B220C"/>
    <w:rsid w:val="77405252"/>
    <w:rsid w:val="774D4D14"/>
    <w:rsid w:val="77514BED"/>
    <w:rsid w:val="77666821"/>
    <w:rsid w:val="779D6084"/>
    <w:rsid w:val="77B75398"/>
    <w:rsid w:val="77CB0E43"/>
    <w:rsid w:val="77D62D81"/>
    <w:rsid w:val="77DE0B76"/>
    <w:rsid w:val="77EB6E04"/>
    <w:rsid w:val="77F24622"/>
    <w:rsid w:val="77F9775E"/>
    <w:rsid w:val="780A196C"/>
    <w:rsid w:val="78342545"/>
    <w:rsid w:val="785710BA"/>
    <w:rsid w:val="78883938"/>
    <w:rsid w:val="78E1046A"/>
    <w:rsid w:val="78F26496"/>
    <w:rsid w:val="79077C59"/>
    <w:rsid w:val="79184530"/>
    <w:rsid w:val="792870F3"/>
    <w:rsid w:val="793A6280"/>
    <w:rsid w:val="79420C91"/>
    <w:rsid w:val="794732B8"/>
    <w:rsid w:val="79B25E17"/>
    <w:rsid w:val="79B92E6D"/>
    <w:rsid w:val="7A0349D5"/>
    <w:rsid w:val="7A08012D"/>
    <w:rsid w:val="7A1963AB"/>
    <w:rsid w:val="7A263449"/>
    <w:rsid w:val="7A3902E6"/>
    <w:rsid w:val="7A3A405E"/>
    <w:rsid w:val="7A435E4B"/>
    <w:rsid w:val="7A460C55"/>
    <w:rsid w:val="7A4E086E"/>
    <w:rsid w:val="7A524009"/>
    <w:rsid w:val="7A644563"/>
    <w:rsid w:val="7A7C4EC2"/>
    <w:rsid w:val="7A903C7E"/>
    <w:rsid w:val="7A996FD7"/>
    <w:rsid w:val="7AA634A2"/>
    <w:rsid w:val="7ABD0F17"/>
    <w:rsid w:val="7ACD0A2E"/>
    <w:rsid w:val="7AD63D87"/>
    <w:rsid w:val="7AFF3BA5"/>
    <w:rsid w:val="7B1F65CA"/>
    <w:rsid w:val="7B493A62"/>
    <w:rsid w:val="7B6E3FBF"/>
    <w:rsid w:val="7B6E5D6D"/>
    <w:rsid w:val="7BAD5E8E"/>
    <w:rsid w:val="7BB11EB4"/>
    <w:rsid w:val="7BB120FE"/>
    <w:rsid w:val="7BE349AD"/>
    <w:rsid w:val="7BF9373B"/>
    <w:rsid w:val="7C064A88"/>
    <w:rsid w:val="7C093CE8"/>
    <w:rsid w:val="7C3C2310"/>
    <w:rsid w:val="7C66113B"/>
    <w:rsid w:val="7C6B73A1"/>
    <w:rsid w:val="7C745605"/>
    <w:rsid w:val="7C961804"/>
    <w:rsid w:val="7CAF4890"/>
    <w:rsid w:val="7CB9570E"/>
    <w:rsid w:val="7CD442F6"/>
    <w:rsid w:val="7CF14EA8"/>
    <w:rsid w:val="7D2708CA"/>
    <w:rsid w:val="7D44147C"/>
    <w:rsid w:val="7D5C0394"/>
    <w:rsid w:val="7D781125"/>
    <w:rsid w:val="7D9677FD"/>
    <w:rsid w:val="7D9A08D8"/>
    <w:rsid w:val="7D9D1678"/>
    <w:rsid w:val="7DC4436B"/>
    <w:rsid w:val="7DCC7E3B"/>
    <w:rsid w:val="7DD00F61"/>
    <w:rsid w:val="7DD81BC4"/>
    <w:rsid w:val="7DE55306"/>
    <w:rsid w:val="7DFA5FDE"/>
    <w:rsid w:val="7E3A63DB"/>
    <w:rsid w:val="7E97053E"/>
    <w:rsid w:val="7EAD4DFF"/>
    <w:rsid w:val="7EB025C7"/>
    <w:rsid w:val="7EB02B41"/>
    <w:rsid w:val="7EC5039A"/>
    <w:rsid w:val="7EE76EDF"/>
    <w:rsid w:val="7EEF5417"/>
    <w:rsid w:val="7F2F7F0A"/>
    <w:rsid w:val="7F313C82"/>
    <w:rsid w:val="7F470F98"/>
    <w:rsid w:val="7F983D01"/>
    <w:rsid w:val="7FA06711"/>
    <w:rsid w:val="7FAA557E"/>
    <w:rsid w:val="7FCA19E0"/>
    <w:rsid w:val="7FE72592"/>
    <w:rsid w:val="7FE81CA9"/>
    <w:rsid w:val="7FF66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3"/>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6"/>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basedOn w:val="1"/>
    <w:next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9"/>
    <w:next w:val="21"/>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0"/>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BodyText"/>
    <w:basedOn w:val="1"/>
    <w:qFormat/>
    <w:uiPriority w:val="0"/>
    <w:pPr>
      <w:spacing w:after="120"/>
      <w:jc w:val="both"/>
      <w:textAlignment w:val="baseline"/>
    </w:pPr>
  </w:style>
  <w:style w:type="paragraph" w:customStyle="1" w:styleId="27">
    <w:name w:val="No Spacing"/>
    <w:next w:val="28"/>
    <w:qFormat/>
    <w:uiPriority w:val="0"/>
    <w:pPr>
      <w:widowControl/>
      <w:autoSpaceDE/>
      <w:autoSpaceDN/>
      <w:spacing w:before="0" w:after="0" w:line="240" w:lineRule="auto"/>
      <w:ind w:left="0" w:firstLine="0"/>
    </w:pPr>
    <w:rPr>
      <w:rFonts w:ascii="Calibri" w:hAnsi="Calibri" w:eastAsia="宋体" w:cs="Times New Roman"/>
      <w:sz w:val="22"/>
    </w:rPr>
  </w:style>
  <w:style w:type="paragraph" w:customStyle="1" w:styleId="28">
    <w:name w:val="标准称谓"/>
    <w:next w:val="1"/>
    <w:qFormat/>
    <w:uiPriority w:val="0"/>
    <w:pPr>
      <w:widowControl w:val="0"/>
      <w:autoSpaceDE w:val="0"/>
      <w:autoSpaceDN w:val="0"/>
      <w:spacing w:before="0" w:after="0" w:line="240" w:lineRule="atLeast"/>
      <w:ind w:left="0" w:firstLine="0"/>
    </w:pPr>
    <w:rPr>
      <w:rFonts w:ascii="宋体" w:hAnsi="Calibri" w:eastAsia="宋体" w:cs="Times New Roman"/>
      <w:b/>
      <w:sz w:val="52"/>
    </w:rPr>
  </w:style>
  <w:style w:type="paragraph" w:customStyle="1" w:styleId="2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缩进1"/>
    <w:basedOn w:val="1"/>
    <w:autoRedefine/>
    <w:qFormat/>
    <w:uiPriority w:val="0"/>
    <w:pPr>
      <w:ind w:firstLine="420" w:firstLineChars="200"/>
    </w:pPr>
  </w:style>
  <w:style w:type="paragraph" w:customStyle="1" w:styleId="31">
    <w:name w:val="正文（缩进 2 字符）"/>
    <w:basedOn w:val="1"/>
    <w:autoRedefine/>
    <w:qFormat/>
    <w:uiPriority w:val="0"/>
    <w:pPr>
      <w:ind w:firstLine="200" w:firstLineChars="200"/>
    </w:pPr>
  </w:style>
  <w:style w:type="paragraph" w:customStyle="1" w:styleId="32">
    <w:name w:val="正文（缩进 4 字符）"/>
    <w:basedOn w:val="1"/>
    <w:autoRedefine/>
    <w:qFormat/>
    <w:uiPriority w:val="0"/>
    <w:pPr>
      <w:ind w:firstLine="1134" w:firstLineChars="400"/>
    </w:pPr>
  </w:style>
  <w:style w:type="character" w:customStyle="1" w:styleId="33">
    <w:name w:val="标题 1 Char1"/>
    <w:link w:val="2"/>
    <w:autoRedefine/>
    <w:qFormat/>
    <w:uiPriority w:val="9"/>
    <w:rPr>
      <w:rFonts w:eastAsia="黑体"/>
      <w:b/>
      <w:bCs/>
      <w:color w:val="000000"/>
      <w:kern w:val="44"/>
      <w:sz w:val="32"/>
      <w:szCs w:val="36"/>
    </w:rPr>
  </w:style>
  <w:style w:type="paragraph" w:customStyle="1" w:styleId="3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标题 2（投标文件）"/>
    <w:basedOn w:val="3"/>
    <w:autoRedefine/>
    <w:qFormat/>
    <w:uiPriority w:val="0"/>
    <w:pPr>
      <w:jc w:val="center"/>
    </w:pPr>
  </w:style>
  <w:style w:type="character" w:customStyle="1" w:styleId="36">
    <w:name w:val="标题 2 Char"/>
    <w:link w:val="3"/>
    <w:autoRedefine/>
    <w:qFormat/>
    <w:uiPriority w:val="9"/>
    <w:rPr>
      <w:rFonts w:ascii="Calibri" w:hAnsi="Calibri" w:cs="Calibri"/>
      <w:b/>
      <w:bCs/>
      <w:sz w:val="30"/>
      <w:szCs w:val="32"/>
    </w:rPr>
  </w:style>
  <w:style w:type="paragraph" w:customStyle="1" w:styleId="37">
    <w:name w:val="标题 3（投标文件）"/>
    <w:basedOn w:val="4"/>
    <w:autoRedefine/>
    <w:qFormat/>
    <w:uiPriority w:val="0"/>
    <w:pPr>
      <w:jc w:val="left"/>
    </w:pPr>
  </w:style>
  <w:style w:type="paragraph" w:customStyle="1" w:styleId="38">
    <w:name w:val="正文文本 31"/>
    <w:basedOn w:val="1"/>
    <w:autoRedefine/>
    <w:qFormat/>
    <w:uiPriority w:val="0"/>
    <w:rPr>
      <w:sz w:val="16"/>
      <w:szCs w:val="16"/>
    </w:rPr>
  </w:style>
  <w:style w:type="character" w:customStyle="1" w:styleId="39">
    <w:name w:val="NormalCharacter"/>
    <w:autoRedefine/>
    <w:qFormat/>
    <w:uiPriority w:val="0"/>
    <w:rPr>
      <w:kern w:val="2"/>
      <w:sz w:val="21"/>
      <w:szCs w:val="22"/>
      <w:lang w:val="en-US" w:eastAsia="zh-CN" w:bidi="ar-SA"/>
    </w:rPr>
  </w:style>
  <w:style w:type="character" w:customStyle="1" w:styleId="40">
    <w:name w:val="UserStyle_0"/>
    <w:autoRedefine/>
    <w:semiHidden/>
    <w:qFormat/>
    <w:uiPriority w:val="0"/>
  </w:style>
  <w:style w:type="paragraph" w:customStyle="1" w:styleId="41">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2">
    <w:name w:val="Table Normal"/>
    <w:autoRedefine/>
    <w:qFormat/>
    <w:uiPriority w:val="0"/>
    <w:tblPr>
      <w:tblCellMar>
        <w:top w:w="0" w:type="dxa"/>
        <w:left w:w="0" w:type="dxa"/>
        <w:bottom w:w="0" w:type="dxa"/>
        <w:right w:w="0" w:type="dxa"/>
      </w:tblCellMar>
    </w:tblPr>
  </w:style>
  <w:style w:type="character" w:customStyle="1" w:styleId="43">
    <w:name w:val="15"/>
    <w:basedOn w:val="24"/>
    <w:qFormat/>
    <w:uiPriority w:val="0"/>
    <w:rPr>
      <w:rFonts w:hint="eastAsia" w:ascii="宋体" w:hAnsi="宋体" w:eastAsia="宋体"/>
      <w:color w:val="000000"/>
      <w:sz w:val="22"/>
      <w:szCs w:val="22"/>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18749</Words>
  <Characters>19558</Characters>
  <Lines>0</Lines>
  <Paragraphs>0</Paragraphs>
  <TotalTime>333</TotalTime>
  <ScaleCrop>false</ScaleCrop>
  <LinksUpToDate>false</LinksUpToDate>
  <CharactersWithSpaces>19627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2026-05-11T02:32:00Z</cp:lastPrinted>
  <dcterms:modified xsi:type="dcterms:W3CDTF">2026-05-12T00:56:26Z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57564B1FD8F74468BB30EF871D83CAE9_13</vt:lpwstr>
  </property>
  <property fmtid="{D5CDD505-2E9C-101B-9397-08002B2CF9AE}" pid="4" name="KSOTemplateDocerSaveRecord">
    <vt:lpwstr>eyJoZGlkIjoiMTY3OTYyZTc4YjJhMGUyYzdiNTU4MDE1MTlkOTlmZWUiLCJ1c2VySWQiOiI5OTkzMjU0MzIifQ==</vt:lpwstr>
  </property>
</Properties>
</file>