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48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71EECC01">
      <w:pPr>
        <w:keepNext w:val="0"/>
        <w:keepLines w:val="0"/>
        <w:pageBreakBefore w:val="0"/>
        <w:kinsoku/>
        <w:wordWrap/>
        <w:overflowPunct/>
        <w:topLinePunct w:val="0"/>
        <w:autoSpaceDE w:val="0"/>
        <w:autoSpaceDN w:val="0"/>
        <w:bidi w:val="0"/>
        <w:adjustRightInd w:val="0"/>
        <w:spacing w:line="360" w:lineRule="auto"/>
        <w:ind w:left="630" w:leftChars="200" w:hanging="210" w:hangingChars="100"/>
        <w:jc w:val="both"/>
        <w:textAlignment w:val="auto"/>
        <w:rPr>
          <w:rFonts w:hint="eastAsia" w:ascii="仿宋_GB2312" w:hAnsi="仿宋_GB2312" w:eastAsia="仿宋_GB2312" w:cs="仿宋_GB2312"/>
          <w:spacing w:val="-17"/>
          <w:sz w:val="28"/>
          <w:szCs w:val="28"/>
          <w:u w:val="single"/>
        </w:rPr>
      </w:pPr>
      <w:r>
        <w:rPr>
          <w:rFonts w:ascii="仿宋_GB2312" w:hAnsi="仿宋_GB2312" w:eastAsia="仿宋_GB2312" w:cs="仿宋_GB2312"/>
        </w:rPr>
        <w:t xml:space="preserve"> </w:t>
      </w:r>
      <w:r>
        <w:rPr>
          <w:rFonts w:hint="eastAsia" w:ascii="仿宋_GB2312" w:hAnsi="仿宋_GB2312" w:eastAsia="仿宋_GB2312" w:cs="仿宋_GB2312"/>
          <w:bCs/>
          <w:sz w:val="28"/>
          <w:szCs w:val="28"/>
        </w:rPr>
        <w:t>甲方（采购人）：</w:t>
      </w:r>
      <w:r>
        <w:rPr>
          <w:rFonts w:hint="eastAsia" w:ascii="仿宋_GB2312" w:hAnsi="仿宋_GB2312" w:eastAsia="仿宋_GB2312" w:cs="仿宋_GB2312"/>
          <w:bCs/>
          <w:spacing w:val="-17"/>
          <w:sz w:val="28"/>
          <w:szCs w:val="28"/>
          <w:u w:val="single"/>
        </w:rPr>
        <w:t>中共西安高新技术产业开发区工作委员会组织人事部</w:t>
      </w:r>
    </w:p>
    <w:p w14:paraId="4F0F5F2C">
      <w:pPr>
        <w:keepNext w:val="0"/>
        <w:keepLines w:val="0"/>
        <w:pageBreakBefore w:val="0"/>
        <w:kinsoku/>
        <w:wordWrap/>
        <w:overflowPunct/>
        <w:topLinePunct w:val="0"/>
        <w:autoSpaceDE w:val="0"/>
        <w:autoSpaceDN w:val="0"/>
        <w:bidi w:val="0"/>
        <w:adjustRightInd w:val="0"/>
        <w:spacing w:line="360" w:lineRule="auto"/>
        <w:ind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乙方（成交供应商）：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 </w:t>
      </w:r>
    </w:p>
    <w:p w14:paraId="60FC8147">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2026年度西安高新区重点群体稳就业精准帮扶项目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rPr>
        <w:t>SXHC202</w:t>
      </w:r>
      <w:r>
        <w:rPr>
          <w:rFonts w:hint="eastAsia" w:ascii="仿宋_GB2312" w:hAnsi="仿宋_GB2312" w:eastAsia="仿宋_GB2312" w:cs="仿宋_GB2312"/>
          <w:bCs/>
          <w:sz w:val="28"/>
          <w:szCs w:val="28"/>
          <w:u w:val="single"/>
          <w:lang w:val="en-US" w:eastAsia="zh-CN"/>
        </w:rPr>
        <w:t>6-045</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中共西安高新技术产业开发区工作委员会组织人事部</w:t>
      </w:r>
      <w:r>
        <w:rPr>
          <w:rFonts w:hint="eastAsia" w:ascii="仿宋_GB2312" w:hAnsi="仿宋_GB2312" w:eastAsia="仿宋_GB2312" w:cs="仿宋_GB2312"/>
          <w:bCs/>
          <w:sz w:val="28"/>
          <w:szCs w:val="28"/>
        </w:rPr>
        <w:t xml:space="preserve">(以下简称“甲方”)确定 </w:t>
      </w:r>
      <w:r>
        <w:rPr>
          <w:rFonts w:hint="eastAsia" w:ascii="仿宋_GB2312" w:hAnsi="仿宋_GB2312" w:eastAsia="仿宋_GB2312" w:cs="仿宋_GB2312"/>
          <w:bCs/>
          <w:i w:val="0"/>
          <w:iCs w:val="0"/>
          <w:sz w:val="28"/>
          <w:szCs w:val="28"/>
          <w:u w:val="single"/>
        </w:rPr>
        <w:t xml:space="preserve"> </w:t>
      </w:r>
      <w:r>
        <w:rPr>
          <w:rFonts w:hint="eastAsia" w:ascii="仿宋_GB2312" w:hAnsi="仿宋_GB2312" w:eastAsia="仿宋_GB2312" w:cs="仿宋_GB2312"/>
          <w:bCs/>
          <w:i w:val="0"/>
          <w:iCs w:val="0"/>
          <w:sz w:val="28"/>
          <w:szCs w:val="28"/>
          <w:u w:val="single"/>
          <w:lang w:val="en-US" w:eastAsia="zh-CN"/>
        </w:rPr>
        <w:t xml:space="preserve">       </w:t>
      </w:r>
      <w:r>
        <w:rPr>
          <w:rFonts w:hint="eastAsia" w:ascii="仿宋_GB2312" w:hAnsi="仿宋_GB2312" w:eastAsia="仿宋_GB2312" w:cs="仿宋_GB2312"/>
          <w:bCs/>
          <w:i w:val="0"/>
          <w:iCs w:val="0"/>
          <w:sz w:val="28"/>
          <w:szCs w:val="28"/>
          <w:u w:val="single"/>
        </w:rPr>
        <w:t xml:space="preserve">  </w:t>
      </w:r>
      <w:r>
        <w:rPr>
          <w:rFonts w:hint="eastAsia" w:ascii="仿宋_GB2312" w:hAnsi="仿宋_GB2312" w:eastAsia="仿宋_GB2312" w:cs="仿宋_GB2312"/>
          <w:bCs/>
          <w:i w:val="0"/>
          <w:iCs w:val="0"/>
          <w:sz w:val="28"/>
          <w:szCs w:val="28"/>
        </w:rPr>
        <w:t xml:space="preserve"> </w:t>
      </w:r>
      <w:r>
        <w:rPr>
          <w:rFonts w:hint="eastAsia" w:ascii="仿宋_GB2312" w:hAnsi="仿宋_GB2312" w:eastAsia="仿宋_GB2312" w:cs="仿宋_GB2312"/>
          <w:bCs/>
          <w:sz w:val="28"/>
          <w:szCs w:val="28"/>
        </w:rPr>
        <w:t>（以下简称“乙方”）为</w:t>
      </w:r>
      <w:r>
        <w:rPr>
          <w:rFonts w:hint="eastAsia" w:ascii="仿宋_GB2312" w:hAnsi="仿宋_GB2312" w:eastAsia="仿宋_GB2312" w:cs="仿宋_GB2312"/>
          <w:bCs/>
          <w:sz w:val="28"/>
          <w:szCs w:val="28"/>
          <w:lang w:val="en-US" w:eastAsia="zh-CN"/>
        </w:rPr>
        <w:t>该项目的</w:t>
      </w:r>
      <w:r>
        <w:rPr>
          <w:rFonts w:hint="eastAsia" w:ascii="仿宋_GB2312" w:hAnsi="仿宋_GB2312" w:eastAsia="仿宋_GB2312" w:cs="仿宋_GB2312"/>
          <w:bCs/>
          <w:sz w:val="28"/>
          <w:szCs w:val="28"/>
        </w:rPr>
        <w:t>成交供应商。</w:t>
      </w:r>
    </w:p>
    <w:p w14:paraId="3413B5F1">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w:t>
      </w:r>
      <w:r>
        <w:rPr>
          <w:rFonts w:hint="eastAsia" w:ascii="仿宋_GB2312" w:hAnsi="仿宋_GB2312" w:eastAsia="仿宋_GB2312" w:cs="仿宋_GB2312"/>
          <w:bCs/>
          <w:sz w:val="28"/>
          <w:szCs w:val="28"/>
          <w:lang w:val="en-US" w:eastAsia="zh-CN"/>
        </w:rPr>
        <w:t>民法典</w:t>
      </w:r>
      <w:r>
        <w:rPr>
          <w:rFonts w:hint="eastAsia" w:ascii="仿宋_GB2312" w:hAnsi="仿宋_GB2312" w:eastAsia="仿宋_GB2312" w:cs="仿宋_GB2312"/>
          <w:bCs/>
          <w:sz w:val="28"/>
          <w:szCs w:val="28"/>
        </w:rPr>
        <w:t>》和《中华人民共和国政府采购法》之规定，经双方在平等、自愿、互利的基础上，签订本合同，共同信守。</w:t>
      </w:r>
    </w:p>
    <w:p w14:paraId="040752C2">
      <w:pPr>
        <w:autoSpaceDE w:val="0"/>
        <w:autoSpaceDN w:val="0"/>
        <w:adjustRightIn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一、合同价款</w:t>
      </w:r>
    </w:p>
    <w:p w14:paraId="689B2626">
      <w:pPr>
        <w:autoSpaceDE w:val="0"/>
        <w:autoSpaceDN w:val="0"/>
        <w:adjustRightInd w:val="0"/>
        <w:spacing w:line="360" w:lineRule="auto"/>
        <w:ind w:firstLine="560" w:firstLineChars="200"/>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（一）</w:t>
      </w:r>
      <w:r>
        <w:rPr>
          <w:rFonts w:hint="eastAsia" w:ascii="仿宋_GB2312" w:hAnsi="仿宋_GB2312" w:eastAsia="仿宋_GB2312" w:cs="仿宋_GB2312"/>
          <w:bCs/>
          <w:sz w:val="28"/>
          <w:szCs w:val="28"/>
        </w:rPr>
        <w:t>合同价款为人民币（大写）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14:paraId="331A7E6B">
      <w:pPr>
        <w:autoSpaceDE w:val="0"/>
        <w:autoSpaceDN w:val="0"/>
        <w:adjustRightInd w:val="0"/>
        <w:spacing w:line="360" w:lineRule="auto"/>
        <w:ind w:firstLine="560" w:firstLineChars="2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（二）合同总价是指本次</w:t>
      </w:r>
      <w:r>
        <w:rPr>
          <w:rFonts w:hint="eastAsia" w:ascii="仿宋_GB2312" w:hAnsi="仿宋_GB2312" w:eastAsia="仿宋_GB2312" w:cs="仿宋_GB2312"/>
          <w:sz w:val="28"/>
          <w:szCs w:val="28"/>
          <w:lang w:val="zh-CN"/>
        </w:rPr>
        <w:t>服务内容所需的全部费用,包括项目服务所需的全部费用，包括但不限于：系统运营费用、人员劳务费、管理费、差旅费、办公费、利润、税费、项目运行所需设备、通讯费、宣传费、办公耗材等其他一切相关费用。</w:t>
      </w:r>
    </w:p>
    <w:p w14:paraId="43569513">
      <w:pPr>
        <w:autoSpaceDE w:val="0"/>
        <w:autoSpaceDN w:val="0"/>
        <w:adjustRightIn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（三）合同价</w:t>
      </w:r>
      <w:r>
        <w:rPr>
          <w:rFonts w:hint="eastAsia" w:ascii="仿宋_GB2312" w:hAnsi="仿宋_GB2312" w:eastAsia="仿宋_GB2312" w:cs="仿宋_GB2312"/>
          <w:bCs/>
          <w:sz w:val="28"/>
          <w:szCs w:val="28"/>
          <w:highlight w:val="none"/>
        </w:rPr>
        <w:t>款一次性包死，不</w:t>
      </w:r>
      <w:r>
        <w:rPr>
          <w:rFonts w:hint="eastAsia" w:ascii="仿宋_GB2312" w:hAnsi="仿宋_GB2312" w:eastAsia="仿宋_GB2312" w:cs="仿宋_GB2312"/>
          <w:bCs/>
          <w:sz w:val="28"/>
          <w:szCs w:val="28"/>
        </w:rPr>
        <w:t>受市场价格变化因素的影响。</w:t>
      </w:r>
    </w:p>
    <w:p w14:paraId="0740F897">
      <w:pPr>
        <w:autoSpaceDE w:val="0"/>
        <w:autoSpaceDN w:val="0"/>
        <w:adjustRightInd w:val="0"/>
        <w:spacing w:line="360" w:lineRule="auto"/>
        <w:ind w:firstLine="562" w:firstLineChars="20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rPr>
        <w:t>二、</w:t>
      </w:r>
      <w:r>
        <w:rPr>
          <w:rFonts w:hint="eastAsia" w:ascii="仿宋_GB2312" w:hAnsi="仿宋_GB2312" w:eastAsia="仿宋_GB2312" w:cs="仿宋_GB2312"/>
          <w:b/>
          <w:bCs/>
          <w:sz w:val="28"/>
          <w:szCs w:val="28"/>
          <w:lang w:val="en-US" w:eastAsia="zh-CN"/>
        </w:rPr>
        <w:t>服务内容</w:t>
      </w:r>
      <w:r>
        <w:rPr>
          <w:rFonts w:hint="eastAsia" w:ascii="仿宋_GB2312" w:hAnsi="仿宋_GB2312" w:eastAsia="仿宋_GB2312" w:cs="仿宋_GB2312"/>
          <w:b/>
          <w:bCs/>
          <w:sz w:val="28"/>
          <w:szCs w:val="28"/>
          <w:u w:val="none"/>
          <w:lang w:val="en-US" w:eastAsia="zh-CN"/>
        </w:rPr>
        <w:t>（</w:t>
      </w:r>
      <w:r>
        <w:rPr>
          <w:rFonts w:hint="eastAsia" w:ascii="仿宋_GB2312" w:hAnsi="仿宋_GB2312" w:eastAsia="仿宋_GB2312" w:cs="仿宋_GB2312"/>
          <w:bCs/>
          <w:kern w:val="2"/>
          <w:sz w:val="28"/>
          <w:szCs w:val="28"/>
          <w:highlight w:val="none"/>
          <w:u w:val="none"/>
          <w:lang w:val="en-US" w:eastAsia="zh-CN" w:bidi="ar-SA"/>
        </w:rPr>
        <w:t>乙方应提供的服务</w:t>
      </w:r>
      <w:r>
        <w:rPr>
          <w:rFonts w:hint="eastAsia" w:ascii="仿宋_GB2312" w:hAnsi="仿宋_GB2312" w:eastAsia="仿宋_GB2312" w:cs="仿宋_GB2312"/>
          <w:b/>
          <w:bCs/>
          <w:sz w:val="28"/>
          <w:szCs w:val="28"/>
          <w:u w:val="none"/>
          <w:lang w:val="en-US" w:eastAsia="zh-CN"/>
        </w:rPr>
        <w:t>）</w:t>
      </w:r>
    </w:p>
    <w:p w14:paraId="58EEF1FE">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一）对各类重点服务群体数据库及系统进行维护并开展跟踪服务，实现对高校毕业生、就业困难人员、登记失业人员、脱贫劳动力等重点群体开展1次职业指导、1次就业政策咨询、3次岗位推荐、1次培训项目推荐，确保每年至少为帮扶对象提供一轮精准帮扶服务，并将动态跟踪服务记录和“一对一”援助记录及时录入“陕西省公共就业服务信息系统”“秦云就业”等系统。</w:t>
      </w:r>
    </w:p>
    <w:p w14:paraId="3938A228">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（二）对3.75万名城镇新增就业人员数据进行核验，对全部新增就业人员进行电话核实和实地走访。</w:t>
      </w:r>
    </w:p>
    <w:p w14:paraId="3C702D5F">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三）对“秦云就业”中“高新区家门口就业”模块进行数据维护，实现家门口就业工作的精准帮扶，并将就业结果回传至“秦云就业”系统，动态更新、实时显示，确保帮扶过程全记录，可追溯查询，提升就业援助质量。</w:t>
      </w:r>
    </w:p>
    <w:p w14:paraId="7892A216">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（四）协助有就业意愿的人员办理求职登记、技能培训、职业指导服务、申请就业政策补贴。</w:t>
      </w:r>
    </w:p>
    <w:p w14:paraId="0B242754">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（五）每季度举办不少于1场就业服务活动，帮助待就业群体中有就业需求的求职者实现再就业。</w:t>
      </w:r>
    </w:p>
    <w:p w14:paraId="57DB1C26">
      <w:pPr>
        <w:autoSpaceDE w:val="0"/>
        <w:autoSpaceDN w:val="0"/>
        <w:adjustRightInd w:val="0"/>
        <w:spacing w:line="360" w:lineRule="auto"/>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（六）乙方需按照要求组建技术支援团队，其中不少于5名工作人员专职驻场服务，按照要求协助完成分类帮扶、过程留存、动态管理、跟踪服务等相关工作，确保就业援助工作高效开展。</w:t>
      </w:r>
    </w:p>
    <w:p w14:paraId="429049FF">
      <w:pPr>
        <w:autoSpaceDE w:val="0"/>
        <w:autoSpaceDN w:val="0"/>
        <w:adjustRightIn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三、</w:t>
      </w:r>
      <w:r>
        <w:rPr>
          <w:rFonts w:hint="eastAsia" w:ascii="仿宋_GB2312" w:hAnsi="仿宋_GB2312" w:eastAsia="仿宋_GB2312" w:cs="仿宋_GB2312"/>
          <w:b/>
          <w:bCs/>
          <w:sz w:val="28"/>
          <w:szCs w:val="28"/>
        </w:rPr>
        <w:t>款项结算</w:t>
      </w:r>
    </w:p>
    <w:p w14:paraId="627AC1BE">
      <w:pPr>
        <w:autoSpaceDE w:val="0"/>
        <w:autoSpaceDN w:val="0"/>
        <w:adjustRightInd w:val="0"/>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（一）款项支付</w:t>
      </w:r>
      <w:r>
        <w:rPr>
          <w:rFonts w:hint="eastAsia" w:ascii="仿宋_GB2312" w:hAnsi="仿宋_GB2312" w:eastAsia="仿宋_GB2312" w:cs="仿宋_GB2312"/>
          <w:sz w:val="28"/>
          <w:szCs w:val="28"/>
          <w:highlight w:val="none"/>
          <w:lang w:val="en-US" w:eastAsia="zh-CN"/>
        </w:rPr>
        <w:t>：合同签订一个月内，达到付款条件起30日内，支付合同总金额的40.00%；2026年11月经甲方阶段验收合格后，达到付款条件起30日内，支付合同总金额的50.00%；</w:t>
      </w:r>
      <w:r>
        <w:rPr>
          <w:rFonts w:hint="eastAsia" w:ascii="仿宋_GB2312" w:hAnsi="仿宋_GB2312" w:eastAsia="仿宋_GB2312" w:cs="仿宋_GB2312"/>
          <w:sz w:val="28"/>
          <w:szCs w:val="28"/>
          <w:highlight w:val="none"/>
        </w:rPr>
        <w:t>服务期满且</w:t>
      </w:r>
      <w:r>
        <w:rPr>
          <w:rFonts w:hint="eastAsia" w:ascii="仿宋_GB2312" w:hAnsi="仿宋_GB2312" w:eastAsia="仿宋_GB2312" w:cs="仿宋_GB2312"/>
          <w:sz w:val="28"/>
          <w:szCs w:val="28"/>
          <w:highlight w:val="none"/>
          <w:lang w:val="en-US" w:eastAsia="zh-CN"/>
        </w:rPr>
        <w:t>经甲方</w:t>
      </w:r>
      <w:r>
        <w:rPr>
          <w:rFonts w:hint="eastAsia" w:ascii="仿宋_GB2312" w:hAnsi="仿宋_GB2312" w:eastAsia="仿宋_GB2312" w:cs="仿宋_GB2312"/>
          <w:sz w:val="28"/>
          <w:szCs w:val="28"/>
          <w:highlight w:val="none"/>
        </w:rPr>
        <w:t>验收合格后</w:t>
      </w:r>
      <w:r>
        <w:rPr>
          <w:rFonts w:hint="eastAsia" w:ascii="仿宋_GB2312" w:hAnsi="仿宋_GB2312" w:eastAsia="仿宋_GB2312" w:cs="仿宋_GB2312"/>
          <w:sz w:val="28"/>
          <w:szCs w:val="28"/>
          <w:highlight w:val="none"/>
          <w:lang w:val="en-US" w:eastAsia="zh-CN"/>
        </w:rPr>
        <w:t>，达到付款条件起30日内，支付合同总金额的10.00%。</w:t>
      </w:r>
    </w:p>
    <w:p w14:paraId="64D418F0">
      <w:pPr>
        <w:autoSpaceDE w:val="0"/>
        <w:autoSpaceDN w:val="0"/>
        <w:adjustRightInd w:val="0"/>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（二）结算方式：银行转账。</w:t>
      </w:r>
    </w:p>
    <w:p w14:paraId="52C4389A">
      <w:pPr>
        <w:autoSpaceDE w:val="0"/>
        <w:autoSpaceDN w:val="0"/>
        <w:adjustRightInd w:val="0"/>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（三）结算单位：</w:t>
      </w:r>
      <w:r>
        <w:rPr>
          <w:rFonts w:hint="eastAsia" w:ascii="仿宋_GB2312" w:hAnsi="仿宋_GB2312" w:eastAsia="仿宋_GB2312" w:cs="仿宋_GB2312"/>
          <w:sz w:val="28"/>
          <w:szCs w:val="28"/>
          <w:highlight w:val="none"/>
          <w:lang w:val="zh-CN" w:eastAsia="zh-CN"/>
        </w:rPr>
        <w:t>由</w:t>
      </w:r>
      <w:r>
        <w:rPr>
          <w:rFonts w:hint="eastAsia" w:ascii="仿宋_GB2312" w:hAnsi="仿宋_GB2312" w:eastAsia="仿宋_GB2312" w:cs="仿宋_GB2312"/>
          <w:sz w:val="28"/>
          <w:szCs w:val="28"/>
          <w:highlight w:val="none"/>
          <w:lang w:val="en-US" w:eastAsia="zh-CN"/>
        </w:rPr>
        <w:t>甲方</w:t>
      </w:r>
      <w:r>
        <w:rPr>
          <w:rFonts w:hint="eastAsia" w:ascii="仿宋_GB2312" w:hAnsi="仿宋_GB2312" w:eastAsia="仿宋_GB2312" w:cs="仿宋_GB2312"/>
          <w:sz w:val="28"/>
          <w:szCs w:val="28"/>
          <w:highlight w:val="none"/>
          <w:lang w:val="zh-CN" w:eastAsia="zh-CN"/>
        </w:rPr>
        <w:t>负责结算，</w:t>
      </w:r>
      <w:r>
        <w:rPr>
          <w:rFonts w:hint="eastAsia" w:ascii="仿宋_GB2312" w:hAnsi="仿宋_GB2312" w:eastAsia="仿宋_GB2312" w:cs="仿宋_GB2312"/>
          <w:sz w:val="28"/>
          <w:szCs w:val="28"/>
          <w:highlight w:val="none"/>
          <w:lang w:val="en-US" w:eastAsia="zh-CN"/>
        </w:rPr>
        <w:t>乙方在每次接受付款前开具等额发票给甲方。</w:t>
      </w:r>
    </w:p>
    <w:p w14:paraId="25C526D4">
      <w:pPr>
        <w:autoSpaceDE w:val="0"/>
        <w:autoSpaceDN w:val="0"/>
        <w:adjustRightInd w:val="0"/>
        <w:spacing w:line="360" w:lineRule="auto"/>
        <w:ind w:firstLine="562" w:firstLineChars="200"/>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四</w:t>
      </w:r>
      <w:r>
        <w:rPr>
          <w:rFonts w:hint="eastAsia" w:ascii="仿宋_GB2312" w:hAnsi="仿宋_GB2312" w:eastAsia="仿宋_GB2312" w:cs="仿宋_GB2312"/>
          <w:b/>
          <w:bCs/>
          <w:sz w:val="28"/>
          <w:szCs w:val="28"/>
          <w:highlight w:val="none"/>
        </w:rPr>
        <w:t>、服务期</w:t>
      </w:r>
      <w:r>
        <w:rPr>
          <w:rFonts w:hint="eastAsia" w:ascii="仿宋_GB2312" w:hAnsi="仿宋_GB2312" w:eastAsia="仿宋_GB2312" w:cs="仿宋_GB2312"/>
          <w:b/>
          <w:bCs/>
          <w:sz w:val="28"/>
          <w:szCs w:val="28"/>
          <w:highlight w:val="none"/>
          <w:lang w:val="en-US" w:eastAsia="zh-CN"/>
        </w:rPr>
        <w:t>限</w:t>
      </w:r>
      <w:r>
        <w:rPr>
          <w:rFonts w:hint="eastAsia" w:ascii="仿宋_GB2312" w:hAnsi="仿宋_GB2312" w:eastAsia="仿宋_GB2312" w:cs="仿宋_GB2312"/>
          <w:b/>
          <w:bCs/>
          <w:sz w:val="28"/>
          <w:szCs w:val="28"/>
          <w:highlight w:val="none"/>
        </w:rPr>
        <w:t>及服务地点</w:t>
      </w:r>
    </w:p>
    <w:p w14:paraId="3EA95ECD">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sz w:val="28"/>
          <w:szCs w:val="28"/>
          <w:highlight w:val="none"/>
        </w:rPr>
        <w:t>（一</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sz w:val="28"/>
          <w:szCs w:val="28"/>
          <w:highlight w:val="none"/>
        </w:rPr>
        <w:t>服务期</w:t>
      </w:r>
      <w:r>
        <w:rPr>
          <w:rFonts w:hint="eastAsia" w:ascii="仿宋_GB2312" w:hAnsi="仿宋_GB2312" w:eastAsia="仿宋_GB2312" w:cs="仿宋_GB2312"/>
          <w:bCs/>
          <w:sz w:val="28"/>
          <w:szCs w:val="28"/>
          <w:highlight w:val="none"/>
          <w:lang w:val="en-US" w:eastAsia="zh-CN"/>
        </w:rPr>
        <w:t>限</w:t>
      </w:r>
      <w:r>
        <w:rPr>
          <w:rFonts w:hint="eastAsia" w:ascii="仿宋_GB2312" w:hAnsi="仿宋_GB2312" w:eastAsia="仿宋_GB2312" w:cs="仿宋_GB2312"/>
          <w:bCs/>
          <w:sz w:val="28"/>
          <w:szCs w:val="28"/>
          <w:highlight w:val="none"/>
        </w:rPr>
        <w:t>：</w:t>
      </w:r>
      <w:r>
        <w:rPr>
          <w:rFonts w:hint="eastAsia" w:ascii="仿宋_GB2312" w:hAnsi="仿宋_GB2312" w:eastAsia="仿宋_GB2312" w:cs="仿宋_GB2312"/>
          <w:bCs/>
          <w:sz w:val="28"/>
          <w:szCs w:val="28"/>
          <w:highlight w:val="none"/>
          <w:lang w:val="en-US" w:eastAsia="zh-CN"/>
        </w:rPr>
        <w:t>2026年度</w:t>
      </w:r>
      <w:r>
        <w:rPr>
          <w:rFonts w:hint="eastAsia" w:ascii="仿宋_GB2312" w:hAnsi="仿宋_GB2312" w:eastAsia="仿宋_GB2312" w:cs="仿宋_GB2312"/>
          <w:bCs/>
          <w:sz w:val="28"/>
          <w:szCs w:val="28"/>
          <w:highlight w:val="none"/>
        </w:rPr>
        <w:t>。</w:t>
      </w:r>
    </w:p>
    <w:p w14:paraId="5C292F47">
      <w:pPr>
        <w:tabs>
          <w:tab w:val="center" w:pos="4140"/>
          <w:tab w:val="right" w:pos="8300"/>
        </w:tabs>
        <w:autoSpaceDE w:val="0"/>
        <w:autoSpaceDN w:val="0"/>
        <w:adjustRightInd w:val="0"/>
        <w:spacing w:line="360" w:lineRule="auto"/>
        <w:ind w:firstLine="560" w:firstLineChars="200"/>
        <w:rPr>
          <w:rFonts w:hint="eastAsia" w:ascii="仿宋_GB2312" w:hAnsi="仿宋_GB2312" w:eastAsia="仿宋_GB2312" w:cs="仿宋_GB2312"/>
          <w:bCs/>
          <w:sz w:val="28"/>
          <w:szCs w:val="28"/>
          <w:highlight w:val="none"/>
          <w:lang w:eastAsia="zh-CN"/>
        </w:rPr>
      </w:pPr>
      <w:r>
        <w:rPr>
          <w:rFonts w:hint="eastAsia" w:ascii="仿宋_GB2312" w:hAnsi="仿宋_GB2312" w:eastAsia="仿宋_GB2312" w:cs="仿宋_GB2312"/>
          <w:bCs/>
          <w:sz w:val="28"/>
          <w:szCs w:val="28"/>
          <w:highlight w:val="none"/>
        </w:rPr>
        <w:t>（二）</w:t>
      </w:r>
      <w:r>
        <w:rPr>
          <w:rFonts w:hint="eastAsia" w:ascii="仿宋_GB2312" w:hAnsi="仿宋_GB2312" w:eastAsia="仿宋_GB2312" w:cs="仿宋_GB2312"/>
          <w:bCs/>
          <w:color w:val="auto"/>
          <w:sz w:val="28"/>
          <w:szCs w:val="28"/>
          <w:highlight w:val="none"/>
        </w:rPr>
        <w:t>服务地点：西安高新区，具体以</w:t>
      </w:r>
      <w:r>
        <w:rPr>
          <w:rFonts w:hint="eastAsia" w:ascii="仿宋_GB2312" w:hAnsi="仿宋_GB2312" w:eastAsia="仿宋_GB2312" w:cs="仿宋_GB2312"/>
          <w:bCs/>
          <w:color w:val="auto"/>
          <w:sz w:val="28"/>
          <w:szCs w:val="28"/>
          <w:highlight w:val="none"/>
          <w:lang w:val="en-US" w:eastAsia="zh-CN"/>
        </w:rPr>
        <w:t>甲方</w:t>
      </w:r>
      <w:r>
        <w:rPr>
          <w:rFonts w:hint="eastAsia" w:ascii="仿宋_GB2312" w:hAnsi="仿宋_GB2312" w:eastAsia="仿宋_GB2312" w:cs="仿宋_GB2312"/>
          <w:bCs/>
          <w:color w:val="auto"/>
          <w:sz w:val="28"/>
          <w:szCs w:val="28"/>
          <w:highlight w:val="none"/>
        </w:rPr>
        <w:t>指定地点为准。</w:t>
      </w:r>
    </w:p>
    <w:p w14:paraId="4E46AFF0">
      <w:pPr>
        <w:autoSpaceDE w:val="0"/>
        <w:autoSpaceDN w:val="0"/>
        <w:adjustRightIn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color w:val="auto"/>
          <w:sz w:val="28"/>
          <w:szCs w:val="28"/>
          <w:highlight w:val="none"/>
          <w:lang w:val="en-US" w:eastAsia="zh-CN"/>
        </w:rPr>
        <w:t>五</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sz w:val="28"/>
          <w:szCs w:val="28"/>
          <w:highlight w:val="none"/>
        </w:rPr>
        <w:t>双方的权利和义务</w:t>
      </w:r>
    </w:p>
    <w:p w14:paraId="01D7F644">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（一）甲方的权利与义务</w:t>
      </w:r>
    </w:p>
    <w:p w14:paraId="39B435EB">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1、双方合作期间，甲方负责配合本次项目服务工作及时向乙方提供所需的各种相关资料及信息；</w:t>
      </w:r>
    </w:p>
    <w:p w14:paraId="00CC67DC">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2、甲方应按本合同的约定向乙方支付合同价款；</w:t>
      </w:r>
    </w:p>
    <w:p w14:paraId="0FA3F832">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3、甲方根据需要对乙方提供的</w:t>
      </w:r>
      <w:r>
        <w:rPr>
          <w:rFonts w:hint="eastAsia" w:ascii="仿宋_GB2312" w:hAnsi="仿宋_GB2312" w:eastAsia="仿宋_GB2312" w:cs="仿宋_GB2312"/>
          <w:bCs/>
          <w:sz w:val="28"/>
          <w:szCs w:val="28"/>
          <w:lang w:val="en-US" w:eastAsia="zh-CN"/>
        </w:rPr>
        <w:t>实施</w:t>
      </w:r>
      <w:r>
        <w:rPr>
          <w:rFonts w:hint="eastAsia" w:ascii="仿宋_GB2312" w:hAnsi="仿宋_GB2312" w:eastAsia="仿宋_GB2312" w:cs="仿宋_GB2312"/>
          <w:bCs/>
          <w:sz w:val="28"/>
          <w:szCs w:val="28"/>
        </w:rPr>
        <w:t>方案进行审核，提供建议及意见，确定最终实施的服务方案，以便乙方遵照执行；</w:t>
      </w:r>
    </w:p>
    <w:p w14:paraId="6FC4C865">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4、如因甲方原因延期或取消项目，经甲方书面通知乙方后本合同即告解除，双方根据实际履行情况结清费用。</w:t>
      </w:r>
    </w:p>
    <w:p w14:paraId="0B608399">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甲方有权对乙方的工作进行监督和考核。</w:t>
      </w:r>
    </w:p>
    <w:p w14:paraId="068B7455">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（二）乙方的权利与义务</w:t>
      </w:r>
    </w:p>
    <w:p w14:paraId="2C4E0C86">
      <w:pPr>
        <w:autoSpaceDE w:val="0"/>
        <w:autoSpaceDN w:val="0"/>
        <w:adjustRightIn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1、乙方的工作人员必须严格遵守甲方的规章制度，以良好的形象和积极的工作态度，根据本合同约定及甲方要求开展工作，按时、按质、按量完成甲方委托的各项工作及要求</w:t>
      </w:r>
      <w:r>
        <w:rPr>
          <w:rFonts w:hint="eastAsia" w:ascii="仿宋_GB2312" w:hAnsi="仿宋_GB2312" w:eastAsia="仿宋_GB2312" w:cs="仿宋_GB2312"/>
          <w:bCs/>
          <w:sz w:val="28"/>
          <w:szCs w:val="28"/>
          <w:lang w:eastAsia="zh-CN"/>
        </w:rPr>
        <w:t>；</w:t>
      </w:r>
    </w:p>
    <w:p w14:paraId="125C33FC">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2、乙方应服从甲方统筹管理并按流程开展工作；</w:t>
      </w:r>
    </w:p>
    <w:p w14:paraId="563ECAD9">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w:t>
      </w:r>
      <w:r>
        <w:rPr>
          <w:rFonts w:hint="eastAsia" w:ascii="仿宋_GB2312" w:hAnsi="仿宋_GB2312" w:eastAsia="仿宋_GB2312" w:cs="仿宋_GB2312"/>
          <w:bCs/>
          <w:sz w:val="28"/>
          <w:szCs w:val="28"/>
          <w:lang w:eastAsia="zh-CN"/>
        </w:rPr>
        <w:t>按照合同要求向甲方派驻</w:t>
      </w:r>
      <w:r>
        <w:rPr>
          <w:rFonts w:hint="eastAsia" w:ascii="仿宋_GB2312" w:hAnsi="仿宋_GB2312" w:eastAsia="仿宋_GB2312" w:cs="仿宋_GB2312"/>
          <w:bCs/>
          <w:sz w:val="28"/>
          <w:szCs w:val="28"/>
        </w:rPr>
        <w:t>该项目服务人员并保持服务人员的相对稳定，保证安排的相关人员需按照指定时间到达指定地点进行服务，且服务标准能符合甲方要求。如乙方服务人员不能满足甲方要求，甲方有权随时要求更换；</w:t>
      </w:r>
    </w:p>
    <w:p w14:paraId="780E86D8">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4、乙方提交的方案等应得到甲方确认再予以实施；</w:t>
      </w:r>
    </w:p>
    <w:p w14:paraId="202D1208">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乙方在服务期间发布的任何涉及有关甲方的相关信息，需经甲方确认无误后方可发布；</w:t>
      </w:r>
    </w:p>
    <w:p w14:paraId="3F53AE9A">
      <w:pPr>
        <w:autoSpaceDE w:val="0"/>
        <w:autoSpaceDN w:val="0"/>
        <w:adjustRightInd w:val="0"/>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乙方须与其员工签订劳动合同，建立劳动关系，履行劳动法、劳动合同、社会保险法等相关法律法规规定的义务和责任，应按照我国有关法律法规的规定向其员工发放工资、福利、劳保并缴纳各项社会保险费用。乙方所属员工在工作过程中发生人身伤害，财产损失或其他安全责任事故，由乙方按照相关法律法规承担赔偿责任。乙方须每月向甲方报告其用工情况，甲方有权查询和监督。如因乙方未能履行以上义务，产生劳务纠纷而影响到甲方工作生产的，乙方应承担相应的责任。</w:t>
      </w:r>
    </w:p>
    <w:p w14:paraId="53D4CD3E">
      <w:pPr>
        <w:autoSpaceDE w:val="0"/>
        <w:autoSpaceDN w:val="0"/>
        <w:adjustRightIn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六、服务质量保证</w:t>
      </w:r>
    </w:p>
    <w:p w14:paraId="39472985">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（一）乙方需派一名项目</w:t>
      </w:r>
      <w:r>
        <w:rPr>
          <w:rFonts w:hint="eastAsia" w:ascii="仿宋_GB2312" w:hAnsi="仿宋_GB2312" w:eastAsia="仿宋_GB2312" w:cs="仿宋_GB2312"/>
          <w:bCs/>
          <w:sz w:val="28"/>
          <w:szCs w:val="28"/>
          <w:lang w:val="en-US" w:eastAsia="zh-CN"/>
        </w:rPr>
        <w:t>负责人</w:t>
      </w:r>
      <w:r>
        <w:rPr>
          <w:rFonts w:hint="eastAsia" w:ascii="仿宋_GB2312" w:hAnsi="仿宋_GB2312" w:eastAsia="仿宋_GB2312" w:cs="仿宋_GB2312"/>
          <w:bCs/>
          <w:sz w:val="28"/>
          <w:szCs w:val="28"/>
        </w:rPr>
        <w:t>，直接与甲方沟通，项目</w:t>
      </w:r>
      <w:r>
        <w:rPr>
          <w:rFonts w:hint="eastAsia" w:ascii="仿宋_GB2312" w:hAnsi="仿宋_GB2312" w:eastAsia="仿宋_GB2312" w:cs="仿宋_GB2312"/>
          <w:bCs/>
          <w:sz w:val="28"/>
          <w:szCs w:val="28"/>
          <w:lang w:val="en-US" w:eastAsia="zh-CN"/>
        </w:rPr>
        <w:t>负责人</w:t>
      </w:r>
      <w:r>
        <w:rPr>
          <w:rFonts w:hint="eastAsia" w:ascii="仿宋_GB2312" w:hAnsi="仿宋_GB2312" w:eastAsia="仿宋_GB2312" w:cs="仿宋_GB2312"/>
          <w:bCs/>
          <w:sz w:val="28"/>
          <w:szCs w:val="28"/>
        </w:rPr>
        <w:t>接收甲方提出的问题与要求，并及时反馈给工作组，解决在项目实施过程中遇到的问题。</w:t>
      </w:r>
    </w:p>
    <w:p w14:paraId="14B93EA6">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（二）项目在实施过程中会出现不可预料的需求变更，乙方需积极配合甲方的需求变更，并按照变更后的需求继续进行方案实施。</w:t>
      </w:r>
    </w:p>
    <w:p w14:paraId="09B376D0">
      <w:pPr>
        <w:autoSpaceDE w:val="0"/>
        <w:autoSpaceDN w:val="0"/>
        <w:adjustRightInd w:val="0"/>
        <w:spacing w:line="360" w:lineRule="auto"/>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（三）</w:t>
      </w:r>
      <w:r>
        <w:rPr>
          <w:rFonts w:hint="eastAsia" w:ascii="仿宋_GB2312" w:hAnsi="仿宋_GB2312" w:eastAsia="仿宋_GB2312" w:cs="仿宋_GB2312"/>
          <w:bCs/>
          <w:sz w:val="28"/>
          <w:szCs w:val="28"/>
          <w:lang w:eastAsia="zh-CN"/>
        </w:rPr>
        <w:t>乙方需按照要求组建技术支援团队，其中不少于5名工作人员专职驻场服务，按照要求协助完成分类帮扶、过程留存、动态管理、跟踪服务等相关工作，确保就业援助工作高效开展。</w:t>
      </w:r>
    </w:p>
    <w:p w14:paraId="55655713">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（四）乙方需设有详细的技术资料档案和服务档案，</w:t>
      </w:r>
      <w:r>
        <w:rPr>
          <w:rFonts w:hint="eastAsia" w:ascii="仿宋_GB2312" w:hAnsi="仿宋_GB2312" w:eastAsia="仿宋_GB2312" w:cs="仿宋_GB2312"/>
          <w:bCs/>
          <w:sz w:val="28"/>
          <w:szCs w:val="28"/>
          <w:lang w:eastAsia="zh-CN"/>
        </w:rPr>
        <w:t>项目结束后</w:t>
      </w:r>
      <w:r>
        <w:rPr>
          <w:rFonts w:hint="eastAsia" w:ascii="仿宋_GB2312" w:hAnsi="仿宋_GB2312" w:eastAsia="仿宋_GB2312" w:cs="仿宋_GB2312"/>
          <w:bCs/>
          <w:sz w:val="28"/>
          <w:szCs w:val="28"/>
        </w:rPr>
        <w:t>需提交所有实施方案流程及说明文档</w:t>
      </w:r>
      <w:r>
        <w:rPr>
          <w:rFonts w:hint="eastAsia" w:ascii="仿宋_GB2312" w:hAnsi="仿宋_GB2312" w:eastAsia="仿宋_GB2312" w:cs="仿宋_GB2312"/>
          <w:bCs/>
          <w:sz w:val="28"/>
          <w:szCs w:val="28"/>
          <w:lang w:eastAsia="zh-CN"/>
        </w:rPr>
        <w:t>给甲方</w:t>
      </w:r>
      <w:r>
        <w:rPr>
          <w:rFonts w:hint="eastAsia" w:ascii="仿宋_GB2312" w:hAnsi="仿宋_GB2312" w:eastAsia="仿宋_GB2312" w:cs="仿宋_GB2312"/>
          <w:bCs/>
          <w:sz w:val="28"/>
          <w:szCs w:val="28"/>
        </w:rPr>
        <w:t>。</w:t>
      </w:r>
    </w:p>
    <w:p w14:paraId="07A64520">
      <w:pPr>
        <w:autoSpaceDE w:val="0"/>
        <w:autoSpaceDN w:val="0"/>
        <w:adjustRightIn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七、保密规定</w:t>
      </w:r>
    </w:p>
    <w:p w14:paraId="0D059554">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乙方</w:t>
      </w:r>
      <w:r>
        <w:rPr>
          <w:rFonts w:hint="eastAsia" w:ascii="仿宋_GB2312" w:hAnsi="仿宋_GB2312" w:eastAsia="仿宋_GB2312" w:cs="仿宋_GB2312"/>
          <w:bCs/>
          <w:sz w:val="28"/>
          <w:szCs w:val="28"/>
        </w:rPr>
        <w:t>应遵守法律法规规定，遵守商业道德和职业道德，严格保障业务开展过程中的数据安全。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11408527">
      <w:pPr>
        <w:autoSpaceDE w:val="0"/>
        <w:autoSpaceDN w:val="0"/>
        <w:adjustRightIn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八</w:t>
      </w:r>
      <w:r>
        <w:rPr>
          <w:rFonts w:hint="eastAsia" w:ascii="仿宋_GB2312" w:hAnsi="仿宋_GB2312" w:eastAsia="仿宋_GB2312" w:cs="仿宋_GB2312"/>
          <w:b/>
          <w:sz w:val="28"/>
          <w:szCs w:val="28"/>
        </w:rPr>
        <w:t>、其他事项</w:t>
      </w:r>
    </w:p>
    <w:p w14:paraId="41039EFC">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（一）乙方不得转让、分包给其它单位或个人。</w:t>
      </w:r>
    </w:p>
    <w:p w14:paraId="78889AB6">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w:t>
      </w:r>
      <w:r>
        <w:rPr>
          <w:rFonts w:hint="eastAsia" w:ascii="仿宋_GB2312" w:hAnsi="仿宋_GB2312" w:eastAsia="仿宋_GB2312" w:cs="仿宋_GB2312"/>
          <w:bCs/>
          <w:sz w:val="28"/>
          <w:szCs w:val="28"/>
          <w:lang w:eastAsia="zh-CN"/>
        </w:rPr>
        <w:t>响应文件</w:t>
      </w:r>
      <w:r>
        <w:rPr>
          <w:rFonts w:hint="eastAsia" w:ascii="仿宋_GB2312" w:hAnsi="仿宋_GB2312" w:eastAsia="仿宋_GB2312" w:cs="仿宋_GB2312"/>
          <w:bCs/>
          <w:sz w:val="28"/>
          <w:szCs w:val="28"/>
        </w:rPr>
        <w:t>和承诺等内容将列入合同。</w:t>
      </w:r>
    </w:p>
    <w:p w14:paraId="517CCFB8">
      <w:pPr>
        <w:snapToGrid w:val="0"/>
        <w:spacing w:line="360" w:lineRule="auto"/>
        <w:ind w:firstLine="562" w:firstLineChars="200"/>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lang w:val="en-US" w:eastAsia="zh-CN"/>
        </w:rPr>
        <w:t>九</w:t>
      </w:r>
      <w:r>
        <w:rPr>
          <w:rFonts w:hint="eastAsia" w:ascii="仿宋_GB2312" w:hAnsi="仿宋_GB2312" w:eastAsia="仿宋_GB2312" w:cs="仿宋_GB2312"/>
          <w:b/>
          <w:sz w:val="28"/>
          <w:szCs w:val="28"/>
          <w:highlight w:val="none"/>
        </w:rPr>
        <w:t>、验收</w:t>
      </w:r>
    </w:p>
    <w:p w14:paraId="13D5CCE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（一）本项目验收费用，由乙方自行承担。</w:t>
      </w:r>
    </w:p>
    <w:p w14:paraId="4CFF991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（二）服务期满后，由乙方向甲方递交验收通知书，经甲方确认后，组织乙方进行系统验收。验收合格后，填写政府采购项目验收单作为对本次服务的最终认可。</w:t>
      </w:r>
    </w:p>
    <w:p w14:paraId="6A52261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（三）验收依据：</w:t>
      </w:r>
    </w:p>
    <w:p w14:paraId="2E0BAD6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1、本合同及附加文本；</w:t>
      </w:r>
    </w:p>
    <w:p w14:paraId="356A5AA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val="en-US" w:eastAsia="zh-CN"/>
        </w:rPr>
        <w:t>磋商</w:t>
      </w:r>
      <w:r>
        <w:rPr>
          <w:rFonts w:hint="eastAsia" w:ascii="仿宋_GB2312" w:hAnsi="仿宋_GB2312" w:eastAsia="仿宋_GB2312" w:cs="仿宋_GB2312"/>
          <w:bCs/>
          <w:sz w:val="28"/>
          <w:szCs w:val="28"/>
          <w:highlight w:val="none"/>
        </w:rPr>
        <w:t>文件、</w:t>
      </w:r>
      <w:r>
        <w:rPr>
          <w:rFonts w:hint="eastAsia" w:ascii="仿宋_GB2312" w:hAnsi="仿宋_GB2312" w:eastAsia="仿宋_GB2312" w:cs="仿宋_GB2312"/>
          <w:bCs/>
          <w:sz w:val="28"/>
          <w:szCs w:val="28"/>
          <w:highlight w:val="none"/>
          <w:lang w:val="en-US" w:eastAsia="zh-CN"/>
        </w:rPr>
        <w:t>成交供应商</w:t>
      </w:r>
      <w:r>
        <w:rPr>
          <w:rFonts w:hint="eastAsia" w:ascii="仿宋_GB2312" w:hAnsi="仿宋_GB2312" w:eastAsia="仿宋_GB2312" w:cs="仿宋_GB2312"/>
          <w:bCs/>
          <w:sz w:val="28"/>
          <w:szCs w:val="28"/>
          <w:highlight w:val="none"/>
        </w:rPr>
        <w:t>的</w:t>
      </w:r>
      <w:r>
        <w:rPr>
          <w:rFonts w:hint="eastAsia" w:ascii="仿宋_GB2312" w:hAnsi="仿宋_GB2312" w:eastAsia="仿宋_GB2312" w:cs="仿宋_GB2312"/>
          <w:bCs/>
          <w:sz w:val="28"/>
          <w:szCs w:val="28"/>
          <w:highlight w:val="none"/>
          <w:lang w:val="en-US" w:eastAsia="zh-CN"/>
        </w:rPr>
        <w:t>响应</w:t>
      </w:r>
      <w:r>
        <w:rPr>
          <w:rFonts w:hint="eastAsia" w:ascii="仿宋_GB2312" w:hAnsi="仿宋_GB2312" w:eastAsia="仿宋_GB2312" w:cs="仿宋_GB2312"/>
          <w:bCs/>
          <w:sz w:val="28"/>
          <w:szCs w:val="28"/>
          <w:highlight w:val="none"/>
        </w:rPr>
        <w:t>文件及澄清（承诺）函；</w:t>
      </w:r>
    </w:p>
    <w:p w14:paraId="031B381D">
      <w:pPr>
        <w:keepNext w:val="0"/>
        <w:keepLines w:val="0"/>
        <w:pageBreakBefore w:val="0"/>
        <w:kinsoku/>
        <w:wordWrap/>
        <w:overflowPunct/>
        <w:topLinePunct w:val="0"/>
        <w:bidi w:val="0"/>
        <w:snapToGrid w:val="0"/>
        <w:spacing w:line="360" w:lineRule="auto"/>
        <w:ind w:firstLine="560" w:firstLineChars="200"/>
        <w:jc w:val="both"/>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3、国家相应的标准、规范。</w:t>
      </w:r>
    </w:p>
    <w:p w14:paraId="5F50486D">
      <w:pPr>
        <w:keepNext w:val="0"/>
        <w:keepLines w:val="0"/>
        <w:pageBreakBefore w:val="0"/>
        <w:kinsoku/>
        <w:wordWrap/>
        <w:overflowPunct/>
        <w:topLinePunct w:val="0"/>
        <w:bidi w:val="0"/>
        <w:snapToGrid w:val="0"/>
        <w:spacing w:line="360" w:lineRule="auto"/>
        <w:ind w:firstLine="562"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b/>
          <w:sz w:val="28"/>
          <w:szCs w:val="28"/>
          <w:highlight w:val="none"/>
          <w:lang w:val="en-US" w:eastAsia="zh-CN"/>
        </w:rPr>
        <w:t>十</w:t>
      </w:r>
      <w:r>
        <w:rPr>
          <w:rFonts w:hint="eastAsia" w:ascii="仿宋_GB2312" w:hAnsi="仿宋_GB2312" w:eastAsia="仿宋_GB2312" w:cs="仿宋_GB2312"/>
          <w:b/>
          <w:sz w:val="28"/>
          <w:szCs w:val="28"/>
          <w:highlight w:val="none"/>
        </w:rPr>
        <w:t>、违约责任</w:t>
      </w:r>
    </w:p>
    <w:p w14:paraId="62BFAF43">
      <w:pPr>
        <w:keepNext w:val="0"/>
        <w:keepLines w:val="0"/>
        <w:pageBreakBefore w:val="0"/>
        <w:kinsoku/>
        <w:wordWrap/>
        <w:overflowPunct/>
        <w:topLinePunct w:val="0"/>
        <w:bidi w:val="0"/>
        <w:snapToGrid w:val="0"/>
        <w:spacing w:line="360" w:lineRule="auto"/>
        <w:ind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（一）按《</w:t>
      </w:r>
      <w:r>
        <w:rPr>
          <w:rFonts w:hint="eastAsia" w:ascii="仿宋_GB2312" w:hAnsi="仿宋_GB2312" w:eastAsia="仿宋_GB2312" w:cs="仿宋_GB2312"/>
          <w:bCs/>
          <w:sz w:val="28"/>
          <w:szCs w:val="28"/>
          <w:highlight w:val="none"/>
        </w:rPr>
        <w:t>中华人民共和国</w:t>
      </w:r>
      <w:r>
        <w:rPr>
          <w:rFonts w:hint="eastAsia" w:ascii="仿宋_GB2312" w:hAnsi="仿宋_GB2312" w:eastAsia="仿宋_GB2312" w:cs="仿宋_GB2312"/>
          <w:bCs/>
          <w:sz w:val="28"/>
          <w:szCs w:val="28"/>
          <w:highlight w:val="none"/>
          <w:lang w:eastAsia="zh-CN"/>
        </w:rPr>
        <w:t>民法典</w:t>
      </w:r>
      <w:r>
        <w:rPr>
          <w:rFonts w:hint="eastAsia" w:ascii="仿宋_GB2312" w:hAnsi="仿宋_GB2312" w:eastAsia="仿宋_GB2312" w:cs="仿宋_GB2312"/>
          <w:sz w:val="28"/>
          <w:szCs w:val="28"/>
          <w:highlight w:val="none"/>
        </w:rPr>
        <w:t>》中的相关条款执行。</w:t>
      </w:r>
    </w:p>
    <w:p w14:paraId="41CE8702">
      <w:pPr>
        <w:keepNext w:val="0"/>
        <w:keepLines w:val="0"/>
        <w:pageBreakBefore w:val="0"/>
        <w:kinsoku/>
        <w:wordWrap/>
        <w:overflowPunct/>
        <w:topLinePunct w:val="0"/>
        <w:bidi w:val="0"/>
        <w:snapToGrid w:val="0"/>
        <w:spacing w:line="360" w:lineRule="auto"/>
        <w:ind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（二）未按合同要求提供服务或服务质量不能满足本次采购要求，采购人会同监督机构、采购代理机构有权终止合同和对</w:t>
      </w:r>
      <w:r>
        <w:rPr>
          <w:rFonts w:hint="eastAsia" w:ascii="仿宋_GB2312" w:hAnsi="仿宋_GB2312" w:eastAsia="仿宋_GB2312" w:cs="仿宋_GB2312"/>
          <w:sz w:val="28"/>
          <w:szCs w:val="28"/>
          <w:highlight w:val="none"/>
          <w:lang w:eastAsia="zh-CN"/>
        </w:rPr>
        <w:t>乙方</w:t>
      </w:r>
      <w:r>
        <w:rPr>
          <w:rFonts w:hint="eastAsia" w:ascii="仿宋_GB2312" w:hAnsi="仿宋_GB2312" w:eastAsia="仿宋_GB2312" w:cs="仿宋_GB2312"/>
          <w:sz w:val="28"/>
          <w:szCs w:val="28"/>
          <w:highlight w:val="none"/>
        </w:rPr>
        <w:t>违约行为进行追究，同时按政府采购法的有关规定进行相应的处罚。</w:t>
      </w:r>
    </w:p>
    <w:p w14:paraId="42C0BDA0">
      <w:pPr>
        <w:autoSpaceDE w:val="0"/>
        <w:autoSpaceDN w:val="0"/>
        <w:adjustRightInd w:val="0"/>
        <w:snapToGrid w:val="0"/>
        <w:spacing w:line="360" w:lineRule="auto"/>
        <w:ind w:firstLine="562" w:firstLineChars="200"/>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lang w:val="en-US" w:eastAsia="zh-CN"/>
        </w:rPr>
        <w:t>十一</w:t>
      </w:r>
      <w:r>
        <w:rPr>
          <w:rFonts w:hint="eastAsia" w:ascii="仿宋_GB2312" w:hAnsi="仿宋_GB2312" w:eastAsia="仿宋_GB2312" w:cs="仿宋_GB2312"/>
          <w:b/>
          <w:sz w:val="28"/>
          <w:szCs w:val="28"/>
        </w:rPr>
        <w:t>、</w:t>
      </w:r>
      <w:r>
        <w:rPr>
          <w:rFonts w:hint="eastAsia" w:ascii="仿宋_GB2312" w:hAnsi="仿宋_GB2312" w:eastAsia="仿宋_GB2312" w:cs="仿宋_GB2312"/>
          <w:b/>
          <w:bCs/>
          <w:sz w:val="28"/>
          <w:szCs w:val="28"/>
        </w:rPr>
        <w:t>合同争议解决的方式</w:t>
      </w:r>
    </w:p>
    <w:p w14:paraId="2EED7A5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（一）本合同在履行过程中发生的争议，由甲、乙双方当事人协商解决，协商不成的按下列第</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2</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种方式解决：</w:t>
      </w:r>
    </w:p>
    <w:p w14:paraId="08E2E3A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1、提交西安仲裁委员会仲裁；</w:t>
      </w:r>
    </w:p>
    <w:p w14:paraId="2B6AE12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2、依法向甲方所在地人民法院起诉。</w:t>
      </w:r>
    </w:p>
    <w:p w14:paraId="524410EB">
      <w:pPr>
        <w:keepNext w:val="0"/>
        <w:keepLines w:val="0"/>
        <w:pageBreakBefore w:val="0"/>
        <w:kinsoku/>
        <w:wordWrap/>
        <w:overflowPunct/>
        <w:topLinePunct w:val="0"/>
        <w:autoSpaceDE w:val="0"/>
        <w:autoSpaceDN w:val="0"/>
        <w:bidi w:val="0"/>
        <w:snapToGrid w:val="0"/>
        <w:spacing w:line="360" w:lineRule="auto"/>
        <w:ind w:firstLine="560"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Cs/>
          <w:sz w:val="28"/>
          <w:szCs w:val="28"/>
        </w:rPr>
        <w:t>（二）因质量问题发生的争议，由国家权威技术单位进行质量鉴定，该鉴定结论为最终结果，甲乙双方应当接受。</w:t>
      </w:r>
    </w:p>
    <w:p w14:paraId="7FB65017">
      <w:pPr>
        <w:keepNext w:val="0"/>
        <w:keepLines w:val="0"/>
        <w:pageBreakBefore w:val="0"/>
        <w:kinsoku/>
        <w:wordWrap/>
        <w:overflowPunct/>
        <w:topLinePunct w:val="0"/>
        <w:autoSpaceDE w:val="0"/>
        <w:autoSpaceDN w:val="0"/>
        <w:bidi w:val="0"/>
        <w:snapToGrid w:val="0"/>
        <w:spacing w:line="360" w:lineRule="auto"/>
        <w:ind w:firstLine="562" w:firstLineChars="20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十二</w:t>
      </w:r>
      <w:r>
        <w:rPr>
          <w:rFonts w:hint="eastAsia" w:ascii="仿宋_GB2312" w:hAnsi="仿宋_GB2312" w:eastAsia="仿宋_GB2312" w:cs="仿宋_GB2312"/>
          <w:b/>
          <w:sz w:val="28"/>
          <w:szCs w:val="28"/>
        </w:rPr>
        <w:t>、合同生效</w:t>
      </w:r>
    </w:p>
    <w:p w14:paraId="371DEE76">
      <w:pPr>
        <w:keepNext w:val="0"/>
        <w:keepLines w:val="0"/>
        <w:pageBreakBefore w:val="0"/>
        <w:kinsoku/>
        <w:wordWrap/>
        <w:overflowPunct/>
        <w:topLinePunct w:val="0"/>
        <w:autoSpaceDE w:val="0"/>
        <w:autoSpaceDN w:val="0"/>
        <w:bidi w:val="0"/>
        <w:snapToGrid w:val="0"/>
        <w:spacing w:line="360" w:lineRule="auto"/>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（一）本合同须经甲、乙双方的法定代表人（授权代</w:t>
      </w:r>
      <w:r>
        <w:rPr>
          <w:rFonts w:hint="eastAsia" w:ascii="仿宋_GB2312" w:hAnsi="仿宋_GB2312" w:eastAsia="仿宋_GB2312" w:cs="仿宋_GB2312"/>
          <w:sz w:val="28"/>
          <w:szCs w:val="28"/>
          <w:lang w:val="en-US" w:eastAsia="zh-CN"/>
        </w:rPr>
        <w:t>表</w:t>
      </w:r>
      <w:r>
        <w:rPr>
          <w:rFonts w:hint="eastAsia" w:ascii="仿宋_GB2312" w:hAnsi="仿宋_GB2312" w:eastAsia="仿宋_GB2312" w:cs="仿宋_GB2312"/>
          <w:sz w:val="28"/>
          <w:szCs w:val="28"/>
        </w:rPr>
        <w:t>）在合同书上签字并加盖本单位公章后正式生效。</w:t>
      </w:r>
    </w:p>
    <w:p w14:paraId="7D631170">
      <w:pPr>
        <w:keepNext w:val="0"/>
        <w:keepLines w:val="0"/>
        <w:pageBreakBefore w:val="0"/>
        <w:kinsoku/>
        <w:wordWrap/>
        <w:overflowPunct/>
        <w:topLinePunct w:val="0"/>
        <w:autoSpaceDE w:val="0"/>
        <w:autoSpaceDN w:val="0"/>
        <w:bidi w:val="0"/>
        <w:snapToGrid w:val="0"/>
        <w:spacing w:line="360" w:lineRule="auto"/>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（二）合同生效后，甲、乙双方须严格执行本合同条款的规定，全面履行合同，违者按《</w:t>
      </w:r>
      <w:r>
        <w:rPr>
          <w:rFonts w:hint="eastAsia" w:ascii="仿宋_GB2312" w:hAnsi="仿宋_GB2312" w:eastAsia="仿宋_GB2312" w:cs="仿宋_GB2312"/>
          <w:bCs/>
          <w:sz w:val="28"/>
          <w:szCs w:val="28"/>
        </w:rPr>
        <w:t>中华人民共和国</w:t>
      </w:r>
      <w:r>
        <w:rPr>
          <w:rFonts w:hint="eastAsia" w:ascii="仿宋_GB2312" w:hAnsi="仿宋_GB2312" w:eastAsia="仿宋_GB2312" w:cs="仿宋_GB2312"/>
          <w:bCs/>
          <w:sz w:val="28"/>
          <w:szCs w:val="28"/>
          <w:lang w:eastAsia="zh-CN"/>
        </w:rPr>
        <w:t>民法典</w:t>
      </w:r>
      <w:r>
        <w:rPr>
          <w:rFonts w:hint="eastAsia" w:ascii="仿宋_GB2312" w:hAnsi="仿宋_GB2312" w:eastAsia="仿宋_GB2312" w:cs="仿宋_GB2312"/>
          <w:sz w:val="28"/>
          <w:szCs w:val="28"/>
        </w:rPr>
        <w:t>》的有关规定承担相应责任。</w:t>
      </w:r>
    </w:p>
    <w:p w14:paraId="25160B71">
      <w:pPr>
        <w:keepNext w:val="0"/>
        <w:keepLines w:val="0"/>
        <w:pageBreakBefore w:val="0"/>
        <w:kinsoku/>
        <w:wordWrap/>
        <w:overflowPunct/>
        <w:topLinePunct w:val="0"/>
        <w:autoSpaceDE w:val="0"/>
        <w:autoSpaceDN w:val="0"/>
        <w:bidi w:val="0"/>
        <w:snapToGrid w:val="0"/>
        <w:spacing w:line="360" w:lineRule="auto"/>
        <w:ind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（三）本合同一式</w:t>
      </w:r>
      <w:r>
        <w:rPr>
          <w:rFonts w:hint="eastAsia" w:ascii="仿宋_GB2312" w:hAnsi="仿宋_GB2312" w:eastAsia="仿宋_GB2312" w:cs="仿宋_GB2312"/>
          <w:sz w:val="28"/>
          <w:szCs w:val="28"/>
          <w:lang w:val="en-US" w:eastAsia="zh-CN"/>
        </w:rPr>
        <w:t>12</w:t>
      </w:r>
      <w:r>
        <w:rPr>
          <w:rFonts w:hint="eastAsia" w:ascii="仿宋_GB2312" w:hAnsi="仿宋_GB2312" w:eastAsia="仿宋_GB2312" w:cs="仿宋_GB2312"/>
          <w:sz w:val="28"/>
          <w:szCs w:val="28"/>
        </w:rPr>
        <w:t>份，甲乙双方各执</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rPr>
        <w:t>份。</w:t>
      </w:r>
    </w:p>
    <w:p w14:paraId="1E88414B">
      <w:pPr>
        <w:widowControl/>
        <w:spacing w:line="360" w:lineRule="auto"/>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（四）本合同如有未尽事宜，甲、乙双方协商解决。</w:t>
      </w:r>
    </w:p>
    <w:p w14:paraId="64F7BC6D">
      <w:pPr>
        <w:rPr>
          <w:rFonts w:hint="eastAsia" w:ascii="仿宋_GB2312" w:hAnsi="仿宋_GB2312" w:eastAsia="仿宋_GB2312" w:cs="仿宋_GB2312"/>
          <w:sz w:val="28"/>
          <w:szCs w:val="28"/>
          <w:lang w:val="en-US" w:eastAsia="zh-CN"/>
        </w:rPr>
      </w:pPr>
    </w:p>
    <w:tbl>
      <w:tblPr>
        <w:tblStyle w:val="13"/>
        <w:tblW w:w="0" w:type="auto"/>
        <w:jc w:val="center"/>
        <w:tblLayout w:type="fixed"/>
        <w:tblCellMar>
          <w:top w:w="0" w:type="dxa"/>
          <w:left w:w="108" w:type="dxa"/>
          <w:bottom w:w="0" w:type="dxa"/>
          <w:right w:w="108" w:type="dxa"/>
        </w:tblCellMar>
      </w:tblPr>
      <w:tblGrid>
        <w:gridCol w:w="4201"/>
        <w:gridCol w:w="4202"/>
      </w:tblGrid>
      <w:tr w14:paraId="5328237B">
        <w:tblPrEx>
          <w:tblCellMar>
            <w:top w:w="0" w:type="dxa"/>
            <w:left w:w="108" w:type="dxa"/>
            <w:bottom w:w="0" w:type="dxa"/>
            <w:right w:w="108" w:type="dxa"/>
          </w:tblCellMar>
        </w:tblPrEx>
        <w:trPr>
          <w:trHeight w:val="680" w:hRule="exact"/>
          <w:jc w:val="center"/>
        </w:trPr>
        <w:tc>
          <w:tcPr>
            <w:tcW w:w="4201" w:type="dxa"/>
            <w:noWrap w:val="0"/>
            <w:vAlign w:val="center"/>
          </w:tcPr>
          <w:p w14:paraId="5FB703E8">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甲  方</w:t>
            </w:r>
          </w:p>
        </w:tc>
        <w:tc>
          <w:tcPr>
            <w:tcW w:w="4202" w:type="dxa"/>
            <w:noWrap w:val="0"/>
            <w:vAlign w:val="center"/>
          </w:tcPr>
          <w:p w14:paraId="1E830DC0">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乙  方</w:t>
            </w:r>
          </w:p>
        </w:tc>
      </w:tr>
      <w:tr w14:paraId="0992F495">
        <w:tblPrEx>
          <w:tblCellMar>
            <w:top w:w="0" w:type="dxa"/>
            <w:left w:w="108" w:type="dxa"/>
            <w:bottom w:w="0" w:type="dxa"/>
            <w:right w:w="108" w:type="dxa"/>
          </w:tblCellMar>
        </w:tblPrEx>
        <w:trPr>
          <w:trHeight w:val="680" w:hRule="exact"/>
          <w:jc w:val="center"/>
        </w:trPr>
        <w:tc>
          <w:tcPr>
            <w:tcW w:w="4201" w:type="dxa"/>
            <w:noWrap w:val="0"/>
            <w:vAlign w:val="center"/>
          </w:tcPr>
          <w:p w14:paraId="6ADB60E2">
            <w:pPr>
              <w:autoSpaceDE w:val="0"/>
              <w:autoSpaceDN w:val="0"/>
              <w:adjustRightInd w:val="0"/>
              <w:ind w:firstLine="840" w:firstLineChars="35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0"/>
            <w:vAlign w:val="center"/>
          </w:tcPr>
          <w:p w14:paraId="38891FD3">
            <w:pPr>
              <w:autoSpaceDE w:val="0"/>
              <w:autoSpaceDN w:val="0"/>
              <w:adjustRightInd w:val="0"/>
              <w:ind w:firstLine="960" w:firstLineChars="40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088CBEBB">
        <w:tblPrEx>
          <w:tblCellMar>
            <w:top w:w="0" w:type="dxa"/>
            <w:left w:w="108" w:type="dxa"/>
            <w:bottom w:w="0" w:type="dxa"/>
            <w:right w:w="108" w:type="dxa"/>
          </w:tblCellMar>
        </w:tblPrEx>
        <w:trPr>
          <w:trHeight w:val="680" w:hRule="exact"/>
          <w:jc w:val="center"/>
        </w:trPr>
        <w:tc>
          <w:tcPr>
            <w:tcW w:w="4201" w:type="dxa"/>
            <w:noWrap w:val="0"/>
            <w:vAlign w:val="center"/>
          </w:tcPr>
          <w:p w14:paraId="6126EE48">
            <w:pPr>
              <w:autoSpaceDE w:val="0"/>
              <w:autoSpaceDN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 xml:space="preserve">地址： </w:t>
            </w:r>
          </w:p>
        </w:tc>
        <w:tc>
          <w:tcPr>
            <w:tcW w:w="4202" w:type="dxa"/>
            <w:noWrap w:val="0"/>
            <w:vAlign w:val="center"/>
          </w:tcPr>
          <w:p w14:paraId="05D5DAB9">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410AC29C">
        <w:tblPrEx>
          <w:tblCellMar>
            <w:top w:w="0" w:type="dxa"/>
            <w:left w:w="108" w:type="dxa"/>
            <w:bottom w:w="0" w:type="dxa"/>
            <w:right w:w="108" w:type="dxa"/>
          </w:tblCellMar>
        </w:tblPrEx>
        <w:trPr>
          <w:trHeight w:val="680" w:hRule="exact"/>
          <w:jc w:val="center"/>
        </w:trPr>
        <w:tc>
          <w:tcPr>
            <w:tcW w:w="4201" w:type="dxa"/>
            <w:noWrap w:val="0"/>
            <w:vAlign w:val="center"/>
          </w:tcPr>
          <w:p w14:paraId="432FC292">
            <w:pPr>
              <w:autoSpaceDE w:val="0"/>
              <w:autoSpaceDN w:val="0"/>
              <w:adjustRightInd w:val="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highlight w:val="none"/>
              </w:rPr>
              <w:t>被授权代表：</w:t>
            </w:r>
          </w:p>
        </w:tc>
        <w:tc>
          <w:tcPr>
            <w:tcW w:w="4202" w:type="dxa"/>
            <w:noWrap w:val="0"/>
            <w:vAlign w:val="center"/>
          </w:tcPr>
          <w:p w14:paraId="772C437F">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7FD96356">
        <w:tblPrEx>
          <w:tblCellMar>
            <w:top w:w="0" w:type="dxa"/>
            <w:left w:w="108" w:type="dxa"/>
            <w:bottom w:w="0" w:type="dxa"/>
            <w:right w:w="108" w:type="dxa"/>
          </w:tblCellMar>
        </w:tblPrEx>
        <w:trPr>
          <w:trHeight w:val="680" w:hRule="exact"/>
          <w:jc w:val="center"/>
        </w:trPr>
        <w:tc>
          <w:tcPr>
            <w:tcW w:w="4201" w:type="dxa"/>
            <w:noWrap w:val="0"/>
            <w:vAlign w:val="center"/>
          </w:tcPr>
          <w:p w14:paraId="4A587793">
            <w:pPr>
              <w:autoSpaceDE w:val="0"/>
              <w:autoSpaceDN w:val="0"/>
              <w:adjustRightInd w:val="0"/>
              <w:ind w:left="720" w:leftChars="0" w:hanging="720" w:hangingChars="300"/>
              <w:rPr>
                <w:rFonts w:hint="eastAsia" w:ascii="仿宋_GB2312" w:hAnsi="仿宋_GB2312" w:eastAsia="仿宋_GB2312" w:cs="仿宋_GB2312"/>
                <w:spacing w:val="-20"/>
                <w:kern w:val="0"/>
                <w:sz w:val="28"/>
                <w:szCs w:val="28"/>
                <w:highlight w:val="none"/>
              </w:rPr>
            </w:pPr>
            <w:r>
              <w:rPr>
                <w:rFonts w:hint="eastAsia" w:ascii="仿宋_GB2312" w:hAnsi="仿宋_GB2312" w:eastAsia="仿宋_GB2312" w:cs="仿宋_GB2312"/>
                <w:spacing w:val="-20"/>
                <w:kern w:val="0"/>
                <w:sz w:val="28"/>
                <w:szCs w:val="28"/>
              </w:rPr>
              <w:t>电话：</w:t>
            </w:r>
          </w:p>
        </w:tc>
        <w:tc>
          <w:tcPr>
            <w:tcW w:w="4202" w:type="dxa"/>
            <w:noWrap w:val="0"/>
            <w:vAlign w:val="center"/>
          </w:tcPr>
          <w:p w14:paraId="12A192AF">
            <w:pPr>
              <w:autoSpaceDE w:val="0"/>
              <w:autoSpaceDN w:val="0"/>
              <w:adjustRightInd w:val="0"/>
              <w:ind w:left="720" w:leftChars="0" w:hanging="720" w:hangingChars="300"/>
              <w:rPr>
                <w:rFonts w:hint="eastAsia" w:ascii="仿宋_GB2312" w:hAnsi="仿宋_GB2312" w:eastAsia="仿宋_GB2312" w:cs="仿宋_GB2312"/>
                <w:spacing w:val="-20"/>
                <w:kern w:val="0"/>
                <w:sz w:val="28"/>
                <w:szCs w:val="28"/>
                <w:lang w:val="en-US" w:eastAsia="zh-CN" w:bidi="ar-SA"/>
              </w:rPr>
            </w:pPr>
            <w:r>
              <w:rPr>
                <w:rFonts w:hint="eastAsia" w:ascii="仿宋_GB2312" w:hAnsi="仿宋_GB2312" w:eastAsia="仿宋_GB2312" w:cs="仿宋_GB2312"/>
                <w:spacing w:val="-20"/>
                <w:kern w:val="0"/>
                <w:sz w:val="28"/>
                <w:szCs w:val="28"/>
              </w:rPr>
              <w:t>电话：</w:t>
            </w:r>
          </w:p>
        </w:tc>
      </w:tr>
      <w:tr w14:paraId="4C1AFC01">
        <w:tblPrEx>
          <w:tblCellMar>
            <w:top w:w="0" w:type="dxa"/>
            <w:left w:w="108" w:type="dxa"/>
            <w:bottom w:w="0" w:type="dxa"/>
            <w:right w:w="108" w:type="dxa"/>
          </w:tblCellMar>
        </w:tblPrEx>
        <w:trPr>
          <w:trHeight w:val="680" w:hRule="exact"/>
          <w:jc w:val="center"/>
        </w:trPr>
        <w:tc>
          <w:tcPr>
            <w:tcW w:w="4201" w:type="dxa"/>
            <w:noWrap w:val="0"/>
            <w:vAlign w:val="center"/>
          </w:tcPr>
          <w:p w14:paraId="7621D28C">
            <w:pPr>
              <w:autoSpaceDE w:val="0"/>
              <w:autoSpaceDN w:val="0"/>
              <w:adjustRightInd w:val="0"/>
              <w:rPr>
                <w:rFonts w:hint="eastAsia" w:ascii="仿宋_GB2312" w:hAnsi="仿宋_GB2312" w:eastAsia="仿宋_GB2312" w:cs="仿宋_GB2312"/>
                <w:spacing w:val="-20"/>
                <w:kern w:val="0"/>
                <w:sz w:val="28"/>
                <w:szCs w:val="28"/>
                <w:highlight w:val="red"/>
              </w:rPr>
            </w:pPr>
            <w:r>
              <w:rPr>
                <w:rFonts w:hint="eastAsia" w:ascii="仿宋_GB2312" w:hAnsi="仿宋_GB2312" w:eastAsia="仿宋_GB2312" w:cs="仿宋_GB2312"/>
                <w:spacing w:val="-20"/>
                <w:kern w:val="0"/>
                <w:sz w:val="28"/>
                <w:szCs w:val="28"/>
              </w:rPr>
              <w:t>传真：</w:t>
            </w:r>
          </w:p>
        </w:tc>
        <w:tc>
          <w:tcPr>
            <w:tcW w:w="4202" w:type="dxa"/>
            <w:noWrap w:val="0"/>
            <w:vAlign w:val="center"/>
          </w:tcPr>
          <w:p w14:paraId="49C5934E">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54D0BC5B">
        <w:tblPrEx>
          <w:tblCellMar>
            <w:top w:w="0" w:type="dxa"/>
            <w:left w:w="108" w:type="dxa"/>
            <w:bottom w:w="0" w:type="dxa"/>
            <w:right w:w="108" w:type="dxa"/>
          </w:tblCellMar>
        </w:tblPrEx>
        <w:trPr>
          <w:trHeight w:val="680" w:hRule="exact"/>
          <w:jc w:val="center"/>
        </w:trPr>
        <w:tc>
          <w:tcPr>
            <w:tcW w:w="4201" w:type="dxa"/>
            <w:noWrap w:val="0"/>
            <w:vAlign w:val="center"/>
          </w:tcPr>
          <w:p w14:paraId="39C39ABD">
            <w:pPr>
              <w:autoSpaceDE w:val="0"/>
              <w:autoSpaceDN w:val="0"/>
              <w:adjustRightInd w:val="0"/>
              <w:rPr>
                <w:rFonts w:hint="eastAsia" w:ascii="仿宋_GB2312" w:hAnsi="仿宋_GB2312" w:eastAsia="仿宋_GB2312" w:cs="仿宋_GB2312"/>
                <w:spacing w:val="-20"/>
                <w:kern w:val="0"/>
                <w:sz w:val="28"/>
                <w:szCs w:val="28"/>
                <w:highlight w:val="red"/>
              </w:rPr>
            </w:pPr>
            <w:r>
              <w:rPr>
                <w:rFonts w:hint="eastAsia" w:ascii="仿宋_GB2312" w:hAnsi="仿宋_GB2312" w:eastAsia="仿宋_GB2312" w:cs="仿宋_GB2312"/>
                <w:spacing w:val="-20"/>
                <w:kern w:val="0"/>
                <w:sz w:val="28"/>
                <w:szCs w:val="28"/>
              </w:rPr>
              <w:t>开户银行：</w:t>
            </w:r>
          </w:p>
        </w:tc>
        <w:tc>
          <w:tcPr>
            <w:tcW w:w="4202" w:type="dxa"/>
            <w:noWrap w:val="0"/>
            <w:vAlign w:val="center"/>
          </w:tcPr>
          <w:p w14:paraId="06F7E694">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4F69D692">
        <w:tblPrEx>
          <w:tblCellMar>
            <w:top w:w="0" w:type="dxa"/>
            <w:left w:w="108" w:type="dxa"/>
            <w:bottom w:w="0" w:type="dxa"/>
            <w:right w:w="108" w:type="dxa"/>
          </w:tblCellMar>
        </w:tblPrEx>
        <w:trPr>
          <w:trHeight w:val="680" w:hRule="exact"/>
          <w:jc w:val="center"/>
        </w:trPr>
        <w:tc>
          <w:tcPr>
            <w:tcW w:w="4201" w:type="dxa"/>
            <w:noWrap w:val="0"/>
            <w:vAlign w:val="center"/>
          </w:tcPr>
          <w:p w14:paraId="03A3007D">
            <w:pPr>
              <w:autoSpaceDE w:val="0"/>
              <w:autoSpaceDN w:val="0"/>
              <w:adjustRightInd w:val="0"/>
              <w:rPr>
                <w:rFonts w:hint="eastAsia" w:ascii="仿宋_GB2312" w:hAnsi="仿宋_GB2312" w:eastAsia="仿宋_GB2312" w:cs="仿宋_GB2312"/>
                <w:spacing w:val="-20"/>
                <w:kern w:val="0"/>
                <w:sz w:val="28"/>
                <w:szCs w:val="28"/>
                <w:highlight w:val="red"/>
              </w:rPr>
            </w:pPr>
            <w:r>
              <w:rPr>
                <w:rFonts w:hint="eastAsia" w:ascii="仿宋_GB2312" w:hAnsi="仿宋_GB2312" w:eastAsia="仿宋_GB2312" w:cs="仿宋_GB2312"/>
                <w:spacing w:val="-20"/>
                <w:kern w:val="0"/>
                <w:sz w:val="28"/>
                <w:szCs w:val="28"/>
              </w:rPr>
              <w:t>日期：</w:t>
            </w:r>
          </w:p>
        </w:tc>
        <w:tc>
          <w:tcPr>
            <w:tcW w:w="4202" w:type="dxa"/>
            <w:noWrap w:val="0"/>
            <w:vAlign w:val="center"/>
          </w:tcPr>
          <w:p w14:paraId="25BB26F3">
            <w:pPr>
              <w:autoSpaceDE w:val="0"/>
              <w:autoSpaceDN w:val="0"/>
              <w:adjustRightInd w:val="0"/>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r w14:paraId="59472B60">
        <w:tblPrEx>
          <w:tblCellMar>
            <w:top w:w="0" w:type="dxa"/>
            <w:left w:w="108" w:type="dxa"/>
            <w:bottom w:w="0" w:type="dxa"/>
            <w:right w:w="108" w:type="dxa"/>
          </w:tblCellMar>
        </w:tblPrEx>
        <w:trPr>
          <w:trHeight w:val="680" w:hRule="exact"/>
          <w:jc w:val="center"/>
        </w:trPr>
        <w:tc>
          <w:tcPr>
            <w:tcW w:w="4201" w:type="dxa"/>
            <w:noWrap w:val="0"/>
            <w:vAlign w:val="center"/>
          </w:tcPr>
          <w:p w14:paraId="3FDC40C2">
            <w:pPr>
              <w:autoSpaceDE w:val="0"/>
              <w:autoSpaceDN w:val="0"/>
              <w:adjustRightInd w:val="0"/>
              <w:rPr>
                <w:rFonts w:hint="eastAsia" w:ascii="仿宋_GB2312" w:hAnsi="仿宋_GB2312" w:eastAsia="仿宋_GB2312" w:cs="仿宋_GB2312"/>
                <w:spacing w:val="-20"/>
                <w:kern w:val="0"/>
                <w:sz w:val="28"/>
                <w:szCs w:val="28"/>
                <w:highlight w:val="red"/>
              </w:rPr>
            </w:pPr>
          </w:p>
        </w:tc>
        <w:tc>
          <w:tcPr>
            <w:tcW w:w="4202" w:type="dxa"/>
            <w:noWrap w:val="0"/>
            <w:vAlign w:val="center"/>
          </w:tcPr>
          <w:p w14:paraId="5AA36F92">
            <w:pPr>
              <w:autoSpaceDE w:val="0"/>
              <w:autoSpaceDN w:val="0"/>
              <w:adjustRightInd w:val="0"/>
              <w:rPr>
                <w:rFonts w:hint="eastAsia" w:ascii="仿宋_GB2312" w:hAnsi="仿宋_GB2312" w:eastAsia="仿宋_GB2312" w:cs="仿宋_GB2312"/>
                <w:spacing w:val="-20"/>
                <w:kern w:val="0"/>
                <w:sz w:val="28"/>
                <w:szCs w:val="28"/>
              </w:rPr>
            </w:pPr>
          </w:p>
        </w:tc>
      </w:tr>
      <w:tr w14:paraId="45CE8811">
        <w:tblPrEx>
          <w:tblCellMar>
            <w:top w:w="0" w:type="dxa"/>
            <w:left w:w="108" w:type="dxa"/>
            <w:bottom w:w="0" w:type="dxa"/>
            <w:right w:w="108" w:type="dxa"/>
          </w:tblCellMar>
        </w:tblPrEx>
        <w:trPr>
          <w:trHeight w:val="680" w:hRule="exact"/>
          <w:jc w:val="center"/>
        </w:trPr>
        <w:tc>
          <w:tcPr>
            <w:tcW w:w="4201" w:type="dxa"/>
            <w:noWrap w:val="0"/>
            <w:vAlign w:val="center"/>
          </w:tcPr>
          <w:p w14:paraId="05E23DFC">
            <w:pPr>
              <w:autoSpaceDE w:val="0"/>
              <w:autoSpaceDN w:val="0"/>
              <w:adjustRightInd w:val="0"/>
              <w:rPr>
                <w:rFonts w:hint="eastAsia" w:ascii="仿宋_GB2312" w:hAnsi="仿宋_GB2312" w:eastAsia="仿宋_GB2312" w:cs="仿宋_GB2312"/>
                <w:spacing w:val="-20"/>
                <w:kern w:val="0"/>
                <w:sz w:val="28"/>
                <w:szCs w:val="28"/>
                <w:highlight w:val="red"/>
              </w:rPr>
            </w:pPr>
          </w:p>
        </w:tc>
        <w:tc>
          <w:tcPr>
            <w:tcW w:w="4202" w:type="dxa"/>
            <w:noWrap w:val="0"/>
            <w:vAlign w:val="center"/>
          </w:tcPr>
          <w:p w14:paraId="7A574BD7">
            <w:pPr>
              <w:autoSpaceDE w:val="0"/>
              <w:autoSpaceDN w:val="0"/>
              <w:adjustRightInd w:val="0"/>
              <w:rPr>
                <w:rFonts w:hint="eastAsia" w:ascii="仿宋_GB2312" w:hAnsi="仿宋_GB2312" w:eastAsia="仿宋_GB2312" w:cs="仿宋_GB2312"/>
                <w:spacing w:val="-20"/>
                <w:kern w:val="0"/>
                <w:sz w:val="28"/>
                <w:szCs w:val="28"/>
              </w:rPr>
            </w:pPr>
          </w:p>
        </w:tc>
      </w:tr>
    </w:tbl>
    <w:p w14:paraId="5E3E6F6A"/>
    <w:sectPr>
      <w:headerReference r:id="rId3" w:type="default"/>
      <w:footerReference r:id="rId4" w:type="default"/>
      <w:pgSz w:w="11909" w:h="16841"/>
      <w:pgMar w:top="1417" w:right="1417" w:bottom="1417" w:left="1417" w:header="850" w:footer="10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64BBBCE-88AA-4395-99F9-F356893B4C65}"/>
  </w:font>
  <w:font w:name="黑体">
    <w:panose1 w:val="02010609060101010101"/>
    <w:charset w:val="86"/>
    <w:family w:val="auto"/>
    <w:pitch w:val="default"/>
    <w:sig w:usb0="800002BF" w:usb1="38CF7CFA" w:usb2="00000016" w:usb3="00000000" w:csb0="00040001" w:csb1="00000000"/>
    <w:embedRegular r:id="rId2" w:fontKey="{7FF99A15-123B-454C-AA51-A1F356D560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945EAECB-5D33-4BE9-A3C3-2269BBE40795}"/>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23821">
    <w:pPr>
      <w:spacing w:line="14" w:lineRule="auto"/>
      <w:rPr>
        <w:rFonts w:ascii="Arial"/>
        <w:sz w:val="2"/>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A005">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JhNzdmOTM5YmVkNWYxMDI1ZDJkZDk5YzNhZTc2YzAifQ=="/>
  </w:docVars>
  <w:rsids>
    <w:rsidRoot w:val="29BB6BC2"/>
    <w:rsid w:val="00032C77"/>
    <w:rsid w:val="0005444A"/>
    <w:rsid w:val="00055484"/>
    <w:rsid w:val="00196F8D"/>
    <w:rsid w:val="002134F5"/>
    <w:rsid w:val="002A2C9E"/>
    <w:rsid w:val="00301B8C"/>
    <w:rsid w:val="00333158"/>
    <w:rsid w:val="00366B06"/>
    <w:rsid w:val="005C205E"/>
    <w:rsid w:val="00680F55"/>
    <w:rsid w:val="006B2966"/>
    <w:rsid w:val="006E04B8"/>
    <w:rsid w:val="007377F8"/>
    <w:rsid w:val="008B1E38"/>
    <w:rsid w:val="009015B2"/>
    <w:rsid w:val="00AD6F4F"/>
    <w:rsid w:val="00B35765"/>
    <w:rsid w:val="00C65FC8"/>
    <w:rsid w:val="00CC3A78"/>
    <w:rsid w:val="00CF6641"/>
    <w:rsid w:val="00EF3803"/>
    <w:rsid w:val="00F47186"/>
    <w:rsid w:val="00FA5ACA"/>
    <w:rsid w:val="00FC1B97"/>
    <w:rsid w:val="01A16BDC"/>
    <w:rsid w:val="02680F16"/>
    <w:rsid w:val="071938B9"/>
    <w:rsid w:val="084D0E0E"/>
    <w:rsid w:val="0CF24C32"/>
    <w:rsid w:val="0EBB3568"/>
    <w:rsid w:val="0EC60B07"/>
    <w:rsid w:val="10332904"/>
    <w:rsid w:val="10CF4970"/>
    <w:rsid w:val="10F63A27"/>
    <w:rsid w:val="14A44572"/>
    <w:rsid w:val="172B4FA4"/>
    <w:rsid w:val="192A37C4"/>
    <w:rsid w:val="198577DD"/>
    <w:rsid w:val="19966094"/>
    <w:rsid w:val="1AC313E2"/>
    <w:rsid w:val="1CA80820"/>
    <w:rsid w:val="1D6E70FD"/>
    <w:rsid w:val="1F004038"/>
    <w:rsid w:val="21665943"/>
    <w:rsid w:val="22C514F9"/>
    <w:rsid w:val="244871F4"/>
    <w:rsid w:val="25295AB7"/>
    <w:rsid w:val="274E2D73"/>
    <w:rsid w:val="27EF733B"/>
    <w:rsid w:val="28961ECA"/>
    <w:rsid w:val="292902AA"/>
    <w:rsid w:val="29993056"/>
    <w:rsid w:val="29BB6BC2"/>
    <w:rsid w:val="2F1025C8"/>
    <w:rsid w:val="30104537"/>
    <w:rsid w:val="313868D1"/>
    <w:rsid w:val="325B49C3"/>
    <w:rsid w:val="326A7D77"/>
    <w:rsid w:val="33EF3E56"/>
    <w:rsid w:val="380F0B49"/>
    <w:rsid w:val="39094D4C"/>
    <w:rsid w:val="3C535AAA"/>
    <w:rsid w:val="3CCE5611"/>
    <w:rsid w:val="3CE71A85"/>
    <w:rsid w:val="412A6A1E"/>
    <w:rsid w:val="412F6352"/>
    <w:rsid w:val="414032D5"/>
    <w:rsid w:val="4C057499"/>
    <w:rsid w:val="4EC118A7"/>
    <w:rsid w:val="4FDA2485"/>
    <w:rsid w:val="52F02FE4"/>
    <w:rsid w:val="54F63A8A"/>
    <w:rsid w:val="58256712"/>
    <w:rsid w:val="5C7E1FD1"/>
    <w:rsid w:val="5D3B49BA"/>
    <w:rsid w:val="60E414E6"/>
    <w:rsid w:val="61DE6FB3"/>
    <w:rsid w:val="61E5759F"/>
    <w:rsid w:val="696F3399"/>
    <w:rsid w:val="734E36BE"/>
    <w:rsid w:val="736126B3"/>
    <w:rsid w:val="741C09D0"/>
    <w:rsid w:val="74343D24"/>
    <w:rsid w:val="764F97C9"/>
    <w:rsid w:val="78C53AE4"/>
    <w:rsid w:val="7C9A4DB1"/>
    <w:rsid w:val="7FC67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9"/>
    <w:pPr>
      <w:keepNext/>
      <w:keepLines/>
      <w:spacing w:before="280" w:after="290" w:line="372" w:lineRule="auto"/>
      <w:outlineLvl w:val="3"/>
    </w:pPr>
    <w:rPr>
      <w:rFonts w:ascii="Arial" w:hAnsi="Arial" w:cs="Times New Roman"/>
      <w:b/>
      <w:sz w:val="28"/>
    </w:rPr>
  </w:style>
  <w:style w:type="character" w:default="1" w:styleId="15">
    <w:name w:val="Default Paragraph Font"/>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99"/>
    <w:pPr>
      <w:jc w:val="left"/>
    </w:pPr>
    <w:rPr>
      <w:kern w:val="0"/>
    </w:rPr>
  </w:style>
  <w:style w:type="paragraph" w:styleId="4">
    <w:name w:val="Normal Indent"/>
    <w:basedOn w:val="1"/>
    <w:autoRedefine/>
    <w:qFormat/>
    <w:uiPriority w:val="0"/>
    <w:pPr>
      <w:ind w:firstLine="420"/>
    </w:pPr>
    <w:rPr>
      <w:szCs w:val="21"/>
    </w:rPr>
  </w:style>
  <w:style w:type="paragraph" w:styleId="5">
    <w:name w:val="annotation text"/>
    <w:basedOn w:val="1"/>
    <w:autoRedefine/>
    <w:qFormat/>
    <w:uiPriority w:val="0"/>
    <w:pPr>
      <w:jc w:val="left"/>
    </w:pPr>
  </w:style>
  <w:style w:type="paragraph" w:styleId="6">
    <w:name w:val="Plain Text"/>
    <w:basedOn w:val="1"/>
    <w:autoRedefine/>
    <w:qFormat/>
    <w:uiPriority w:val="0"/>
    <w:rPr>
      <w:rFonts w:ascii="宋体" w:hAnsi="Courier New"/>
      <w:kern w:val="0"/>
      <w:sz w:val="20"/>
    </w:rPr>
  </w:style>
  <w:style w:type="paragraph" w:styleId="7">
    <w:name w:val="Balloon Text"/>
    <w:basedOn w:val="1"/>
    <w:link w:val="20"/>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2"/>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basedOn w:val="15"/>
    <w:autoRedefine/>
    <w:qFormat/>
    <w:uiPriority w:val="0"/>
    <w:rPr>
      <w:sz w:val="21"/>
      <w:szCs w:val="21"/>
    </w:rPr>
  </w:style>
  <w:style w:type="paragraph" w:customStyle="1" w:styleId="17">
    <w:name w:val="标题 5（有编号）（绿盟科技）"/>
    <w:basedOn w:val="1"/>
    <w:next w:val="18"/>
    <w:qFormat/>
    <w:uiPriority w:val="0"/>
    <w:pPr>
      <w:keepNext/>
      <w:keepLines/>
      <w:numPr>
        <w:ilvl w:val="4"/>
        <w:numId w:val="1"/>
      </w:numPr>
      <w:spacing w:before="280" w:after="156" w:line="377" w:lineRule="auto"/>
      <w:jc w:val="left"/>
      <w:outlineLvl w:val="4"/>
    </w:pPr>
    <w:rPr>
      <w:rFonts w:ascii="Arial" w:hAnsi="Arial" w:eastAsia="黑体" w:cs="黑体"/>
      <w:b/>
      <w:kern w:val="0"/>
      <w:sz w:val="24"/>
      <w:szCs w:val="28"/>
    </w:rPr>
  </w:style>
  <w:style w:type="paragraph" w:customStyle="1" w:styleId="18">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9">
    <w:name w:val="页眉 Char"/>
    <w:basedOn w:val="15"/>
    <w:link w:val="9"/>
    <w:autoRedefine/>
    <w:qFormat/>
    <w:uiPriority w:val="0"/>
    <w:rPr>
      <w:kern w:val="2"/>
      <w:sz w:val="18"/>
      <w:szCs w:val="18"/>
    </w:rPr>
  </w:style>
  <w:style w:type="character" w:customStyle="1" w:styleId="20">
    <w:name w:val="批注框文本 Char"/>
    <w:basedOn w:val="15"/>
    <w:link w:val="7"/>
    <w:autoRedefine/>
    <w:qFormat/>
    <w:uiPriority w:val="0"/>
    <w:rPr>
      <w:kern w:val="2"/>
      <w:sz w:val="18"/>
      <w:szCs w:val="18"/>
    </w:rPr>
  </w:style>
  <w:style w:type="paragraph" w:customStyle="1" w:styleId="21">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2">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3">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1836</Words>
  <Characters>1872</Characters>
  <Lines>23</Lines>
  <Paragraphs>6</Paragraphs>
  <TotalTime>1</TotalTime>
  <ScaleCrop>false</ScaleCrop>
  <LinksUpToDate>false</LinksUpToDate>
  <CharactersWithSpaces>1951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2022-09-28T14:56:00Z</dcterms:created>
  <dc:creator>独舞的蒲公英</dc:creator>
  <cp:lastModifiedBy>陕西华采招标有限公司</cp:lastModifiedBy>
  <cp:lastPrinted>2022-09-28T14:56:00Z</cp:lastPrinted>
  <dcterms:modified xsi:type="dcterms:W3CDTF">2026-05-20T00:46:35Z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E79E879024B94D3FB100E7468F0D228F</vt:lpwstr>
  </property>
  <property fmtid="{D5CDD505-2E9C-101B-9397-08002B2CF9AE}" pid="4" name="KSOTemplateDocerSaveRecord">
    <vt:lpwstr>eyJoZGlkIjoiNzlkYjQxZmY4MWQ0ZWY2YTZhOTY1MTMyMDgzMmE0NmEiLCJ1c2VySWQiOiI5MzY1NjA0ODAifQ==</vt:lpwstr>
  </property>
</Properties>
</file>