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CAA9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707474D6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一、采购清单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4"/>
        <w:gridCol w:w="1622"/>
        <w:gridCol w:w="3078"/>
      </w:tblGrid>
      <w:tr w14:paraId="16D4D2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4C727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设备名称</w:t>
            </w:r>
          </w:p>
        </w:tc>
        <w:tc>
          <w:tcPr>
            <w:tcW w:w="95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6A3D0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数量</w:t>
            </w:r>
          </w:p>
        </w:tc>
        <w:tc>
          <w:tcPr>
            <w:tcW w:w="18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AB40E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备注</w:t>
            </w:r>
          </w:p>
        </w:tc>
      </w:tr>
      <w:tr w14:paraId="1C04C00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F968C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真密度分析仪</w:t>
            </w:r>
          </w:p>
        </w:tc>
        <w:tc>
          <w:tcPr>
            <w:tcW w:w="9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DA131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F14CD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核心产品</w:t>
            </w:r>
          </w:p>
        </w:tc>
      </w:tr>
      <w:tr w14:paraId="65235D7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9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89717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全自动工业分析仪</w:t>
            </w:r>
          </w:p>
        </w:tc>
        <w:tc>
          <w:tcPr>
            <w:tcW w:w="952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93F89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Hans"/>
              </w:rPr>
              <w:t>1套</w:t>
            </w:r>
          </w:p>
        </w:tc>
        <w:tc>
          <w:tcPr>
            <w:tcW w:w="1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60DA0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</w:p>
        </w:tc>
      </w:tr>
    </w:tbl>
    <w:p w14:paraId="52F47B5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二、参数要求</w:t>
      </w:r>
    </w:p>
    <w:p w14:paraId="2FCAE78D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（一）真密度分析仪</w:t>
      </w:r>
    </w:p>
    <w:p w14:paraId="20D2734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1.测试内容：密度(对无闭孔材料，如金属、液体等)；孔隙率(对块状材料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，如发泡材料、岩心、金属元件等)。</w:t>
      </w:r>
    </w:p>
    <w:p w14:paraId="276A30D7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▲2.测试精度：精确度≤0.03%，重复性精度≤0.02%，分辨率：0.0001g/ml。</w:t>
      </w:r>
    </w:p>
    <w:p w14:paraId="6DFD240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3.测试速度：可同时测试两个样品，也可在一个样品测试时，再开始另外一个样品测试，测试过程互不干扰，且1-2min完成整个测试过程。</w:t>
      </w:r>
    </w:p>
    <w:p w14:paraId="7EAF74F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4.适用范围：样品密度大小不受限制，可以测定各种粉末状、颗粒状、块状、泡沫状等的固体样品，以及浆状物质、不挥发的液体等样品的真密度；发泡材料、金属材料等物质的开闭孔率；</w:t>
      </w:r>
    </w:p>
    <w:p w14:paraId="5C713A0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▲5.测试方式: 采用下装式的装样方式，以样品池直接作为样品测试腔；“下装卡口式”的样品池，可以满足10mL到2L装样量的需求。</w:t>
      </w:r>
    </w:p>
    <w:p w14:paraId="735DECA0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6.样品池：10mL～2000ml，同时能满足其他内方样品池（2.5cm×2.5cm×5.0cm）及其他不同规格样品池</w:t>
      </w:r>
    </w:p>
    <w:p w14:paraId="30E6B89D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7.压力范围：7×10</w:t>
      </w:r>
      <w:r>
        <w:rPr>
          <w:rFonts w:hint="eastAsia" w:ascii="仿宋_GB2312" w:hAnsi="仿宋_GB2312" w:eastAsia="仿宋_GB2312" w:cs="仿宋_GB2312"/>
          <w:sz w:val="24"/>
          <w:vertAlign w:val="superscript"/>
          <w:lang w:val="en-US" w:eastAsia="zh-Hans"/>
        </w:rPr>
        <w:t>-7</w:t>
      </w: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～2</w:t>
      </w:r>
      <w:r>
        <w:rPr>
          <w:rFonts w:hint="eastAsia" w:ascii="仿宋_GB2312" w:hAnsi="仿宋_GB2312" w:eastAsia="仿宋_GB2312" w:cs="仿宋_GB2312"/>
          <w:lang w:val="en-US" w:eastAsia="zh-Hans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bar，可调节，精度优于0.01%FS。</w:t>
      </w:r>
    </w:p>
    <w:p w14:paraId="158B46D8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8.具有负压预处理功能，处理时间≤10min。</w:t>
      </w:r>
    </w:p>
    <w:p w14:paraId="3484AD26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9.仪器配件：阀门及压力传感器。</w:t>
      </w:r>
    </w:p>
    <w:p w14:paraId="3CC252B4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（二）全自动工业分析仪</w:t>
      </w:r>
    </w:p>
    <w:p w14:paraId="64E220C1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1.测试时间：经典法：180分钟19个样；快速法：120分钟19个样</w:t>
      </w:r>
    </w:p>
    <w:p w14:paraId="34BF6E8E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2.测试内容：水分、灰分和挥发分</w:t>
      </w:r>
    </w:p>
    <w:p w14:paraId="32DF0A08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3.适应标准</w:t>
      </w:r>
    </w:p>
    <w:p w14:paraId="2BC753D0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GB/T212-2008《煤的工业分析方法》</w:t>
      </w:r>
    </w:p>
    <w:p w14:paraId="6FA2257E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ASTMD7582-2012《煤和焦炭工业分析标准测试方法 热重法》</w:t>
      </w:r>
    </w:p>
    <w:p w14:paraId="06419CC8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GB/T30729-2014《煤的工业分析方法 仪器法》</w:t>
      </w:r>
    </w:p>
    <w:p w14:paraId="4D18882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GB/T28731-2012《固体生物质燃料工业分析方法》</w:t>
      </w:r>
    </w:p>
    <w:p w14:paraId="4230AB87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4.应用领域：煤、焦炭、生物质燃料</w:t>
      </w:r>
    </w:p>
    <w:p w14:paraId="78D394EC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▲5.控制方式：控制模块方式，实时监控仪器状态，保存仪器参数，试验过程独立完成，无需上位机干预，实现脱机运行、仪器自诊断提醒；</w:t>
      </w:r>
    </w:p>
    <w:p w14:paraId="28270E29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6.称量方式：内置万分之一天平，量程为0-200g，内置显示屏，实时显示称量数值</w:t>
      </w:r>
    </w:p>
    <w:p w14:paraId="23B8EC5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7.送样方式：入口线性滑轨垂直送样</w:t>
      </w:r>
    </w:p>
    <w:p w14:paraId="3BEF0B8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▲8.炉膛结构：双炉组合：可单独测试水分灰分、单独测试挥发分</w:t>
      </w:r>
    </w:p>
    <w:p w14:paraId="116CCEB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9.开盖方式：电子液压杆，无需气源及空气泵</w:t>
      </w:r>
    </w:p>
    <w:p w14:paraId="543365B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10.控温范围：室温～1050℃，采用炉膛内置电炉丝加热，升温速度为≥15℃/min</w:t>
      </w:r>
    </w:p>
    <w:p w14:paraId="432CD089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11.控温精度：±2℃</w:t>
      </w:r>
    </w:p>
    <w:p w14:paraId="22C819EF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12.电源：（220±22）V/（50～60）Hz</w:t>
      </w:r>
    </w:p>
    <w:p w14:paraId="2D6FC656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13.配有陶瓷转盘、陶瓷转轴、陶瓷送样杆、陶瓷称杆</w:t>
      </w:r>
    </w:p>
    <w:p w14:paraId="43F12B76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14.设有恒温室。</w:t>
      </w:r>
    </w:p>
    <w:p w14:paraId="6EC9CD93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二、其他要求</w:t>
      </w:r>
    </w:p>
    <w:p w14:paraId="39C65821">
      <w:pPr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lang w:val="en-US" w:eastAsia="zh-Hans"/>
        </w:rPr>
        <w:t>提供设备现场安装、系统调试及人员操作培训。成交供应商需对实验人员进行不少于2次现场操作培训。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7A2C10"/>
    <w:rsid w:val="23D944C9"/>
    <w:rsid w:val="4DD83CE9"/>
    <w:rsid w:val="6A7A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863</Words>
  <Characters>1027</Characters>
  <Lines>0</Lines>
  <Paragraphs>0</Paragraphs>
  <TotalTime>2</TotalTime>
  <ScaleCrop>false</ScaleCrop>
  <LinksUpToDate>false</LinksUpToDate>
  <CharactersWithSpaces>1032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2026-08-13T09:39:00Z</dcterms:created>
  <dc:creator>.L</dc:creator>
  <cp:lastModifiedBy>.L</cp:lastModifiedBy>
  <dcterms:modified xsi:type="dcterms:W3CDTF">2026-09-07T08:08:35Z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41A3E3A23C9746A7857E5E7400E5ADC8_11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