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版本号：政采-镇巴县-2026-00149.2B120260511001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2026年镇巴县观音镇桥沟村经济合作社蛋鸡养殖基地建设项目(二次)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政采-镇巴县-2026-00149.2B1</w:t>
      </w:r>
      <w:r>
        <w:br/>
      </w:r>
      <w:r>
        <w:br/>
      </w:r>
      <w:r>
        <w:br/>
      </w:r>
    </w:p>
    <w:p>
      <w:pPr>
        <w:pStyle w:val="null3"/>
        <w:jc w:val="center"/>
        <w:outlineLvl w:val="2"/>
      </w:pPr>
      <w:r>
        <w:rPr>
          <w:rFonts w:ascii="仿宋_GB2312" w:hAnsi="仿宋_GB2312" w:cs="仿宋_GB2312" w:eastAsia="仿宋_GB2312"/>
          <w:sz w:val="28"/>
          <w:b/>
        </w:rPr>
        <w:t>镇巴县观音镇人民政府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镇巴县观音镇人民政府</w:t>
      </w:r>
      <w:r>
        <w:rPr>
          <w:rFonts w:ascii="仿宋_GB2312" w:hAnsi="仿宋_GB2312" w:cs="仿宋_GB2312" w:eastAsia="仿宋_GB2312"/>
        </w:rPr>
        <w:t>委托，拟对</w:t>
      </w:r>
      <w:r>
        <w:rPr>
          <w:rFonts w:ascii="仿宋_GB2312" w:hAnsi="仿宋_GB2312" w:cs="仿宋_GB2312" w:eastAsia="仿宋_GB2312"/>
        </w:rPr>
        <w:t>2026年镇巴县观音镇桥沟村经济合作社蛋鸡养殖基地建设项目(二次)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政采-镇巴县-2026-00149.2B1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2026年镇巴县观音镇桥沟村经济合作社蛋鸡养殖基地建设项目(二次)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部分：新建砖混加轻钢结构屋架厂房一座，结构形式：砖混结构。建筑面积：1051.01㎡，基础形式：条形基础+筏板基础，檐口高度：4.95m，及相关水电安装等。另新对原场地内建筑物进行拆除，新建室外片石挡墙等（具体内容详见工程量清单及施工图纸）。货物部分：购置蛋鸡养殖全自动化配套设施设备一套（具体内容详见设备配置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采购包1（2026年镇巴县观音镇桥沟村经济合作社蛋鸡养殖基地建设项目（货物））：属于专门面向中小企业采购。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磋商及无关联关系承诺：本项目不接受联合体磋商；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镇巴县观音镇人民政府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镇巴县观音镇小南海社区100号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镇巴县观音镇人民政府经办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19945338899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镇巴县观音镇人民政府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镇巴县观音镇人民政府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镇巴县观音镇人民政府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地址：镇巴县沿山路孙二娘火锅店旁、中国体育彩票4楼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2026年镇巴县观音镇桥沟村经济合作社蛋鸡养殖基地建设项目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标的名称：2026年镇巴县观音镇桥沟村经济合作社蛋鸡养殖基地建设项目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质量保修范围：对本次招标采购提供的全部货物（含整机、主机、核心部件、零配件、附属设施、预装软件及配套耗材）提供质量保修；</w:t>
            </w:r>
          </w:p>
          <w:p>
            <w:pPr>
              <w:pStyle w:val="null3"/>
            </w:pPr>
            <w:r>
              <w:rPr>
                <w:rFonts w:ascii="仿宋_GB2312" w:hAnsi="仿宋_GB2312" w:cs="仿宋_GB2312" w:eastAsia="仿宋_GB2312"/>
              </w:rPr>
              <w:t>保修期：所有货物整机质保2年，核心部件质保2年，2年内非人为故障免费维修、免费更换、免费上门；</w:t>
            </w:r>
          </w:p>
          <w:p>
            <w:pPr>
              <w:pStyle w:val="null3"/>
            </w:pPr>
            <w:r>
              <w:rPr>
                <w:rFonts w:ascii="仿宋_GB2312" w:hAnsi="仿宋_GB2312" w:cs="仿宋_GB2312" w:eastAsia="仿宋_GB2312"/>
              </w:rPr>
              <w:t>技术参数与性能指标详见设备采购清单。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供货期：30日历天。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中小企业声明函必须按照财政部财〔2020〕46号关于印发《政府采购促进中小企业发展管理办法》执行，“标的名称”逐条按照设备清单名称填写。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非联合体磋商及无关联关系承诺</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响应分项报价表.pdf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1.每轮报价唯一；2.报价货币符合磋商文件要求;3.未超出采购预算或磋商文件规定的最高限价。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响应分项报价表.pdf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响应分项报价表.pdf 已标价工程量清单 中小企业声明函 强制优先采购产品承诺函 响应文件封面 技术参数偏离表.pdf 商务条款偏差表.pdf 政府采购供应商拒绝政府采购领域商业贿赂承诺书.pdf 残疾人福利性单位声明函 报价函 供应商应提交的相关资格证明材料.pdf 标的清单 响应函 监狱企业的证明文件 供应商认为需要补充的其他内容.pdf 响应方案说明书.pdf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响应分项报价表.pdf 已标价工程量清单 中小企业声明函 强制优先采购产品承诺函 响应文件封面 技术参数偏离表.pdf 商务条款偏差表.pdf 政府采购供应商拒绝政府采购领域商业贿赂承诺书.pdf 残疾人福利性单位声明函 报价函 供应商应提交的相关资格证明材料.pdf 标的清单 响应函 监狱企业的证明文件 供应商认为需要补充的其他内容.pdf 响应方案说明书.pdf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1、带“★”号的技术参数（1项）不允许负偏离。 评审依据：提供相关证明文件。 2、带“▲”号的技术参数（5项）：完全满足磋商文件中技术参数要求的得15分，低于磋商文件要求的，每一项扣3分，扣完为止。 评审依据：提供相关证明文件。 3、一般参数：6分，低于磋商文件要求的，每一项扣0.1分，扣完为止。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，本项满分6分 , 每提供一个产品的证明文件1分。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针对本项目提供完整、合理、详细的服务方案，方案包含：①项目整体目标；②供货进度计划；③安装运输调试方案；④供货人员配备；⑤物流保障措施。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针对本项目实际情况提出切实可行的培训计划，应包括：①人员培训计划；②培训目标及效果。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恶劣天气、山区道路中断等导致物流延误应对；②运输途中设备防潮防震损坏应急处理；③设备故障应急响应；④设备到货验收不合格处理应对。 二、赋分标准 1、完整性:方案内容完整全面，对上述各项内容均有描述及说明,得4分；缺1项,得3分；缺2项至3项,得1分。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内容包含：①售后服务人员组织；②售后服务保障措施；③产品交付采购方后出现质量问题的响应时间；④供货不及时、出现残次品等补货换货解决方案；⑤售后服务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1分，最高不超过5分。须提供复印清晰的复印件，如因复印等问题造成无法辨识，责任由供应商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在采购预算内且满足磋商文件要求且磋商报价最低的供应商的价格为基准价，其价格分为30分。各供应商的价格分统一按照下列公式计算：价格分=（基准价/投标响应报价）*30* 100% 。 注：本项目专门面向中小企业采购，评审时不再进行价格扣除。价格得分以供应商最后报价为计算依据，结果四舍五入保留小数点后两位。供应商不得以低于成本的报价参与磋商，经符合性审查合格的响应文件，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响应分项报价表.pdf</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详见附件：响应分项报价表.pdf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详见附件：响应方案说明书.pdf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详见附件：合同-工程及货物.docx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