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版本号：ZX2026-03-30.20260427001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某项目基础数据更新服务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ZX2026-03-30.</w:t>
      </w:r>
      <w:r>
        <w:br/>
      </w:r>
      <w:r>
        <w:br/>
      </w:r>
      <w:r>
        <w:br/>
      </w:r>
    </w:p>
    <w:p>
      <w:pPr>
        <w:pStyle w:val="null3"/>
        <w:jc w:val="center"/>
        <w:outlineLvl w:val="2"/>
      </w:pPr>
      <w:r>
        <w:rPr>
          <w:rFonts w:ascii="仿宋_GB2312" w:hAnsi="仿宋_GB2312" w:cs="仿宋_GB2312" w:eastAsia="仿宋_GB2312"/>
          <w:sz w:val="28"/>
          <w:b/>
        </w:rPr>
        <w:t>陕西省测绘地理信息局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某项目基础数据更新服务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某项目基础数据更新服务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统筹全省107个县（市、区）开展致灾数据、主要承灾体数据、综合减灾资源（能力）数据、重点隐患数据、历史灾害数据、评估与区划产品数据及基础底图等关键内容更新。同时，开展省级数据的质量检查、核查、清洗治理、入库及成果汇交工作。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3、测绘资质：投标人须具备测绘甲级资质（专业类别须涵盖“摄影测量与遥感”、“地理信息系统工程”），提供资质证书扫描件。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采购包1保证金金额：50,330.00元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说明：合同签订后10个工作日内，中标人须向采购人缴纳合同金额5%的履约保证金，履约保证金以金融机构、担保机构出具的保函形式提交，保函有效期至合同签订后一年。</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陕西省测绘地理信息局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根据招标文件、投标文件及合同等约定内容执行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联系电话：029-88110800转8032（邮箱号：438904813@qq.com）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统筹全省107个县（市、区）开展致灾数据、主要承灾体数据、综合减灾资源（能力）数据、重点隐患数据、历史灾害数据、评估与区划产品数据及基础底图等关键内容更新。同时，开展省级数据的质量检查、核查、清洗治理、入库及成果汇交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某项目基础数据更新服务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标的名称：某项目基础数据更新服务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统筹陕西省107个县（市、区）开展致灾数据、主要承灾体数据、综合减灾资源（能力）数据、重点隐患数据、历史灾害数据、评估与区划产品数据及基础底图等关键内容更新。同时，开展省级数据的质量检查、核查、清洗治理、入库及成果汇交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1.指导县（区）开展数据更新及业务培训。通过“线上+线下”的方式指导地方完成数据更新工作，其中“线下”指导不少于120人天。</w:t>
            </w:r>
          </w:p>
          <w:p>
            <w:pPr>
              <w:pStyle w:val="null3"/>
            </w:pPr>
            <w:r>
              <w:rPr>
                <w:rFonts w:ascii="仿宋_GB2312" w:hAnsi="仿宋_GB2312" w:cs="仿宋_GB2312" w:eastAsia="仿宋_GB2312"/>
              </w:rPr>
              <w:t>2.行政区划调整。对市、县（市、区）、乡镇（街道）、行政村（社区）四级行政区划的核实确认。在完成行政区划更新的基础上，为方便数据采集，根据实际情况，开展调查区划申请、认定、设置等相关工作，形成全省调查区划底图。</w:t>
            </w:r>
          </w:p>
          <w:p>
            <w:pPr>
              <w:pStyle w:val="null3"/>
            </w:pPr>
            <w:r>
              <w:rPr>
                <w:rFonts w:ascii="仿宋_GB2312" w:hAnsi="仿宋_GB2312" w:cs="仿宋_GB2312" w:eastAsia="仿宋_GB2312"/>
              </w:rPr>
              <w:t>3.更新内容。依据应急管理部制定的数据调查技术规范，按照国、省相关要求对调查对象开展差异化更新。更新的数据标准时点为2025年12月31日，年度时段为2025年1月1日至12月31日。更新的数据类型包括①.综合减灾资源（能力）：政府减灾资源（能力）、社会减灾资源（能力）、基层减灾资源（能力）3大类13类调查对象；②.产业：危险化学品、非煤矿山和煤矿3大类7类调查对象；③.公共服务设施：学校、医疗卫生机构、提供住宿的社会服务机构、公共文化场所、旅游景区、星级饭店、体育场馆、宗教活动场所和商场等9类对象；④.县域、乡（镇）基础情况；⑤.致灾数据、重点隐患数据、历史灾害数据、评估与区划产品数据。</w:t>
            </w:r>
          </w:p>
          <w:p>
            <w:pPr>
              <w:pStyle w:val="null3"/>
            </w:pPr>
            <w:r>
              <w:rPr>
                <w:rFonts w:ascii="仿宋_GB2312" w:hAnsi="仿宋_GB2312" w:cs="仿宋_GB2312" w:eastAsia="仿宋_GB2312"/>
              </w:rPr>
              <w:t>4.数据质检及核查。完成省级质检及核查工作，一是完成10个市汇交数据的线上质检；二是完成10个市汇交数据现场核查（要求每个市抽取不少于所辖县数量30%的县进行现场核查），对调查数据的完整性、规范性、合理性和一致性进行确认。</w:t>
            </w:r>
          </w:p>
          <w:p>
            <w:pPr>
              <w:pStyle w:val="null3"/>
            </w:pPr>
            <w:r>
              <w:rPr>
                <w:rFonts w:ascii="仿宋_GB2312" w:hAnsi="仿宋_GB2312" w:cs="仿宋_GB2312" w:eastAsia="仿宋_GB2312"/>
              </w:rPr>
              <w:t>5.数据成果治理及入库。对本年度回流数据（更新成果）进行综合治理，最终将其更新至省级数据库。</w:t>
            </w:r>
          </w:p>
          <w:p>
            <w:pPr>
              <w:pStyle w:val="null3"/>
            </w:pPr>
            <w:r>
              <w:rPr>
                <w:rFonts w:ascii="仿宋_GB2312" w:hAnsi="仿宋_GB2312" w:cs="仿宋_GB2312" w:eastAsia="仿宋_GB2312"/>
              </w:rPr>
              <w:t>（三）服务标准：满足采购人实际需求和国家相关规定及现行行业标准。</w:t>
            </w:r>
          </w:p>
          <w:p>
            <w:pPr>
              <w:pStyle w:val="null3"/>
            </w:pPr>
            <w:r>
              <w:rPr>
                <w:rFonts w:ascii="仿宋_GB2312" w:hAnsi="仿宋_GB2312" w:cs="仿宋_GB2312" w:eastAsia="仿宋_GB2312"/>
              </w:rPr>
              <w:t>（四）保密要求：中标人对本项目中获悉的内容负有保密义务，对采购人和相关部门及单位提供的资料及出具的报告、材料负有保密义务，除法律、法规等另有规定外，未经采购人批准，不得以任何形式向任何单位或个人提供、泄露或公开工作情况。</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针对本项目拟派负责人应具有注册测绘师证书，并且具备测绘地理信息类正高级职称；拟派技术负责人具有注册测绘师证书，并且具备测绘地理信息类高级职称；项目组成员(不含项目负责人、技术负责人)至少配备12人具有测绘地理信息类中级及以上职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自合同签订之日起至2026年12月31日之前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陕西省测绘地理信息局指定地点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根据招标文件、投标文件及合同等约定内容进行考核验收。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合同签订后，采购方在收到中标人提供的有效发票之日起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项目通过验收并经采购方确认后，采购方在收到中标人提供的有效发票之日起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2、为顺利推进政府采购电子化交易平台应用工作，投标人需要在线提交所有通过电子化交易平台实施的政府采购项目的投标文件，同时，线下提交纸质投标文件正本壹份并密封，纸质文件双面打印，接受邮寄。若电子投标文件与纸质投标文件不一致的，以电子投标文件为准。线下递交文件时间：详见本项目招标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至开标截止时间前一年内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至开标截止时间前一年内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测绘资质</w:t>
            </w:r>
          </w:p>
        </w:tc>
        <w:tc>
          <w:tcPr>
            <w:tcW w:type="dxa" w:w="3322"/>
          </w:tcPr>
          <w:p>
            <w:pPr>
              <w:pStyle w:val="null3"/>
            </w:pPr>
            <w:r>
              <w:rPr>
                <w:rFonts w:ascii="仿宋_GB2312" w:hAnsi="仿宋_GB2312" w:cs="仿宋_GB2312" w:eastAsia="仿宋_GB2312"/>
              </w:rPr>
              <w:t>投标人须具备测绘甲级资质（专业类别须涵盖“摄影测量与遥感”、“地理信息系统工程”），提供资质证书扫描件。</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满足本招标文件中3.3商务要求中3.3.1服务期限、3.3.2服务地点、3.3.5支付约定要求的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5服务响应偏离表.docx 1分项价格表.docx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投标人提供针对本项目的需求分析，包括但不限于①对项目的背景现状分析；②相关政策与技术依据；③服务需求理解等方面。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6需求分析.docx</w:t>
            </w:r>
          </w:p>
        </w:tc>
      </w:tr>
      <w:tr>
        <w:tc>
          <w:tcPr>
            <w:tcW w:type="dxa" w:w="831"/>
            <w:vMerge/>
          </w:tcPr>
          <w:p/>
        </w:tc>
        <w:tc>
          <w:tcPr>
            <w:tcW w:type="dxa" w:w="1661"/>
          </w:tcPr>
          <w:p>
            <w:pPr>
              <w:pStyle w:val="null3"/>
            </w:pPr>
            <w:r>
              <w:rPr>
                <w:rFonts w:ascii="仿宋_GB2312" w:hAnsi="仿宋_GB2312" w:cs="仿宋_GB2312" w:eastAsia="仿宋_GB2312"/>
              </w:rPr>
              <w:t>县（区）业务培训</w:t>
            </w:r>
          </w:p>
        </w:tc>
        <w:tc>
          <w:tcPr>
            <w:tcW w:type="dxa" w:w="2492"/>
          </w:tcPr>
          <w:p>
            <w:pPr>
              <w:pStyle w:val="null3"/>
            </w:pPr>
            <w:r>
              <w:rPr>
                <w:rFonts w:ascii="仿宋_GB2312" w:hAnsi="仿宋_GB2312" w:cs="仿宋_GB2312" w:eastAsia="仿宋_GB2312"/>
              </w:rPr>
              <w:t>投标人提供针对本项目的县（区）业务培训工作实施方案，包括但不限于①线上培训实施工作安排（包括培训平台、培训内容、场次）；②线下培训实施工作安排（包括培训组织形式、培训内容、场次）；③培训效果与保障措施等内容。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7县（区）业务培训.docx</w:t>
            </w:r>
          </w:p>
        </w:tc>
      </w:tr>
      <w:tr>
        <w:tc>
          <w:tcPr>
            <w:tcW w:type="dxa" w:w="831"/>
            <w:vMerge/>
          </w:tcPr>
          <w:p/>
        </w:tc>
        <w:tc>
          <w:tcPr>
            <w:tcW w:type="dxa" w:w="1661"/>
          </w:tcPr>
          <w:p>
            <w:pPr>
              <w:pStyle w:val="null3"/>
            </w:pPr>
            <w:r>
              <w:rPr>
                <w:rFonts w:ascii="仿宋_GB2312" w:hAnsi="仿宋_GB2312" w:cs="仿宋_GB2312" w:eastAsia="仿宋_GB2312"/>
              </w:rPr>
              <w:t>行政区划调整实施方案</w:t>
            </w:r>
          </w:p>
        </w:tc>
        <w:tc>
          <w:tcPr>
            <w:tcW w:type="dxa" w:w="2492"/>
          </w:tcPr>
          <w:p>
            <w:pPr>
              <w:pStyle w:val="null3"/>
            </w:pPr>
            <w:r>
              <w:rPr>
                <w:rFonts w:ascii="仿宋_GB2312" w:hAnsi="仿宋_GB2312" w:cs="仿宋_GB2312" w:eastAsia="仿宋_GB2312"/>
              </w:rPr>
              <w:t>投标人提供针对本项目的行政区划调整实施方案，包括但不限于①行政区划更新；②调查区划申请、认定、设置等相关工作；③全省调查区划底图成果交付等内容。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8行政区划调整实施方案.docx</w:t>
            </w:r>
          </w:p>
        </w:tc>
      </w:tr>
      <w:tr>
        <w:tc>
          <w:tcPr>
            <w:tcW w:type="dxa" w:w="831"/>
            <w:vMerge/>
          </w:tcPr>
          <w:p/>
        </w:tc>
        <w:tc>
          <w:tcPr>
            <w:tcW w:type="dxa" w:w="1661"/>
          </w:tcPr>
          <w:p>
            <w:pPr>
              <w:pStyle w:val="null3"/>
            </w:pPr>
            <w:r>
              <w:rPr>
                <w:rFonts w:ascii="仿宋_GB2312" w:hAnsi="仿宋_GB2312" w:cs="仿宋_GB2312" w:eastAsia="仿宋_GB2312"/>
              </w:rPr>
              <w:t>数据更新实施方案</w:t>
            </w:r>
          </w:p>
        </w:tc>
        <w:tc>
          <w:tcPr>
            <w:tcW w:type="dxa" w:w="2492"/>
          </w:tcPr>
          <w:p>
            <w:pPr>
              <w:pStyle w:val="null3"/>
            </w:pPr>
            <w:r>
              <w:rPr>
                <w:rFonts w:ascii="仿宋_GB2312" w:hAnsi="仿宋_GB2312" w:cs="仿宋_GB2312" w:eastAsia="仿宋_GB2312"/>
              </w:rPr>
              <w:t>投标人提供针对本项目调查对象差异化数据更新的实施方案，包括但不限于①总体技术路线；②内外业工作实施安排、工作流程；③技术保障措施；④拟投入的设施设备清单等内容。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9数据更新实施方案.docx</w:t>
            </w:r>
          </w:p>
        </w:tc>
      </w:tr>
      <w:tr>
        <w:tc>
          <w:tcPr>
            <w:tcW w:type="dxa" w:w="831"/>
            <w:vMerge/>
          </w:tcPr>
          <w:p/>
        </w:tc>
        <w:tc>
          <w:tcPr>
            <w:tcW w:type="dxa" w:w="1661"/>
          </w:tcPr>
          <w:p>
            <w:pPr>
              <w:pStyle w:val="null3"/>
            </w:pPr>
            <w:r>
              <w:rPr>
                <w:rFonts w:ascii="仿宋_GB2312" w:hAnsi="仿宋_GB2312" w:cs="仿宋_GB2312" w:eastAsia="仿宋_GB2312"/>
              </w:rPr>
              <w:t>数据质检及核查实施方案</w:t>
            </w:r>
          </w:p>
        </w:tc>
        <w:tc>
          <w:tcPr>
            <w:tcW w:type="dxa" w:w="2492"/>
          </w:tcPr>
          <w:p>
            <w:pPr>
              <w:pStyle w:val="null3"/>
            </w:pPr>
            <w:r>
              <w:rPr>
                <w:rFonts w:ascii="仿宋_GB2312" w:hAnsi="仿宋_GB2312" w:cs="仿宋_GB2312" w:eastAsia="仿宋_GB2312"/>
              </w:rPr>
              <w:t>投标人根据本项目采购需求，提供数据质检及核查实施方案，包括但不限于①质检原则；②质检工作流程安排；③质检工具等内容。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10数据质检及核查实施方案.docx</w:t>
            </w:r>
          </w:p>
        </w:tc>
      </w:tr>
      <w:tr>
        <w:tc>
          <w:tcPr>
            <w:tcW w:type="dxa" w:w="831"/>
            <w:vMerge/>
          </w:tcPr>
          <w:p/>
        </w:tc>
        <w:tc>
          <w:tcPr>
            <w:tcW w:type="dxa" w:w="1661"/>
          </w:tcPr>
          <w:p>
            <w:pPr>
              <w:pStyle w:val="null3"/>
            </w:pPr>
            <w:r>
              <w:rPr>
                <w:rFonts w:ascii="仿宋_GB2312" w:hAnsi="仿宋_GB2312" w:cs="仿宋_GB2312" w:eastAsia="仿宋_GB2312"/>
              </w:rPr>
              <w:t>数据成果治理及入库方案</w:t>
            </w:r>
          </w:p>
        </w:tc>
        <w:tc>
          <w:tcPr>
            <w:tcW w:type="dxa" w:w="2492"/>
          </w:tcPr>
          <w:p>
            <w:pPr>
              <w:pStyle w:val="null3"/>
            </w:pPr>
            <w:r>
              <w:rPr>
                <w:rFonts w:ascii="仿宋_GB2312" w:hAnsi="仿宋_GB2312" w:cs="仿宋_GB2312" w:eastAsia="仿宋_GB2312"/>
              </w:rPr>
              <w:t>投标人提供针对本项目的数据成果治理及入库方案，方案内容包括但不限于①工作原则；②数据清洗与整理；③数据入库等内容。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11数据成果治理及入库方案.docx</w:t>
            </w:r>
          </w:p>
        </w:tc>
      </w:tr>
      <w:tr>
        <w:tc>
          <w:tcPr>
            <w:tcW w:type="dxa" w:w="831"/>
            <w:vMerge/>
          </w:tcPr>
          <w:p/>
        </w:tc>
        <w:tc>
          <w:tcPr>
            <w:tcW w:type="dxa" w:w="1661"/>
          </w:tcPr>
          <w:p>
            <w:pPr>
              <w:pStyle w:val="null3"/>
            </w:pPr>
            <w:r>
              <w:rPr>
                <w:rFonts w:ascii="仿宋_GB2312" w:hAnsi="仿宋_GB2312" w:cs="仿宋_GB2312" w:eastAsia="仿宋_GB2312"/>
              </w:rPr>
              <w:t>进度及质量保证</w:t>
            </w:r>
          </w:p>
        </w:tc>
        <w:tc>
          <w:tcPr>
            <w:tcW w:type="dxa" w:w="2492"/>
          </w:tcPr>
          <w:p>
            <w:pPr>
              <w:pStyle w:val="null3"/>
            </w:pPr>
            <w:r>
              <w:rPr>
                <w:rFonts w:ascii="仿宋_GB2312" w:hAnsi="仿宋_GB2312" w:cs="仿宋_GB2312" w:eastAsia="仿宋_GB2312"/>
              </w:rPr>
              <w:t>投标人针对本项目提供进度及质量保证方案，包括但不限于①各阶段工作进度安排；②进度保证措施；③各阶段工作质量保证方案。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12进度及质量保证.docx</w:t>
            </w:r>
          </w:p>
        </w:tc>
      </w:tr>
      <w:tr>
        <w:tc>
          <w:tcPr>
            <w:tcW w:type="dxa" w:w="831"/>
            <w:vMerge/>
          </w:tcPr>
          <w:p/>
        </w:tc>
        <w:tc>
          <w:tcPr>
            <w:tcW w:type="dxa" w:w="1661"/>
          </w:tcPr>
          <w:p>
            <w:pPr>
              <w:pStyle w:val="null3"/>
            </w:pPr>
            <w:r>
              <w:rPr>
                <w:rFonts w:ascii="仿宋_GB2312" w:hAnsi="仿宋_GB2312" w:cs="仿宋_GB2312" w:eastAsia="仿宋_GB2312"/>
              </w:rPr>
              <w:t>风险应对预案</w:t>
            </w:r>
          </w:p>
        </w:tc>
        <w:tc>
          <w:tcPr>
            <w:tcW w:type="dxa" w:w="2492"/>
          </w:tcPr>
          <w:p>
            <w:pPr>
              <w:pStyle w:val="null3"/>
            </w:pPr>
            <w:r>
              <w:rPr>
                <w:rFonts w:ascii="仿宋_GB2312" w:hAnsi="仿宋_GB2312" w:cs="仿宋_GB2312" w:eastAsia="仿宋_GB2312"/>
              </w:rPr>
              <w:t>投标人提供针对本项目的风险应对预案，包括但不限于①极端天气影响；②基层配合、协调问题；③数据获取困难等。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13风险应对预案.docx</w:t>
            </w:r>
          </w:p>
        </w:tc>
      </w:tr>
      <w:tr>
        <w:tc>
          <w:tcPr>
            <w:tcW w:type="dxa" w:w="831"/>
            <w:vMerge/>
          </w:tcPr>
          <w:p/>
        </w:tc>
        <w:tc>
          <w:tcPr>
            <w:tcW w:type="dxa" w:w="1661"/>
          </w:tcPr>
          <w:p>
            <w:pPr>
              <w:pStyle w:val="null3"/>
            </w:pPr>
            <w:r>
              <w:rPr>
                <w:rFonts w:ascii="仿宋_GB2312" w:hAnsi="仿宋_GB2312" w:cs="仿宋_GB2312" w:eastAsia="仿宋_GB2312"/>
              </w:rPr>
              <w:t>成果交付方案</w:t>
            </w:r>
          </w:p>
        </w:tc>
        <w:tc>
          <w:tcPr>
            <w:tcW w:type="dxa" w:w="2492"/>
          </w:tcPr>
          <w:p>
            <w:pPr>
              <w:pStyle w:val="null3"/>
            </w:pPr>
            <w:r>
              <w:rPr>
                <w:rFonts w:ascii="仿宋_GB2312" w:hAnsi="仿宋_GB2312" w:cs="仿宋_GB2312" w:eastAsia="仿宋_GB2312"/>
              </w:rPr>
              <w:t>投标人针对本项目提供成果交付方案，包括：①成果交付内容及规范性保证方案；②后续可能涉及的问题服务方案。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14成果交付方案.docx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有注册测绘师证书且具备测绘地理信息类正高级职称得2分，提供注册测绘师证书及职称证扫描件，并提供在职证明（劳动合同或2025年3月以来至少1个月的在本单位的社会保险缴纳证明）。提供不全或未提供者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15拟派项目负责人.docx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拟派技术负责人具有注册测绘师证书且具备测绘地理信息类高级职称得2分，提供注册测绘师证书及职称证扫描件，并提供在职证明（劳动合同或2025年3月以来至少1个月的在本单位的社会保险缴纳证明）。提供不全或未提供者不计分。 注：拟派项目负责人与技术负责人不得是同一人。</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16技术负责人.docx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拟派项目团队人员(不含项目负责人、技术负责人)具有测绘地理信息类中级及以上职称，每提供1人得0.5分，满分6分。 提供职称证扫描件和在职证明（劳动合同或2025年3月以来至少1个月的在本单位的社会保险缴纳证明）。提供不全或未提供者不计分。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17项目团队人员.docx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中标后与采购人签订保密协议，对本项目中获悉的内容负有保密义务，对采购人和相关部门及单位提供的资料及出具的报告、材料负有保密义务，除法律、法规等另有规定外，未经采购人批准，不得以任何形式向任何单位或个人提供、泄露或公开工作情况。否则，自愿接受采购人处罚。提供此承诺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18保密承诺.docx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价格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详见附件：6需求分析.docx</w:t>
      </w:r>
    </w:p>
    <w:p>
      <w:pPr>
        <w:pStyle w:val="null3"/>
        <w:ind w:firstLine="960"/>
      </w:pPr>
      <w:r>
        <w:rPr>
          <w:rFonts w:ascii="仿宋_GB2312" w:hAnsi="仿宋_GB2312" w:cs="仿宋_GB2312" w:eastAsia="仿宋_GB2312"/>
        </w:rPr>
        <w:t>详见附件：7县（区）业务培训.docx</w:t>
      </w:r>
    </w:p>
    <w:p>
      <w:pPr>
        <w:pStyle w:val="null3"/>
        <w:ind w:firstLine="960"/>
      </w:pPr>
      <w:r>
        <w:rPr>
          <w:rFonts w:ascii="仿宋_GB2312" w:hAnsi="仿宋_GB2312" w:cs="仿宋_GB2312" w:eastAsia="仿宋_GB2312"/>
        </w:rPr>
        <w:t>详见附件：8行政区划调整实施方案.docx</w:t>
      </w:r>
    </w:p>
    <w:p>
      <w:pPr>
        <w:pStyle w:val="null3"/>
        <w:ind w:firstLine="960"/>
      </w:pPr>
      <w:r>
        <w:rPr>
          <w:rFonts w:ascii="仿宋_GB2312" w:hAnsi="仿宋_GB2312" w:cs="仿宋_GB2312" w:eastAsia="仿宋_GB2312"/>
        </w:rPr>
        <w:t>详见附件：9数据更新实施方案.docx</w:t>
      </w:r>
    </w:p>
    <w:p>
      <w:pPr>
        <w:pStyle w:val="null3"/>
        <w:ind w:firstLine="960"/>
      </w:pPr>
      <w:r>
        <w:rPr>
          <w:rFonts w:ascii="仿宋_GB2312" w:hAnsi="仿宋_GB2312" w:cs="仿宋_GB2312" w:eastAsia="仿宋_GB2312"/>
        </w:rPr>
        <w:t>详见附件：10数据质检及核查实施方案.docx</w:t>
      </w:r>
    </w:p>
    <w:p>
      <w:pPr>
        <w:pStyle w:val="null3"/>
        <w:ind w:firstLine="960"/>
      </w:pPr>
      <w:r>
        <w:rPr>
          <w:rFonts w:ascii="仿宋_GB2312" w:hAnsi="仿宋_GB2312" w:cs="仿宋_GB2312" w:eastAsia="仿宋_GB2312"/>
        </w:rPr>
        <w:t>详见附件：11数据成果治理及入库方案.docx</w:t>
      </w:r>
    </w:p>
    <w:p>
      <w:pPr>
        <w:pStyle w:val="null3"/>
        <w:ind w:firstLine="960"/>
      </w:pPr>
      <w:r>
        <w:rPr>
          <w:rFonts w:ascii="仿宋_GB2312" w:hAnsi="仿宋_GB2312" w:cs="仿宋_GB2312" w:eastAsia="仿宋_GB2312"/>
        </w:rPr>
        <w:t>详见附件：12进度及质量保证.docx</w:t>
      </w:r>
    </w:p>
    <w:p>
      <w:pPr>
        <w:pStyle w:val="null3"/>
        <w:ind w:firstLine="960"/>
      </w:pPr>
      <w:r>
        <w:rPr>
          <w:rFonts w:ascii="仿宋_GB2312" w:hAnsi="仿宋_GB2312" w:cs="仿宋_GB2312" w:eastAsia="仿宋_GB2312"/>
        </w:rPr>
        <w:t>详见附件：13风险应对预案.docx</w:t>
      </w:r>
    </w:p>
    <w:p>
      <w:pPr>
        <w:pStyle w:val="null3"/>
        <w:ind w:firstLine="960"/>
      </w:pPr>
      <w:r>
        <w:rPr>
          <w:rFonts w:ascii="仿宋_GB2312" w:hAnsi="仿宋_GB2312" w:cs="仿宋_GB2312" w:eastAsia="仿宋_GB2312"/>
        </w:rPr>
        <w:t>详见附件：14成果交付方案.docx</w:t>
      </w:r>
    </w:p>
    <w:p>
      <w:pPr>
        <w:pStyle w:val="null3"/>
        <w:ind w:firstLine="960"/>
      </w:pPr>
      <w:r>
        <w:rPr>
          <w:rFonts w:ascii="仿宋_GB2312" w:hAnsi="仿宋_GB2312" w:cs="仿宋_GB2312" w:eastAsia="仿宋_GB2312"/>
        </w:rPr>
        <w:t>详见附件：15拟派项目负责人.docx</w:t>
      </w:r>
    </w:p>
    <w:p>
      <w:pPr>
        <w:pStyle w:val="null3"/>
        <w:ind w:firstLine="960"/>
      </w:pPr>
      <w:r>
        <w:rPr>
          <w:rFonts w:ascii="仿宋_GB2312" w:hAnsi="仿宋_GB2312" w:cs="仿宋_GB2312" w:eastAsia="仿宋_GB2312"/>
        </w:rPr>
        <w:t>详见附件：16技术负责人.docx</w:t>
      </w:r>
    </w:p>
    <w:p>
      <w:pPr>
        <w:pStyle w:val="null3"/>
        <w:ind w:firstLine="960"/>
      </w:pPr>
      <w:r>
        <w:rPr>
          <w:rFonts w:ascii="仿宋_GB2312" w:hAnsi="仿宋_GB2312" w:cs="仿宋_GB2312" w:eastAsia="仿宋_GB2312"/>
        </w:rPr>
        <w:t>详见附件：17项目团队人员.docx</w:t>
      </w:r>
    </w:p>
    <w:p>
      <w:pPr>
        <w:pStyle w:val="null3"/>
        <w:ind w:firstLine="960"/>
      </w:pPr>
      <w:r>
        <w:rPr>
          <w:rFonts w:ascii="仿宋_GB2312" w:hAnsi="仿宋_GB2312" w:cs="仿宋_GB2312" w:eastAsia="仿宋_GB2312"/>
        </w:rPr>
        <w:t>详见附件：18保密承诺.docx</w:t>
      </w:r>
    </w:p>
    <w:p>
      <w:pPr>
        <w:pStyle w:val="null3"/>
        <w:ind w:firstLine="960"/>
      </w:pPr>
      <w:r>
        <w:rPr>
          <w:rFonts w:ascii="仿宋_GB2312" w:hAnsi="仿宋_GB2312" w:cs="仿宋_GB2312" w:eastAsia="仿宋_GB2312"/>
        </w:rPr>
        <w:t>详见附件：19业绩.docx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