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版本号：SDZC2026-07220260612001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陕西省水利关键信息基础设施完善与商用密码应用改造项目商用密码应用安全性评估服务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SDZC2026-072</w:t>
      </w:r>
      <w:r>
        <w:br/>
      </w:r>
      <w:r>
        <w:br/>
      </w:r>
      <w:r>
        <w:br/>
      </w:r>
    </w:p>
    <w:p>
      <w:pPr>
        <w:pStyle w:val="null3"/>
        <w:jc w:val="center"/>
        <w:outlineLvl w:val="2"/>
      </w:pPr>
      <w:r>
        <w:rPr>
          <w:rFonts w:ascii="仿宋_GB2312" w:hAnsi="仿宋_GB2312" w:cs="仿宋_GB2312" w:eastAsia="仿宋_GB2312"/>
          <w:sz w:val="28"/>
          <w:b/>
        </w:rPr>
        <w:t>陕西省水利信息宣传教育中心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陕西省水利信息宣传教育中心</w:t>
      </w:r>
      <w:r>
        <w:rPr>
          <w:rFonts w:ascii="仿宋_GB2312" w:hAnsi="仿宋_GB2312" w:cs="仿宋_GB2312" w:eastAsia="仿宋_GB2312"/>
        </w:rPr>
        <w:t>委托，拟对</w:t>
      </w:r>
      <w:r>
        <w:rPr>
          <w:rFonts w:ascii="仿宋_GB2312" w:hAnsi="仿宋_GB2312" w:cs="仿宋_GB2312" w:eastAsia="仿宋_GB2312"/>
        </w:rPr>
        <w:t>陕西省水利关键信息基础设施完善与商用密码应用改造项目商用密码应用安全性评估服务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陕西省水利关键信息基础设施完善与商用密码应用改造项目商用密码应用安全性评估服务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商用密码应用安全性评估服务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采购包1（商用密码应用安全性评估服务）：属于专门面向中小企业采购。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8、企业资质：供应商应具有国家密码管理局颁发的商用密码检测机构资质证书；</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陕西省水利信息宣传教育中心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029-61835233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曹幸（03号工位）、王涛、魏蕾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收取。财务部联系方式： 029-86673953、86518381、89299829、89293231转814、813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陕西省水利信息宣传教育中心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陕西省水利信息宣传教育中心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陕西省水利信息宣传教育中心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符合国家标准和行业标准及合同要求，符合磋商文件、乙方的响应文件、澄清文件和成交通知书的要求等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GB/T39786-2021《信息安全技术信息系统密码应用基本要求》、GB/T43206-2023《信息安全技术信息系统密码应用测评要求》等密评标准和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商用密码应用安全性评估服务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标的名称：商用密码应用安全性评估服务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4"/>
                <w:b/>
                <w:color w:val="0000FF"/>
              </w:rPr>
              <w:t>1.</w:t>
            </w:r>
            <w:r>
              <w:rPr>
                <w:rFonts w:ascii="仿宋_GB2312" w:hAnsi="仿宋_GB2312" w:cs="仿宋_GB2312" w:eastAsia="仿宋_GB2312"/>
                <w:sz w:val="24"/>
                <w:b/>
                <w:color w:val="0000FF"/>
              </w:rPr>
              <w:t>项目总体目标</w:t>
            </w:r>
          </w:p>
          <w:p>
            <w:pPr>
              <w:pStyle w:val="null3"/>
              <w:ind w:firstLine="480"/>
              <w:jc w:val="left"/>
            </w:pPr>
            <w:r>
              <w:rPr>
                <w:rFonts w:ascii="仿宋_GB2312" w:hAnsi="仿宋_GB2312" w:cs="仿宋_GB2312" w:eastAsia="仿宋_GB2312"/>
                <w:sz w:val="24"/>
                <w:color w:val="0000FF"/>
              </w:rPr>
              <w:t>依照相关政策文件，对采购人</w:t>
            </w:r>
            <w:r>
              <w:rPr>
                <w:rFonts w:ascii="仿宋_GB2312" w:hAnsi="仿宋_GB2312" w:cs="仿宋_GB2312" w:eastAsia="仿宋_GB2312"/>
                <w:sz w:val="24"/>
                <w:color w:val="0000FF"/>
              </w:rPr>
              <w:t>3个应用系统提供密码应用安全性评估服务，按照国家规范要求，制定测评方案，实施测评，提出整改意见，跟踪整改进度，为服务项目验收提供依据。</w:t>
            </w:r>
          </w:p>
          <w:p>
            <w:pPr>
              <w:pStyle w:val="null3"/>
              <w:jc w:val="left"/>
              <w:outlineLvl w:val="0"/>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服务范围</w:t>
            </w:r>
          </w:p>
          <w:p>
            <w:pPr>
              <w:pStyle w:val="null3"/>
              <w:ind w:firstLine="480"/>
              <w:jc w:val="left"/>
            </w:pPr>
            <w:r>
              <w:rPr>
                <w:rFonts w:ascii="仿宋_GB2312" w:hAnsi="仿宋_GB2312" w:cs="仿宋_GB2312" w:eastAsia="仿宋_GB2312"/>
                <w:sz w:val="24"/>
                <w:color w:val="0000FF"/>
              </w:rPr>
              <w:t>本项目密码测评服务主要针对采购人</w:t>
            </w:r>
            <w:r>
              <w:rPr>
                <w:rFonts w:ascii="仿宋_GB2312" w:hAnsi="仿宋_GB2312" w:cs="仿宋_GB2312" w:eastAsia="仿宋_GB2312"/>
                <w:sz w:val="24"/>
                <w:color w:val="0000FF"/>
              </w:rPr>
              <w:t>3个应用系统开展商用密码应用安全评估。</w:t>
            </w:r>
          </w:p>
          <w:p>
            <w:pPr>
              <w:pStyle w:val="null3"/>
              <w:jc w:val="left"/>
              <w:outlineLvl w:val="0"/>
            </w:pPr>
            <w:r>
              <w:rPr>
                <w:rFonts w:ascii="仿宋_GB2312" w:hAnsi="仿宋_GB2312" w:cs="仿宋_GB2312" w:eastAsia="仿宋_GB2312"/>
                <w:sz w:val="24"/>
                <w:b/>
                <w:color w:val="0000FF"/>
              </w:rPr>
              <w:t>3.</w:t>
            </w:r>
            <w:r>
              <w:rPr>
                <w:rFonts w:ascii="仿宋_GB2312" w:hAnsi="仿宋_GB2312" w:cs="仿宋_GB2312" w:eastAsia="仿宋_GB2312"/>
                <w:sz w:val="24"/>
                <w:b/>
                <w:color w:val="0000FF"/>
              </w:rPr>
              <w:t>服务内容</w:t>
            </w:r>
          </w:p>
          <w:p>
            <w:pPr>
              <w:pStyle w:val="null3"/>
              <w:ind w:firstLine="480"/>
              <w:jc w:val="left"/>
            </w:pPr>
            <w:r>
              <w:rPr>
                <w:rFonts w:ascii="仿宋_GB2312" w:hAnsi="仿宋_GB2312" w:cs="仿宋_GB2312" w:eastAsia="仿宋_GB2312"/>
                <w:sz w:val="24"/>
                <w:color w:val="0000FF"/>
              </w:rPr>
              <w:t>依据</w:t>
            </w:r>
            <w:r>
              <w:rPr>
                <w:rFonts w:ascii="仿宋_GB2312" w:hAnsi="仿宋_GB2312" w:cs="仿宋_GB2312" w:eastAsia="仿宋_GB2312"/>
                <w:sz w:val="24"/>
                <w:color w:val="0000FF"/>
              </w:rPr>
              <w:t>GB/T39786-2021《信息安全技术信息系统密码应用基本要求》、GB/T43206-2023《信息安全技术信息系统密码应用测评要求》等密评标准和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具体内容包括：</w:t>
            </w:r>
          </w:p>
          <w:tbl>
            <w:tblPr>
              <w:tblInd w:type="dxa" w:w="105"/>
              <w:tblBorders>
                <w:top w:val="none" w:color="000000" w:sz="4"/>
                <w:left w:val="none" w:color="000000" w:sz="4"/>
                <w:bottom w:val="none" w:color="000000" w:sz="4"/>
                <w:right w:val="none" w:color="000000" w:sz="4"/>
                <w:insideH w:val="none"/>
                <w:insideV w:val="none"/>
              </w:tblBorders>
            </w:tblPr>
            <w:tblGrid>
              <w:gridCol w:w="139"/>
              <w:gridCol w:w="288"/>
              <w:gridCol w:w="561"/>
              <w:gridCol w:w="775"/>
            </w:tblGrid>
            <w:tr>
              <w:tc>
                <w:tcPr>
                  <w:tcW w:type="dxa" w:w="139"/>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序号</w:t>
                  </w:r>
                </w:p>
              </w:tc>
              <w:tc>
                <w:tcPr>
                  <w:tcW w:type="dxa" w:w="288"/>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服务内容</w:t>
                  </w:r>
                </w:p>
              </w:tc>
              <w:tc>
                <w:tcPr>
                  <w:tcW w:type="dxa" w:w="561"/>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服务内容子项</w:t>
                  </w:r>
                </w:p>
              </w:tc>
              <w:tc>
                <w:tcPr>
                  <w:tcW w:type="dxa" w:w="775"/>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工作内容</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需求沟通</w:t>
                  </w:r>
                </w:p>
                <w:p>
                  <w:pPr>
                    <w:pStyle w:val="null3"/>
                    <w:jc w:val="center"/>
                  </w:pPr>
                  <w:r>
                    <w:rPr>
                      <w:rFonts w:ascii="仿宋_GB2312" w:hAnsi="仿宋_GB2312" w:cs="仿宋_GB2312" w:eastAsia="仿宋_GB2312"/>
                      <w:sz w:val="24"/>
                      <w:color w:val="0000FF"/>
                    </w:rPr>
                    <w:t>确认</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需求沟通调研和确认工作实施要求</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对安全评估的组织实施流程、风险管控效果、时间节点、交付成果、评估方式等基础信息进行沟通核实，确认服务需求和工作要求</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基础材料搜集整理和现场沟通采集</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按照评估准备实施要求，搜集整理必要素材</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通过远程或现场会议方式与业务研发、运维部门技术团队和保障团队沟通评估所需基础素材、文档等必要信息</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密码应用方案评估</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密码应用方案</w:t>
                  </w:r>
                </w:p>
                <w:p>
                  <w:pPr>
                    <w:pStyle w:val="null3"/>
                    <w:jc w:val="center"/>
                  </w:pPr>
                  <w:r>
                    <w:rPr>
                      <w:rFonts w:ascii="仿宋_GB2312" w:hAnsi="仿宋_GB2312" w:cs="仿宋_GB2312" w:eastAsia="仿宋_GB2312"/>
                      <w:sz w:val="24"/>
                      <w:color w:val="0000FF"/>
                    </w:rPr>
                    <w:t>评估</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对委托方制定的密码应用方案进行评估，出具《密码应用方案评估报告》</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系统评估</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依据《信息安全技术信息系统密码应用基本要求》（</w:t>
                  </w:r>
                  <w:r>
                    <w:rPr>
                      <w:rFonts w:ascii="仿宋_GB2312" w:hAnsi="仿宋_GB2312" w:cs="仿宋_GB2312" w:eastAsia="仿宋_GB2312"/>
                      <w:sz w:val="24"/>
                      <w:color w:val="0000FF"/>
                    </w:rPr>
                    <w:t>GB/T39786-2021）等标准进行测评</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按照</w:t>
                  </w:r>
                  <w:r>
                    <w:rPr>
                      <w:rFonts w:ascii="仿宋_GB2312" w:hAnsi="仿宋_GB2312" w:cs="仿宋_GB2312" w:eastAsia="仿宋_GB2312"/>
                      <w:sz w:val="24"/>
                      <w:color w:val="0000FF"/>
                    </w:rPr>
                    <w:t>GB/T39786-2021《信息安全技术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报告编制</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编制评估报告</w:t>
                  </w:r>
                </w:p>
              </w:tc>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对评估过程中发现的问题进行汇总确认，总结各项评估指标的评估结果，编制评估报告</w:t>
                  </w:r>
                </w:p>
              </w:tc>
            </w:tr>
          </w:tbl>
          <w:p>
            <w:pPr>
              <w:pStyle w:val="null3"/>
              <w:ind w:firstLine="480"/>
              <w:jc w:val="left"/>
            </w:pPr>
            <w:r>
              <w:rPr>
                <w:rFonts w:ascii="仿宋_GB2312" w:hAnsi="仿宋_GB2312" w:cs="仿宋_GB2312" w:eastAsia="仿宋_GB2312"/>
                <w:sz w:val="24"/>
                <w:color w:val="0000FF"/>
              </w:rPr>
              <w:t>开展商用密码应用安全性评估，从通用要求、物理和环境、网络和通信、设备和计算、应用和数据、管理制度、人员管理、建设运行、应急处置等方面开展测评，具体测评指标如下：</w:t>
            </w:r>
          </w:p>
          <w:tbl>
            <w:tblPr>
              <w:tblInd w:type="dxa" w:w="105"/>
              <w:tblBorders>
                <w:top w:val="none" w:color="000000" w:sz="4"/>
                <w:left w:val="none" w:color="000000" w:sz="4"/>
                <w:bottom w:val="none" w:color="000000" w:sz="4"/>
                <w:right w:val="none" w:color="000000" w:sz="4"/>
                <w:insideH w:val="none"/>
                <w:insideV w:val="none"/>
              </w:tblBorders>
            </w:tblPr>
            <w:tblGrid>
              <w:gridCol w:w="189"/>
              <w:gridCol w:w="517"/>
              <w:gridCol w:w="928"/>
            </w:tblGrid>
            <w:tr>
              <w:tc>
                <w:tcPr>
                  <w:tcW w:type="dxa" w:w="189"/>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测评层面</w:t>
                  </w:r>
                </w:p>
              </w:tc>
              <w:tc>
                <w:tcPr>
                  <w:tcW w:type="dxa" w:w="517"/>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测评单元</w:t>
                  </w:r>
                </w:p>
              </w:tc>
              <w:tc>
                <w:tcPr>
                  <w:tcW w:type="dxa" w:w="928"/>
                  <w:tcBorders>
                    <w:top w:val="single" w:color="000000" w:sz="4"/>
                    <w:left w:val="single" w:color="000000" w:sz="4"/>
                    <w:bottom w:val="single" w:color="000000" w:sz="4"/>
                    <w:right w:val="single" w:color="000000" w:sz="4"/>
                  </w:tcBorders>
                  <w:shd w:fill="D8D8D8"/>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指标要求</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物理和环境安全</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身份鉴别</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宜采用密码技术进行物理访问身份鉴别，保证重要区域进入人员身份的真实性。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电子门禁记录数据存储完整性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宜采用密码技术保证电子门禁系统进出记录数据的存储完整性。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视频监控记录数据存储完整性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宜采用密码技术保证视频监控音像记录数据的存储完整性。</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网络和通信安全</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身份鉴别</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应采用密码技术对通信实体进行身份鉴别，保证通信实体身份的真实性。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通信数据完整性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宜采用密码技术保证通信过程中数据的完整性。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通信过程中重要数据的机密性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应采用密码技术保证通信过程中重要数据的机密性。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网络边界访问控制信息的完整性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宜采用密码技术保证网络边界访问控制信息的完整性。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安全接入认证</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可采用密码技术对从外部连接到内部网络的设备进行接入认证，确保接入的设备身份真实性。</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设备和计算安全</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身份鉴别</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应采用密码技术对登录设备的用户进行身份鉴别，保证用户身份的真实性。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远程管理通道安全</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远程管理设备时，应采用密码技术建立安全的信息传输通道。</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系统资源访问控制信息完整性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宜采用密码技术保证系统资源访问控制信息的完整性。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重要信息资源安全标记完整性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宜采用密码技术保证设备中的重要信息资源安全标记的完整性。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日志记录完整性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宜采用密码技术保证日志记录的完整性。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重要可执行程序完整性、重要可执行程序来源真实性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宜采用密码技术对重要可执行程序进行完整性保护，并对其来源进行真实性验证。</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应用和数据安全</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身份鉴别</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应采用密码技术对登录用户进行身份鉴别，保证应用系统用户身份的真实性。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访问控制信息完整性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宜采用密码技术保证信息系统应用的访问控制信息的完整性。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重要信息资源安全标记完整性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宜采用密码技术保证信息系统应用的重要信息资源安全标记的完整性。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重要数据传输机密性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应采用密码技术保证信息系统应用的重要数据在传输过程中的机密性。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重要数据存储机密性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应采用密码技术保证信息系统应用的重要数据在存储过程中的机密性。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重要数据传输完整性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宜采用密码技术保证信息系统应用的重要数据在传输过程中的完整性。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重要数据存储完整性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宜采用密码技术保证信息系统应用的重要数据在存储过程中的完整性。</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不可否认性</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在可能涉及法律责任认定的应用中，宜采用密码技术提供数据原发证据和数据接收证据，实现数据原发行为的不可否认性和数据接收行为的不可否认性。</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管理制度</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具备密码应用安全管理制度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应具备密码应用安全管理制度，包括密码人员管理、密钥管理、建设运行、应急处置、密码软硬件及介质管理等制度。</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密钥管理规则</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应根据密码应用方案建立相应密钥管理规则。</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建立操作规程</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应对管理人员或操作人员执行的日常管理操作建立操作规程。</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定期修订安全管理制度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应定期对密码应用安全管理制度和操作规程的合理性和适用性进行论证和审定，对存在不足或需要改进之处进行修订。</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明确管理制度发布流程</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应明确相关密码应用安全管理制度和操作规程的发布流程并进行版本控制。</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制度执行过程记录留存</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应具有密码应用操作规程的相关执行记录并妥善保存。</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人员管理</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了解并遵守密码相关法律法规和密码管理制度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相关人员应了解并遵守密码相关法律法规、密码应用安全管理制度。</w:t>
                  </w:r>
                </w:p>
              </w:tc>
            </w:tr>
            <w:tr>
              <w:tc>
                <w:tcPr>
                  <w:tcW w:type="dxa" w:w="189"/>
                  <w:vMerge/>
                  <w:tcBorders>
                    <w:top w:val="none" w:color="000000" w:sz="4"/>
                    <w:left w:val="single" w:color="000000" w:sz="4"/>
                    <w:bottom w:val="single" w:color="000000" w:sz="4"/>
                    <w:right w:val="single" w:color="000000" w:sz="4"/>
                  </w:tcBorders>
                </w:tcPr>
                <w:p/>
              </w:tc>
              <w:tc>
                <w:tcPr>
                  <w:tcW w:type="dxa" w:w="5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建立密码应用岗位责任制度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应建立密码应用岗位责任制度，明确各岗位在安全系统中的职责和权限：</w:t>
                  </w:r>
                </w:p>
              </w:tc>
            </w:tr>
            <w:tr>
              <w:tc>
                <w:tcPr>
                  <w:tcW w:type="dxa" w:w="189"/>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1)根据密码应用的实际情况，设置密钥管理员、密码安全审计员、密码操作员等关键安全岗位；</w:t>
                  </w:r>
                </w:p>
              </w:tc>
            </w:tr>
            <w:tr>
              <w:tc>
                <w:tcPr>
                  <w:tcW w:type="dxa" w:w="189"/>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2)对关键岗位建立多人共管机制；</w:t>
                  </w:r>
                </w:p>
              </w:tc>
            </w:tr>
            <w:tr>
              <w:tc>
                <w:tcPr>
                  <w:tcW w:type="dxa" w:w="189"/>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3)密钥管理、密码安全审计、密码操作人员职责互相制约互相监督，其中密码安全审计员岗位不可与密钥管理员、密码操作员兼任；</w:t>
                  </w:r>
                </w:p>
              </w:tc>
            </w:tr>
            <w:tr>
              <w:tc>
                <w:tcPr>
                  <w:tcW w:type="dxa" w:w="189"/>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4)相关设备与系统的管理和使用账号不得多人共用。</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建立上岗人员培训制度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应建立上岗人员培训制度，对于涉及密码的操作和管理的人员进行专门培训，确保其具备岗位所需专业技能。</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定期进行安全岗位人员考核</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应定期对密码应用安全岗位人员进行考核。</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建立关键岗位人员保密制度和调离制度</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应建立关键人员保密制度和调离制度，签订保密合同，承担保密义务。</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建设运行</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制定密码应用方案</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应依据密码相关标准和密码应用需求，制定密码应用方案。</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制定密钥安全管理策略</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应根据密码应用方案，确定系统涉及的密钥种类、体系及其生命周期环节。</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制定实施方案</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应按照应用方案实施建设。</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投入运行前进行密码应用安全性评估</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投入运行前应进行密码应用安全性评估，评估通过后系统方可正式运行。</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定期开展密码应用安全性评估及攻防对抗演习</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在运行过程中，应严格执行既定的密码应用安全管理制度，应定期开展密码应用安全性评估及攻防对抗演习，并根据评估结果进行整改。</w:t>
                  </w:r>
                </w:p>
              </w:tc>
            </w:tr>
            <w:tr>
              <w:tc>
                <w:tcPr>
                  <w:tcW w:type="dxa" w:w="1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应急处置</w:t>
                  </w: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应急策略</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应制定密码应用应急策略，做好应急资源准备，当密码应用安全事件发生时，应立即启动应急处置措施，结合实际情况及时处置。</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事件处置</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事件发生后，应及时向信息系统主管部门进行报告。</w:t>
                  </w:r>
                </w:p>
              </w:tc>
            </w:tr>
            <w:tr>
              <w:tc>
                <w:tcPr>
                  <w:tcW w:type="dxa" w:w="189"/>
                  <w:vMerge/>
                  <w:tcBorders>
                    <w:top w:val="none" w:color="000000" w:sz="4"/>
                    <w:left w:val="single" w:color="000000" w:sz="4"/>
                    <w:bottom w:val="single" w:color="000000" w:sz="4"/>
                    <w:right w:val="single" w:color="000000" w:sz="4"/>
                  </w:tcBorders>
                </w:tcPr>
                <w:p/>
              </w:tc>
              <w:tc>
                <w:tcPr>
                  <w:tcW w:type="dxa" w:w="5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向有关主管部门上报处置情况</w:t>
                  </w:r>
                </w:p>
              </w:tc>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事件处置完成后，应及时向信息系统主管部门及归属的密码管理部门报告事件发生情况及处置情况。</w:t>
                  </w:r>
                </w:p>
              </w:tc>
            </w:tr>
          </w:tbl>
          <w:p>
            <w:pPr>
              <w:pStyle w:val="null3"/>
              <w:jc w:val="left"/>
              <w:outlineLvl w:val="0"/>
            </w:pPr>
            <w:r>
              <w:rPr>
                <w:rFonts w:ascii="仿宋_GB2312" w:hAnsi="仿宋_GB2312" w:cs="仿宋_GB2312" w:eastAsia="仿宋_GB2312"/>
                <w:sz w:val="24"/>
                <w:b/>
                <w:color w:val="0000FF"/>
              </w:rPr>
              <w:t>4.</w:t>
            </w:r>
            <w:r>
              <w:rPr>
                <w:rFonts w:ascii="仿宋_GB2312" w:hAnsi="仿宋_GB2312" w:cs="仿宋_GB2312" w:eastAsia="仿宋_GB2312"/>
                <w:sz w:val="24"/>
                <w:b/>
                <w:color w:val="0000FF"/>
              </w:rPr>
              <w:t>服务要求</w:t>
            </w:r>
          </w:p>
          <w:p>
            <w:pPr>
              <w:pStyle w:val="null3"/>
              <w:jc w:val="left"/>
              <w:outlineLvl w:val="1"/>
            </w:pPr>
            <w:r>
              <w:rPr>
                <w:rFonts w:ascii="仿宋_GB2312" w:hAnsi="仿宋_GB2312" w:cs="仿宋_GB2312" w:eastAsia="仿宋_GB2312"/>
                <w:sz w:val="24"/>
                <w:b/>
                <w:color w:val="0000FF"/>
              </w:rPr>
              <w:t>4.1</w:t>
            </w:r>
            <w:r>
              <w:rPr>
                <w:rFonts w:ascii="仿宋_GB2312" w:hAnsi="仿宋_GB2312" w:cs="仿宋_GB2312" w:eastAsia="仿宋_GB2312"/>
                <w:sz w:val="24"/>
                <w:b/>
                <w:color w:val="0000FF"/>
              </w:rPr>
              <w:t>技术要求</w:t>
            </w:r>
          </w:p>
          <w:p>
            <w:pPr>
              <w:pStyle w:val="null3"/>
              <w:ind w:firstLine="480"/>
              <w:jc w:val="left"/>
            </w:pPr>
            <w:r>
              <w:rPr>
                <w:rFonts w:ascii="仿宋_GB2312" w:hAnsi="仿宋_GB2312" w:cs="仿宋_GB2312" w:eastAsia="仿宋_GB2312"/>
                <w:sz w:val="24"/>
                <w:color w:val="0000FF"/>
              </w:rPr>
              <w:t>测评机构按照</w:t>
            </w:r>
            <w:r>
              <w:rPr>
                <w:rFonts w:ascii="仿宋_GB2312" w:hAnsi="仿宋_GB2312" w:cs="仿宋_GB2312" w:eastAsia="仿宋_GB2312"/>
                <w:sz w:val="24"/>
                <w:color w:val="0000FF"/>
              </w:rPr>
              <w:t>GB/T39786-2021《信息安全技术 信息系统密码应用基本要求》、GB/T43206-2023《信息安全技术信息系统密码应用测评要求》等密评标准对系统进行评估，密码应用测评须满足合规性、正确性、有效性。</w:t>
            </w:r>
          </w:p>
          <w:p>
            <w:pPr>
              <w:pStyle w:val="null3"/>
              <w:ind w:firstLine="480"/>
              <w:jc w:val="left"/>
            </w:pPr>
            <w:r>
              <w:rPr>
                <w:rFonts w:ascii="仿宋_GB2312" w:hAnsi="仿宋_GB2312" w:cs="仿宋_GB2312" w:eastAsia="仿宋_GB2312"/>
                <w:sz w:val="24"/>
                <w:color w:val="0000FF"/>
              </w:rPr>
              <w:t>合规性，指信息系统中的密码算法、密码协议、密钥管理、密码产品和服务使用合规；使用符合国家密码法规和标准规定的商用密码算法，使用经检测认证合格的商用密码产品或服务。</w:t>
            </w:r>
          </w:p>
          <w:p>
            <w:pPr>
              <w:pStyle w:val="null3"/>
              <w:ind w:firstLine="480"/>
              <w:jc w:val="left"/>
            </w:pPr>
            <w:r>
              <w:rPr>
                <w:rFonts w:ascii="仿宋_GB2312" w:hAnsi="仿宋_GB2312" w:cs="仿宋_GB2312" w:eastAsia="仿宋_GB2312"/>
                <w:sz w:val="24"/>
                <w:color w:val="0000FF"/>
              </w:rPr>
              <w:t>正确性，指信息系统中的密码算法、密码协议、密钥管理、密码产品和服务使用正确。即釆用的密码算法、协议和密钥管理机制按照相应的密码国家和行业标准进行正确的设计和实现；密码保障系统建设或改造过程中密码产品和服务的部署和应用正确。</w:t>
            </w:r>
          </w:p>
          <w:p>
            <w:pPr>
              <w:pStyle w:val="null3"/>
              <w:ind w:firstLine="480"/>
              <w:jc w:val="left"/>
            </w:pPr>
            <w:r>
              <w:rPr>
                <w:rFonts w:ascii="仿宋_GB2312" w:hAnsi="仿宋_GB2312" w:cs="仿宋_GB2312" w:eastAsia="仿宋_GB2312"/>
                <w:sz w:val="24"/>
                <w:color w:val="0000FF"/>
              </w:rPr>
              <w:t>有效性，指信息系统釆用的密码协议、密钥管理系统、密码应用子系统和密码安全防护机制不仅设计合理，而且在系统运行过程中能够发挥密码效用，保障信息的机密性、完整性、真实性、抗抵赖性。</w:t>
            </w:r>
          </w:p>
          <w:p>
            <w:pPr>
              <w:pStyle w:val="null3"/>
              <w:jc w:val="left"/>
              <w:outlineLvl w:val="1"/>
            </w:pPr>
            <w:r>
              <w:rPr>
                <w:rFonts w:ascii="仿宋_GB2312" w:hAnsi="仿宋_GB2312" w:cs="仿宋_GB2312" w:eastAsia="仿宋_GB2312"/>
                <w:sz w:val="24"/>
                <w:b/>
                <w:color w:val="0000FF"/>
              </w:rPr>
              <w:t>4.2</w:t>
            </w:r>
            <w:r>
              <w:rPr>
                <w:rFonts w:ascii="仿宋_GB2312" w:hAnsi="仿宋_GB2312" w:cs="仿宋_GB2312" w:eastAsia="仿宋_GB2312"/>
                <w:sz w:val="24"/>
                <w:b/>
                <w:color w:val="0000FF"/>
              </w:rPr>
              <w:t>质量要求</w:t>
            </w:r>
          </w:p>
          <w:p>
            <w:pPr>
              <w:pStyle w:val="null3"/>
              <w:ind w:firstLine="480"/>
              <w:jc w:val="left"/>
            </w:pPr>
            <w:r>
              <w:rPr>
                <w:rFonts w:ascii="仿宋_GB2312" w:hAnsi="仿宋_GB2312" w:cs="仿宋_GB2312" w:eastAsia="仿宋_GB2312"/>
                <w:sz w:val="24"/>
                <w:color w:val="0000FF"/>
              </w:rPr>
              <w:t>完成本项目需求内全部内容，密码应用要求所使用的标准和规范如与建设方所执行的标准不一致时，按较高标准执行。</w:t>
            </w:r>
          </w:p>
          <w:p>
            <w:pPr>
              <w:pStyle w:val="null3"/>
              <w:jc w:val="left"/>
              <w:outlineLvl w:val="1"/>
            </w:pPr>
            <w:r>
              <w:rPr>
                <w:rFonts w:ascii="仿宋_GB2312" w:hAnsi="仿宋_GB2312" w:cs="仿宋_GB2312" w:eastAsia="仿宋_GB2312"/>
                <w:sz w:val="24"/>
                <w:b/>
                <w:color w:val="0000FF"/>
              </w:rPr>
              <w:t>4.3</w:t>
            </w:r>
            <w:r>
              <w:rPr>
                <w:rFonts w:ascii="仿宋_GB2312" w:hAnsi="仿宋_GB2312" w:cs="仿宋_GB2312" w:eastAsia="仿宋_GB2312"/>
                <w:sz w:val="24"/>
                <w:b/>
                <w:color w:val="0000FF"/>
              </w:rPr>
              <w:t>保密要求</w:t>
            </w:r>
          </w:p>
          <w:p>
            <w:pPr>
              <w:pStyle w:val="null3"/>
              <w:ind w:firstLine="480"/>
              <w:jc w:val="left"/>
            </w:pPr>
            <w:r>
              <w:rPr>
                <w:rFonts w:ascii="仿宋_GB2312" w:hAnsi="仿宋_GB2312" w:cs="仿宋_GB2312" w:eastAsia="仿宋_GB2312"/>
                <w:sz w:val="24"/>
                <w:color w:val="0000FF"/>
              </w:rPr>
              <w:t>1、须签订保密协议，对其因身份、职务、职业或技术关系而知悉的商业秘密和党政机关保密信息应严格保守，保证不被披露或使用，包括意外或过失。</w:t>
            </w:r>
          </w:p>
          <w:p>
            <w:pPr>
              <w:pStyle w:val="null3"/>
              <w:ind w:firstLine="480"/>
              <w:jc w:val="left"/>
            </w:pPr>
            <w:r>
              <w:rPr>
                <w:rFonts w:ascii="仿宋_GB2312" w:hAnsi="仿宋_GB2312" w:cs="仿宋_GB2312" w:eastAsia="仿宋_GB2312"/>
                <w:sz w:val="24"/>
                <w:color w:val="0000FF"/>
              </w:rPr>
              <w:t>2、不得以竞争为目的、或出于私利、或为第三人谋利而擅自保存、披露、使用商业秘密和党政机关保密信息；不得直接或间接地向无关人员泄露商业秘密和党政机关保密信息；不得向不承担保密义务的任何第三人披露商业秘密和党政机关保密信息。</w:t>
            </w:r>
          </w:p>
          <w:p>
            <w:pPr>
              <w:pStyle w:val="null3"/>
              <w:jc w:val="left"/>
            </w:pPr>
            <w:r>
              <w:rPr>
                <w:rFonts w:ascii="仿宋_GB2312" w:hAnsi="仿宋_GB2312" w:cs="仿宋_GB2312" w:eastAsia="仿宋_GB2312"/>
                <w:sz w:val="24"/>
                <w:color w:val="0000FF"/>
              </w:rPr>
              <w:t>注：服务内容及要求为实质性要求，不得负偏离。</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陕西省水利信息宣传教育中心指定地点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验收标准：符合国家标准和行业标准及合同要求，符合磋商文件、乙方的响应文件、澄清文件和成交通知书的要求等。 验收条件：乙方严格按照标准及采购人要求实施项目服务，并遵循中华人民共和国及地方的有关法律规范，提交《商用密码应用安全性评估报告》，由采购人组织相关部门进行验收。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进度款，剩余尾款待陕西省水利关键信息基础设施完善与 商用密码应用改造项目通过终验验收合格后，达到付款条件起30个工作日内，支付合同总金额的60.0%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1.按《中华人民共和国民法典》中的相关条款执行。 2.未按合同要求提供服务，质量不能满足技术要求，采购人有权终止合同，并对供应商违约行为进行追究，同时按《中华人民共和国政府采购法》的有关规定进行处罚。3。供应商应保证各项资质证书等在项目履约期间持续有效。4、争议解决途径：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章“3.2服务内容及服务要求”、“3.3商务要求”均为实质性要求，不得负偏离。2、成交人在领取成交通知书时提供一正两副纸质竞争性磋商响应文件。装订：纸质竞争性磋商响应文件采用书籍（胶装）方式装订成册，与电子版文件一致的签字、盖章的完整版本。3.2、担保方式：(任选其一)3.1磋商保证金；3.2担保函（政府采购信用担保机构出具的担保函）。磋商担保应当按照法定形式提交。以电汇、转账等形式交纳保证金的供应商，磋商保证金通过基本账户交纳，招标结束后以转账形式退至供应商基本账户内。磋商保证金交纳凭证以银行凭证及基本账户证明资料为准（未按要求附资料，响应无效）。 未成交的供应商保证金将在成交公告发布后五个工作日内退还，成交人的保证金将在合同签订后五个工作日内退还。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审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供应商应具有国家密码管理局颁发的商用密码检测机构资质证书；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承诺书.docx 报价表 商务条款响应偏离表.docx 法定代表人授权书.docx 响应文件封面 投标分项报价表.docx 《拒绝政府采购领域商业贿赂承诺书》.docx 残疾人福利性单位声明函 服务响应偏离表.docx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服务、商务响应</w:t>
            </w:r>
          </w:p>
        </w:tc>
        <w:tc>
          <w:tcPr>
            <w:tcW w:type="dxa" w:w="3322"/>
          </w:tcPr>
          <w:p>
            <w:pPr>
              <w:pStyle w:val="null3"/>
            </w:pPr>
            <w:r>
              <w:rPr>
                <w:rFonts w:ascii="仿宋_GB2312" w:hAnsi="仿宋_GB2312" w:cs="仿宋_GB2312" w:eastAsia="仿宋_GB2312"/>
              </w:rPr>
              <w:t>对磋商文件服务、商务要求是否做出明确响应，对不得偏离的要求是否做了实质性响应。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磋商保证金交纳凭证（银行凭证及基本账户证明资料）或担保函（政府采购信用担保机构出具的担保函）</w:t>
            </w:r>
          </w:p>
        </w:tc>
        <w:tc>
          <w:tcPr>
            <w:tcW w:type="dxa" w:w="1661"/>
          </w:tcPr>
          <w:p>
            <w:pPr>
              <w:pStyle w:val="null3"/>
            </w:pPr>
            <w:r>
              <w:rPr>
                <w:rFonts w:ascii="仿宋_GB2312" w:hAnsi="仿宋_GB2312" w:cs="仿宋_GB2312" w:eastAsia="仿宋_GB2312"/>
              </w:rPr>
              <w:t>磋商保证金交纳凭证.docx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评审得分相同的，按照最后报价由低到高的顺序推荐。评审得分且最后报价相同的，按照服务方案得分优劣顺序推荐。评审得分且最后报价且技术指标得分均相同的，成交候选供应商并列。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交针对本项目的密评服务方案，内容包括但不限于：①项目需求分析；②项目重难点分析；③密码应用安全性评估方案；④现场测评实施方案；⑤整改咨询与复测方案；⑥测试过程中需要使用测试设备清单等内容。 评审标准： 方案各项内容全面详细、阐述条理清晰详尽、符合本项目采购需求，能有效保障本项目实施的计18分，每有一个缺项扣3分，每存在一个缺陷，扣0.5分，扣完为止。 备注：缺陷是指内容不合理、虽有内容但不完善、内容表述前后不一致、适用标准错误、出现采购人名称或项目名称错误等、套用其他项目方案或与项目需求不匹配及其他不利于项目实施的任意一种情形。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进度计划保障</w:t>
            </w:r>
          </w:p>
        </w:tc>
        <w:tc>
          <w:tcPr>
            <w:tcW w:type="dxa" w:w="2492"/>
          </w:tcPr>
          <w:p>
            <w:pPr>
              <w:pStyle w:val="null3"/>
            </w:pPr>
            <w:r>
              <w:rPr>
                <w:rFonts w:ascii="仿宋_GB2312" w:hAnsi="仿宋_GB2312" w:cs="仿宋_GB2312" w:eastAsia="仿宋_GB2312"/>
              </w:rPr>
              <w:t>投标人提交针对本项目的进度计划保障方案，内容包括但不限于①项目进度计划；②影响因素分析；③影响因素应对措施；④进度监测措施；⑤进度保证措施等内容。 评审标准：方案各项内容全面详细、阐述条理清晰详尽、符合本项目采购需求，能有效保障本项目实施的计15分，每有一个缺项扣3分，每存在一个缺陷，扣0.5分，扣完为止。 备注：缺陷是指内容不合理、虽有内容但不完善、内容表述前后不一致、适用标准错误、出现采购人名称或项目名称错误等、套用其他项目方案或与项目需求不匹配及其他不利于项目实施的任意一种情形。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进度计划保障.docx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投标人提交针对本项目的质量保障方案，内容包括但不限于①质量保障体系；②人员管理；③技术保障；④风险分析及防范措施等内容。 评审标准： 方案各项内容全面详细、阐述条理清晰详尽、符合本项目采购需求，能有效保障本项目实施的计12分，每有一个缺项扣3分，每存在一个缺陷，扣1分，扣完为止。 备注：缺陷是指内容不合理、虽有内容但不完善、内容表述前后不一致、适用标准错误、出现采购人名称或项目名称错误等、套用其他项目方案或与项目需求不匹配及其他不利于项目实施的任意一种情形。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投标人提交针对本项目的安全保密方案，内容包括但不限于①保密管理制度；②保密措施及承诺；③风险评估及应对；④组织保障体系等内容。 评审标注： 方案各项内容全面详细、阐述条理清晰详尽、符合本项目采购需求，能有效保障本项目实施的计8分，每有一个缺项扣2分，每存在一个缺陷，扣0.5分，扣完为止。 备注：缺陷是指内容不合理、虽有内容但不完善、内容表述前后不一致、适用标准错误、出现采购人名称或项目名称错误等、套用其他项目方案或与项目需求不匹配及其他不利于项目实施的任意一种情形。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投标人提交针对本项目的售后服务方案，内容包括但不限于①售后服务网点的设定；②拟投入售后服务人员配置情况；③应急响应服务；④电话支持服务；⑤安全培训服务等内容。 评审标准： 方案各项内容全面详细、阐述条理清晰详尽、符合本项目采购需求，能有效保障本项目实施的计10分，每有一个缺项扣2分，每存在一个缺陷，扣0.5分，扣完为止。 备注：缺陷是指内容不合理、虽有内容但不完善、内容表述前后不一致、适用标准错误、出现采购人名称或项目名称错误等、套用其他项目方案或与项目需求不匹配及其他不利于项目实施的任意一种情形。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测评工具及测评模拟环境</w:t>
            </w:r>
          </w:p>
        </w:tc>
        <w:tc>
          <w:tcPr>
            <w:tcW w:type="dxa" w:w="2492"/>
          </w:tcPr>
          <w:p>
            <w:pPr>
              <w:pStyle w:val="null3"/>
            </w:pPr>
            <w:r>
              <w:rPr>
                <w:rFonts w:ascii="仿宋_GB2312" w:hAnsi="仿宋_GB2312" w:cs="仿宋_GB2312" w:eastAsia="仿宋_GB2312"/>
              </w:rPr>
              <w:t>1.投标人具有密评实施工作使用的自研测评工具，每提供一个得0.5分，最高得2分。 2.投标人具有密码测评的模拟验证环境，得2分。 注：自研测评工具须提供计算机软件著作权登记证书和功能截图；模拟测评环境须提供模拟测评环境的使用说明书、设备清单以及采购合同或发票复印件，否则不得分。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测评工具及测评模拟环境.docx</w:t>
            </w:r>
          </w:p>
        </w:tc>
      </w:tr>
      <w:tr>
        <w:tc>
          <w:tcPr>
            <w:tcW w:type="dxa" w:w="831"/>
            <w:vMerge/>
          </w:tcPr>
          <w:p/>
        </w:tc>
        <w:tc>
          <w:tcPr>
            <w:tcW w:type="dxa" w:w="1661"/>
          </w:tcPr>
          <w:p>
            <w:pPr>
              <w:pStyle w:val="null3"/>
            </w:pPr>
            <w:r>
              <w:rPr>
                <w:rFonts w:ascii="仿宋_GB2312" w:hAnsi="仿宋_GB2312" w:cs="仿宋_GB2312" w:eastAsia="仿宋_GB2312"/>
              </w:rPr>
              <w:t>项目组人员1：项目经理</w:t>
            </w:r>
          </w:p>
        </w:tc>
        <w:tc>
          <w:tcPr>
            <w:tcW w:type="dxa" w:w="2492"/>
          </w:tcPr>
          <w:p>
            <w:pPr>
              <w:pStyle w:val="null3"/>
            </w:pPr>
            <w:r>
              <w:rPr>
                <w:rFonts w:ascii="仿宋_GB2312" w:hAnsi="仿宋_GB2312" w:cs="仿宋_GB2312" w:eastAsia="仿宋_GB2312"/>
              </w:rPr>
              <w:t>1、配备项目经理1人，应具有商用密码应用安全性评估从业人员考核成绩合格证明且考核成绩达到70分及以上，在此基础上具有①信息系统项目管理师（高级）、②信创集成项目管理师（高级）、③信息安全保障人员认证证书（风险管理方向），每提供一个得2分，最高得6分。 注：按上述要求，须提供相应的证书复印件及考核成绩证明复印件，且须提供投标人2026年01月至今任意3个月为其人员缴纳的社保证明材料复印件加盖公章，否则不得分。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2.技术负责人： 配备项目技术负责人1人，应具有商用密码应用安全性评估从业人员考核成绩合格证明且考核成绩达到80分及以上，在此基础上具有①注册密码安全专业人员（NSATP-CSP）证书、②商用密码安全性评估数据分析工程师、③密码技术应用员证书，每提供一个得2分，最高得6分。 注：按上述要求，须提供相应的证书复印件及考核成绩证明复印件，且须提供投标人2026年01月至今任意3个月为其人员缴纳的社保证明材料复印件加盖公章，否则不得分。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项目组人员3：项目团队其他人员</w:t>
            </w:r>
          </w:p>
        </w:tc>
        <w:tc>
          <w:tcPr>
            <w:tcW w:type="dxa" w:w="2492"/>
          </w:tcPr>
          <w:p>
            <w:pPr>
              <w:pStyle w:val="null3"/>
            </w:pPr>
            <w:r>
              <w:rPr>
                <w:rFonts w:ascii="仿宋_GB2312" w:hAnsi="仿宋_GB2312" w:cs="仿宋_GB2312" w:eastAsia="仿宋_GB2312"/>
              </w:rPr>
              <w:t>拟投入本项目的其他人员（不含项目经理及技术负责人）配备不少于6名的测评实施人员，且具有商用密码应用安全性评估从业人员考核成绩合格证明。 在此基础上团队成员中有①密码技术应用员证书、②信息安全工程师证书、③注册信息安全工程师（CISE）证书、④信息安全保障人员认证证书（应急服务方向）、⑤网络工程师证书、⑥数据安全工程师证书中任意一项的，得1分，最多得6分。同一人员提供多个证书、同一证书提供多次的只得1分。 注：按上述要求，须提供相应的证书复印件及考核成绩证明复印件，且须提供投标人2026年01月至今任意3个月为其人员缴纳的社保证明材料复印件加盖公章，否则不得分。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投标人具有商用密码应用安全性评估领域的业绩合同（2024年01月01日至今），每提供一个得1分，最高得5分。 注：提供合同至少包含合同首页、签章页以及能体现合同签订时间、项目内容的关键页复印件。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磋商文件要求且磋商价格最低的磋商报价为评标基准价，其价格分为满分。其他供应商的价格分统一按照下列公式计算： 磋商报价得分=(磋商基准价／磋商报价)×价格权值×100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详见附件：进度计划保障.docx</w:t>
      </w:r>
    </w:p>
    <w:p>
      <w:pPr>
        <w:pStyle w:val="null3"/>
        <w:ind w:firstLine="960"/>
      </w:pPr>
      <w:r>
        <w:rPr>
          <w:rFonts w:ascii="仿宋_GB2312" w:hAnsi="仿宋_GB2312" w:cs="仿宋_GB2312" w:eastAsia="仿宋_GB2312"/>
        </w:rPr>
        <w:t>详见附件：安全保密方案.docx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详见附件：测评工具及测评模拟环境.docx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详见附件：磋商保证金交纳凭证.docx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详见附件：质量保障.docx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