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版本号：ZMZB2026YXY-29420260730001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未央校区教职工餐厅饮食物资配送服务项目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ZMZB2026YXY-294</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未央校区教职工餐厅饮食物资配送服务项目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ZMZB2026YXY-294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未央校区教职工餐厅饮食物资配送服务项目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未央校区教职工餐厅饮食物资配送服务项目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7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特定资格：供应商为生产厂家，须提供《食品生产许可证》、《食品经营许可证》及大肉生产厂家的《动物防疫条件合格证》；供应商为代理商，须具有合法有效的《食品经营许可证》或预包装经营备案表及大肉生产厂家的《动物防疫条件合格证》，供应商须承诺供货时提供生产厂家的生产许可证、食品合格证承诺书。</w:t>
      </w:r>
    </w:p>
    <w:p>
      <w:pPr>
        <w:pStyle w:val="null3"/>
      </w:pPr>
      <w:r>
        <w:rPr>
          <w:rFonts w:ascii="仿宋_GB2312" w:hAnsi="仿宋_GB2312" w:cs="仿宋_GB2312" w:eastAsia="仿宋_GB2312"/>
        </w:rPr>
        <w:t>8、参加政府采购活动前3年内在经营活动中没有重大违法记录的书面声明：参加政府采购活动前3年内在经营活动中没有重大违法记录的书面声明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采购包1保证金金额：39,400.00元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说明：合同签订后，中标供应商交纳履约保证金（合同金额的5 %）到采购需求单位指定账户，履约期满后一次性无息返还至中标供应商。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文件等法律法规规定的计价标准80%收取（含税），采购金额50万（不含）以下的项目不下浮 ，按照中标金额差额定率累进法计算，由中标/成交单位一次性支付给代理机构。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根据招标文件、投标文件以及合同条款执行。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按照《学校食堂大宗食材采购验收管理工作指引》及《西安医学院采购项目履约验收管理办法（试行）》执行。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未央校区教职工餐厅饮食物资招标采购项目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w:t>
      </w:r>
    </w:p>
    <w:p>
      <w:pPr>
        <w:pStyle w:val="null3"/>
      </w:pPr>
      <w:r>
        <w:rPr>
          <w:rFonts w:ascii="仿宋_GB2312" w:hAnsi="仿宋_GB2312" w:cs="仿宋_GB2312" w:eastAsia="仿宋_GB2312"/>
        </w:rPr>
        <w:t>采购包最高限价（元）: 1,970,000.00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教职工餐厅饮食物资配送服务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标的名称：教职工餐厅饮食物资配送服务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0"/>
              <w:gridCol w:w="347"/>
              <w:gridCol w:w="1936"/>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1、干菜、调料</w:t>
                  </w:r>
                </w:p>
                <w:tbl>
                  <w:tblPr>
                    <w:tblInd w:type="dxa" w:w="525"/>
                    <w:tblBorders>
                      <w:top w:val="none" w:color="000000" w:sz="4"/>
                      <w:left w:val="none" w:color="000000" w:sz="4"/>
                      <w:bottom w:val="none" w:color="000000" w:sz="4"/>
                      <w:right w:val="none" w:color="000000" w:sz="4"/>
                      <w:insideH w:val="none"/>
                      <w:insideV w:val="none"/>
                    </w:tblBorders>
                  </w:tblPr>
                  <w:tblGrid>
                    <w:gridCol w:w="430"/>
                    <w:gridCol w:w="430"/>
                    <w:gridCol w:w="430"/>
                    <w:gridCol w:w="430"/>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调料</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所供产品符合国家相关标准，外包装标明品名、厂名、重量、生产日期、保质期或保存期、执行标准，剩余保存期不少于保质期的三分之二，具有产品合格证。</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大型农贸市场的零售价</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干货</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所供产品符合国家相关标准，无发霉、无变质、无变味；不掺杂、不掺假、不掺水、干货无受潮</w:t>
                        </w:r>
                      </w:p>
                    </w:tc>
                    <w:tc>
                      <w:tcPr>
                        <w:tcW w:type="dxa" w:w="430"/>
                        <w:vMerge/>
                        <w:tcBorders>
                          <w:top w:val="none" w:color="000000" w:sz="4"/>
                          <w:left w:val="none" w:color="000000" w:sz="4"/>
                          <w:bottom w:val="single" w:color="000000" w:sz="4"/>
                          <w:right w:val="single" w:color="000000" w:sz="4"/>
                        </w:tcBorders>
                      </w:tcPr>
                      <w:p/>
                    </w:tc>
                  </w:tr>
                </w:tbl>
                <w:p>
                  <w:pPr>
                    <w:pStyle w:val="null3"/>
                    <w:jc w:val="both"/>
                  </w:p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2、肉类、冻货</w:t>
                  </w:r>
                </w:p>
                <w:tbl>
                  <w:tblPr>
                    <w:tblBorders>
                      <w:top w:val="none" w:color="000000" w:sz="4"/>
                      <w:left w:val="none" w:color="000000" w:sz="4"/>
                      <w:bottom w:val="none" w:color="000000" w:sz="4"/>
                      <w:right w:val="none" w:color="000000" w:sz="4"/>
                      <w:insideH w:val="none"/>
                      <w:insideV w:val="none"/>
                    </w:tblBorders>
                  </w:tblPr>
                  <w:tblGrid>
                    <w:gridCol w:w="175"/>
                    <w:gridCol w:w="312"/>
                    <w:gridCol w:w="154"/>
                    <w:gridCol w:w="209"/>
                    <w:gridCol w:w="611"/>
                    <w:gridCol w:w="258"/>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最高限价（元）</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后腿肉（包含加工类）</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鲜肉产品为在政府规定的屠宰场所屠杀的生鲜禽畜肉，符合国家食品安全标准，非病死禽畜肉，非</w:t>
                        </w:r>
                        <w:r>
                          <w:rPr>
                            <w:rFonts w:ascii="仿宋_GB2312" w:hAnsi="仿宋_GB2312" w:cs="仿宋_GB2312" w:eastAsia="仿宋_GB2312"/>
                            <w:sz w:val="21"/>
                          </w:rPr>
                          <w:t>“注水”禽畜肉、母猪肉、老猪肉；有相应的检验、检疫证明；新鲜的肉类，表面有光泽，颜色均匀，有弹性，不得呈现青紫色死斑。</w:t>
                        </w:r>
                      </w:p>
                    </w:tc>
                    <w:tc>
                      <w:tcPr>
                        <w:tcW w:type="dxa" w:w="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参考西安市发改委发布的西安市</w:t>
                        </w:r>
                        <w:r>
                          <w:rPr>
                            <w:rFonts w:ascii="仿宋_GB2312" w:hAnsi="仿宋_GB2312" w:cs="仿宋_GB2312" w:eastAsia="仿宋_GB2312"/>
                            <w:sz w:val="21"/>
                          </w:rPr>
                          <w:t>“菜篮子”主要商品价格信息公开表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精瘦肉（去皮去骨）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tcBorders>
                          <w:top w:val="none" w:color="000000" w:sz="4"/>
                          <w:left w:val="non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tcBorders>
                          <w:top w:val="none" w:color="000000" w:sz="4"/>
                          <w:left w:val="non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羊肉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tcBorders>
                          <w:top w:val="none" w:color="000000" w:sz="4"/>
                          <w:left w:val="non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普五花肉（包含加工类）</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1"/>
                        <w:vMerge/>
                        <w:tcBorders>
                          <w:top w:val="none" w:color="000000" w:sz="4"/>
                          <w:left w:val="none" w:color="000000" w:sz="4"/>
                          <w:bottom w:val="single" w:color="000000" w:sz="4"/>
                          <w:right w:val="single" w:color="000000" w:sz="4"/>
                        </w:tcBorders>
                      </w:tcPr>
                      <w:p/>
                    </w:tc>
                    <w:tc>
                      <w:tcPr>
                        <w:tcW w:type="dxa" w:w="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询价</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前腿肉（丝</w:t>
                        </w:r>
                        <w:r>
                          <w:rPr>
                            <w:rFonts w:ascii="仿宋_GB2312" w:hAnsi="仿宋_GB2312" w:cs="仿宋_GB2312" w:eastAsia="仿宋_GB2312"/>
                            <w:sz w:val="21"/>
                          </w:rPr>
                          <w:t>.片.绞肉）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tcBorders>
                          <w:top w:val="none" w:color="000000" w:sz="4"/>
                          <w:left w:val="non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精五花</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tcBorders>
                          <w:top w:val="none" w:color="000000" w:sz="4"/>
                          <w:left w:val="non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vMerge/>
                        <w:tcBorders>
                          <w:top w:val="none" w:color="000000" w:sz="4"/>
                          <w:left w:val="non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琵琶腿</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冷冻产品包装完好，符合国家质量标准，有产品合格证明或质检报告等。</w:t>
                        </w:r>
                      </w:p>
                    </w:tc>
                    <w:tc>
                      <w:tcPr>
                        <w:tcW w:type="dxa" w:w="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固定单价</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毛毛肉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玉米粒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脆香鸡（大）</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原味台肠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狮子头</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黄金鱼豆腐（大）</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撒尿牛丸</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包心鱼丸</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黄金脆骨丸</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仿蟹肉棒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蟹排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霞迷饺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龙虾球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紫薯球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雪花培根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腊肠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夹心鱼排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亲亲肠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鱼味卷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三文治（大）</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火腿片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农家排腿</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手抓饼（葱香）</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大麻球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千页豆腐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香豆腐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脆皮肠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玉米香肠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鲍鱼片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小油条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虾卷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龙虾排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甜不辣</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涮肉卷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巴沙鱼片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金丝卷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锅包肉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鸡柳</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燕饺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五彩包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紫薯包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酸奶包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巴沙鱼（去皮）</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夹心鱼排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里脊肉串</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玉米棒（白）</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腿肉丁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老母鸡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糖醋里脊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鱼肉卷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鸡带骨上腿块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饺子（韭菜鸡蛋）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腿碎肉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c>
                      <w:tcPr>
                        <w:tcW w:type="dxa" w:w="611"/>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r>
                </w:tbl>
                <w:p>
                  <w:pPr>
                    <w:pStyle w:val="null3"/>
                    <w:jc w:val="both"/>
                  </w:p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3、水果</w:t>
                  </w:r>
                </w:p>
                <w:tbl>
                  <w:tblPr>
                    <w:tblBorders>
                      <w:top w:val="none" w:color="000000" w:sz="4"/>
                      <w:left w:val="none" w:color="000000" w:sz="4"/>
                      <w:bottom w:val="none" w:color="000000" w:sz="4"/>
                      <w:right w:val="none" w:color="000000" w:sz="4"/>
                      <w:insideH w:val="none"/>
                      <w:insideV w:val="none"/>
                    </w:tblBorders>
                  </w:tblPr>
                  <w:tblGrid>
                    <w:gridCol w:w="130"/>
                    <w:gridCol w:w="413"/>
                    <w:gridCol w:w="212"/>
                    <w:gridCol w:w="632"/>
                    <w:gridCol w:w="331"/>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价格</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浆果类（葡萄、猕猴桃、树莓、草莓、石榴等）</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观饱满，无空壳，皱皮，干涩；色泽鲜亮，无变色；软硬适中；无外力造成的机械伤（挤伤、压伤、碰伤、切口，裂伤等）。无病虫害，表面无虫眼，中间无虫卵遗留；成熟度适中，无过熟，未熟情况；无污染残留农药；符合国家农残标准。</w:t>
                        </w:r>
                      </w:p>
                    </w:tc>
                    <w:tc>
                      <w:tcPr>
                        <w:tcW w:type="dxa" w:w="3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参考西安市发改委发布的西安市</w:t>
                        </w:r>
                        <w:r>
                          <w:rPr>
                            <w:rFonts w:ascii="仿宋_GB2312" w:hAnsi="仿宋_GB2312" w:cs="仿宋_GB2312" w:eastAsia="仿宋_GB2312"/>
                            <w:sz w:val="21"/>
                          </w:rPr>
                          <w:t>“菜篮子”主要商品价格信息公开表</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瓜果类（西瓜、哈密瓜、甜瓜等）</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32"/>
                        <w:vMerge/>
                        <w:tcBorders>
                          <w:top w:val="none" w:color="000000" w:sz="4"/>
                          <w:left w:val="non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柑橘类（柑、橘、橙、柚、柠檬等）</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32"/>
                        <w:vMerge/>
                        <w:tcBorders>
                          <w:top w:val="none" w:color="000000" w:sz="4"/>
                          <w:left w:val="non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核果类（桃、杏、李、樱桃、梅子等）</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32"/>
                        <w:vMerge/>
                        <w:tcBorders>
                          <w:top w:val="none" w:color="000000" w:sz="4"/>
                          <w:left w:val="non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r>
                </w:tbl>
                <w:p>
                  <w:pPr>
                    <w:pStyle w:val="null3"/>
                    <w:jc w:val="both"/>
                  </w:p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4、蔬菜、鸡蛋</w:t>
                  </w:r>
                </w:p>
                <w:tbl>
                  <w:tblPr>
                    <w:tblBorders>
                      <w:top w:val="none" w:color="000000" w:sz="4"/>
                      <w:left w:val="none" w:color="000000" w:sz="4"/>
                      <w:bottom w:val="none" w:color="000000" w:sz="4"/>
                      <w:right w:val="none" w:color="000000" w:sz="4"/>
                      <w:insideH w:val="none"/>
                      <w:insideV w:val="none"/>
                    </w:tblBorders>
                  </w:tblPr>
                  <w:tblGrid>
                    <w:gridCol w:w="146"/>
                    <w:gridCol w:w="368"/>
                    <w:gridCol w:w="163"/>
                    <w:gridCol w:w="834"/>
                    <w:gridCol w:w="209"/>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价格</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绿叶菜类蔬菜（菠菜、芹菜、生菜、香菜等）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观鲜嫩形态好，色泽正常，茎基部削平，无枯黄叶、病叶、泥土、明显机械伤和病虫害伤，无烧心焦边、腐烂等现象，无抽苔（菜心除外），无异味，结球叶菜要结球适度，花椰菜应新鲜洁白，不带叶麸，无畸形花。符合国家农残标准。</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参考西安市发改委发布的西安市</w:t>
                        </w:r>
                        <w:r>
                          <w:rPr>
                            <w:rFonts w:ascii="仿宋_GB2312" w:hAnsi="仿宋_GB2312" w:cs="仿宋_GB2312" w:eastAsia="仿宋_GB2312"/>
                            <w:sz w:val="21"/>
                          </w:rPr>
                          <w:t>“菜篮子”主要商品价格信息公开表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白菜类蔬菜（大白菜、小白菜、白菜花、卷心菜等）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外观鲜嫩形态好，色泽正常、无枯黄叶、病叶、泥土、明显机械伤和病虫害伤，无烧心焦边、腐烂等现象，，无异味，新鲜洁白，不带叶麸，无畸形花。符合国家农残标准。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豆类蔬菜（毛豆、四季豆、长豇豆等）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无虫害、色泽一致，无疤点，无断裂，无腐烂、异味、明显机械伤，符合国家农残标准。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根菜类蔬菜（萝卜、胡萝卜等）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皮细光滑，外观脆嫩致密新鲜，无腐烂、裂痕、糠心、异味，不带泥沙，不带茎叶和须根，符合国家农残标准。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薯芋类蔬菜（马铃薯、芋、姜等）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色泽一致，不带泥沙，不带须根、茎叶，不干瘪，无腐烂、异味、明显机械伤、病虫害斑，马铃薯无发芽，皮不变绿，符合国家农残标准。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葱蒜类蔬菜（葱、蒜、韭菜、洋葱等）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葱、青蒜类保留干净须根，葱、蒜、韭菜不带老叶，蒜头、洋葱去根去枯叶，可食部分新鲜幼嫩，无腐烂、异味。符合国家农残标准。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水生蔬菜（藕、慈菇、茭白、马蹄、菱等）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成熟度适中，无腐烂、异味，无明显机械伤，不带泥土和杂质，不干瘪，茭白不黑心，符合国家农残标准。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芽菜类蔬菜（绿豆芽、黄豆芽、香椿苗等）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芽苗幼嫩，不带豆壳杂质，新鲜，不浸水，无腐烂、异味。符合国家农残标准。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茄果类蔬菜（茄子、西红柿、辣椒等）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外观饱满，无空壳，皱皮，干涩；色泽鲜亮，无变色；软硬适中；无外力造成的机械伤（挤伤、压伤、碰伤、切口，裂伤等）；符合国家农残标准。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瓜果类蔬菜（</w:t>
                        </w:r>
                        <w:r>
                          <w:rPr>
                            <w:rFonts w:ascii="仿宋_GB2312" w:hAnsi="仿宋_GB2312" w:cs="仿宋_GB2312" w:eastAsia="仿宋_GB2312"/>
                            <w:sz w:val="21"/>
                          </w:rPr>
                          <w:t>南瓜、黄瓜、冬瓜、西葫芦等）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无病虫害，表面无虫眼，中间无虫卵遗留；成熟度适中，无过熟，未熟情况；符合国家农残标准。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食用菌类蔬菜（香菇、金针菇、平菇等）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无污染残留农药；符合国家农残标准。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其他类（玉米、黏玉米等）</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符合国家农残标准。</w:t>
                        </w:r>
                      </w:p>
                    </w:tc>
                    <w:tc>
                      <w:tcPr>
                        <w:tcW w:type="dxa" w:w="209"/>
                        <w:vMerge/>
                        <w:tcBorders>
                          <w:top w:val="none" w:color="000000" w:sz="4"/>
                          <w:left w:val="singl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鸡蛋</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新鲜，蛋壳整洁，蛋白浓厚或稍稀薄，蛋黄居中或略偏。使用标准包装，如纸板箱分级装箱，内衬纸板格或蛋模，包装应适于贮存、搬运、倒垛及运输。鲜鸡蛋应符合食品安全国家标准</w:t>
                        </w:r>
                        <w:r>
                          <w:rPr>
                            <w:rFonts w:ascii="仿宋_GB2312" w:hAnsi="仿宋_GB2312" w:cs="仿宋_GB2312" w:eastAsia="仿宋_GB2312"/>
                            <w:sz w:val="21"/>
                          </w:rPr>
                          <w:t>；每个不少于</w:t>
                        </w:r>
                        <w:r>
                          <w:rPr>
                            <w:rFonts w:ascii="仿宋_GB2312" w:hAnsi="仿宋_GB2312" w:cs="仿宋_GB2312" w:eastAsia="仿宋_GB2312"/>
                            <w:sz w:val="21"/>
                          </w:rPr>
                          <w:t>60克。</w:t>
                        </w:r>
                      </w:p>
                    </w:tc>
                    <w:tc>
                      <w:tcPr>
                        <w:tcW w:type="dxa" w:w="209"/>
                        <w:vMerge/>
                        <w:tcBorders>
                          <w:top w:val="none" w:color="000000" w:sz="4"/>
                          <w:left w:val="single" w:color="000000" w:sz="4"/>
                          <w:bottom w:val="single" w:color="000000" w:sz="4"/>
                          <w:right w:val="single" w:color="000000" w:sz="4"/>
                        </w:tcBorders>
                      </w:tcPr>
                      <w:p/>
                    </w:tc>
                  </w:tr>
                  <w:tr>
                    <w:tc>
                      <w:tcPr>
                        <w:tcW w:type="dxa" w:w="17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备注：蔬菜分类说明：按照</w:t>
                        </w:r>
                        <w:r>
                          <w:rPr>
                            <w:rFonts w:ascii="仿宋_GB2312" w:hAnsi="仿宋_GB2312" w:cs="仿宋_GB2312" w:eastAsia="仿宋_GB2312"/>
                            <w:sz w:val="21"/>
                          </w:rPr>
                          <w:t>《新鲜蔬菜分类与代码</w:t>
                        </w:r>
                        <w:r>
                          <w:rPr>
                            <w:rFonts w:ascii="仿宋_GB2312" w:hAnsi="仿宋_GB2312" w:cs="仿宋_GB2312" w:eastAsia="仿宋_GB2312"/>
                            <w:sz w:val="21"/>
                          </w:rPr>
                          <w:t>SB T 10029-2012》分类</w:t>
                        </w:r>
                      </w:p>
                    </w:tc>
                  </w:tr>
                </w:tbl>
                <w:p>
                  <w:pPr>
                    <w:pStyle w:val="null3"/>
                    <w:jc w:val="both"/>
                  </w:p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二、服务内容和标准</w:t>
                  </w:r>
                </w:p>
                <w:p>
                  <w:pPr>
                    <w:pStyle w:val="null3"/>
                    <w:spacing w:after="150"/>
                    <w:jc w:val="both"/>
                  </w:pPr>
                  <w:r>
                    <w:rPr>
                      <w:rFonts w:ascii="仿宋_GB2312" w:hAnsi="仿宋_GB2312" w:cs="仿宋_GB2312" w:eastAsia="仿宋_GB2312"/>
                      <w:sz w:val="20"/>
                      <w:color w:val="000000"/>
                    </w:rPr>
                    <w:t>1.总体要求：成交供应商能够准确、按时配送品质优良、价格适中的各类食材到甲方指定地点；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有包装的产品，包装应该有产品名称、厂名、厂址或出产地等。</w:t>
                  </w:r>
                </w:p>
                <w:p>
                  <w:pPr>
                    <w:pStyle w:val="null3"/>
                    <w:jc w:val="both"/>
                  </w:pPr>
                  <w:r>
                    <w:rPr>
                      <w:rFonts w:ascii="仿宋_GB2312" w:hAnsi="仿宋_GB2312" w:cs="仿宋_GB2312" w:eastAsia="仿宋_GB2312"/>
                      <w:sz w:val="20"/>
                    </w:rPr>
                    <w:t>2.服务标准：每天按时按点按照甲方前一天的采购食材计划表将所有食材送到甲方指定地点（甲方前一天18:00之前下单订货，乙方须次日06：30之前送至指定地点）。供货商应提供合格产品，确保食品安全，采购人将对每批次送达的食材进行留样。</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根据招标文件、响应文件及合同约定执行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根据招标文件、响应文件及合同约定执行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西安医学院教职工食堂指定地点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（1）乙方必须确保供应的干货调料、肉类冻货、水果、蔬菜鸡蛋等符合国家食品质量和卫生标准，初加工食品原料不得采用边角料以次充好。 （2）乙方能提供每日所配送物资的检测合格报告。 （3）甲方验收为准，参照《食堂大宗物资验收管理办法》执行。 （4）验收时，所供物资数量、质量不符合要求的，甲方有权要求乙方进行调换或补充，由此产生的费用由乙方承担。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月底对当月货款进行结算。每月月底双方根据当月实际送货情况进行结算，根据核对无误后的结算金额西安医学院为开具合法票据。在收到供货方正式票据后10个工作日内以转账支票方式支付结算货款（寒暑假顺延），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以合同文本描述的有关要求为准。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货物包装运输、供货时间、供货地点、技术保障等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须按照要求的时间及时将所订购的货物送至西安医学院教职工食堂指定地点，并配合验收人员，对所送食材进行初步验收。 2.付款要求： 每月月底对当月货款进行结算。每月月底双方根据当月实际送货情况进行结算，根据核对无误后的结算金额西安医学院为开具合法票据。在收到供货方正式票据后10个工作日内以转账支票方式支付结算货款（寒暑假顺延） 3.报价要求：本项目报优惠率。 4.投标保证金以电子保函形式递交需在开标前给shanxizhuoming_zb@163.com发一份扫描件。 5.供应商投标保证金缴纳完成后请致电代理机构财务部门确认投标保证金到账情况，电话：029-88225322。 6.因系统受限，各供应商在开标一览表报蔬菜类的优惠率。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为生产厂家，须提供《食品生产许可证》、《食品经营许可证》及大肉生产厂家的《动物防疫条件合格证》；供应商为代理商，须具有合法有效的《食品经营许可证》或预包装经营备案表及大肉生产厂家的《动物防疫条件合格证》，供应商须承诺供货时提供生产厂家的生产许可证、食品合格证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服务期限满足招标文件要求(合格)，服务期限不满足招标文件要求(不合格)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支付约定满足招标文件要求(合格)，支付约定不满足招标文件要求(不合格)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响应文件的签署、盖章符合招标文件要求(合格)，响应文件的签署、盖章不符合招标文件要求 (不合格)</w:t>
            </w:r>
          </w:p>
        </w:tc>
        <w:tc>
          <w:tcPr>
            <w:tcW w:type="dxa" w:w="1661"/>
          </w:tcPr>
          <w:p>
            <w:pPr>
              <w:pStyle w:val="null3"/>
            </w:pPr>
            <w:r>
              <w:rPr>
                <w:rFonts w:ascii="仿宋_GB2312" w:hAnsi="仿宋_GB2312" w:cs="仿宋_GB2312" w:eastAsia="仿宋_GB2312"/>
              </w:rPr>
              <w:t>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响应文件投标有效期符合招标文件要求的(合格)，响应文件无投标有效期或有效期达不到招标文件要求的(不合格)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配送方式</w:t>
            </w:r>
          </w:p>
        </w:tc>
        <w:tc>
          <w:tcPr>
            <w:tcW w:type="dxa" w:w="2492"/>
          </w:tcPr>
          <w:p>
            <w:pPr>
              <w:pStyle w:val="null3"/>
            </w:pPr>
            <w:r>
              <w:rPr>
                <w:rFonts w:ascii="仿宋_GB2312" w:hAnsi="仿宋_GB2312" w:cs="仿宋_GB2312" w:eastAsia="仿宋_GB2312"/>
              </w:rPr>
              <w:t>一、针对本项目的配送方式方案包含：①运输计划；②流程控制；③食材数量管理、食材种类管理；④送货时间、验货标准； 二、评审标准 ： 1、完整性：方案须全面，对本项目具备充分的认识，符合本项目服务总体要求，方案描述详细； 2、可实施性及针对性：切合本项目实际情况，紧扣项目，实施步骤清晰、合理； 三、赋分依据（满分8分） ①运输计划：每完全满足一个评审标准得1分，满分2分；未提供不得分； ②流程控制:每完全满足一个评审标准得1分，满分2分；未提供不得分； ③食材数量管理、食材种类管理:每完全满足一个评审标准得1分，满分2分；未提供不得分； ④送货时间、验货标准:每完全满足一个评审标准得1分，满分2分；未提供不得分；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配送方式.docx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一、针对本项目的管理方案，内容包含：①质量管理；②食材安全管理；③经营管理制度；④物流配送管理制度；⑤档案管理制度；⑥食材储存管理制度 二、评审标准 ：1、完整性：方案须全面，对评审内容中的各项要求描述详细； 2、可实施性及针对性：切合本项目实际情况，紧扣项目，实施步骤清晰、合理； 三、赋分依据（满分12分） ①质量管理：每完全满足一个评审标准得1分，满分2分；未提供不得分； ②食材安全管理:每完全满足一个评审标准1分，满分2分；未提供不得分； ③经营管理制度：每完全满足一个评审标准得1分，满分2分；未提供不得分； ④物流配送管理制度：每完全满足一个评审标准得1分，满分2分；未提供不得分； ⑤档案管理制度：每完全满足一个评审标准得1分，满分2分；未提供不得分； ⑥食材储存管理制度：每完全满足一个评审标准得1分，满分2分；未提供不得分；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一、针对本项目提供售后服务方案，内容包含：①总体售后服务方案；②退换货服务；③售后人员安排；④售后服务响应时间等。 二、 评审标准 ：1、完整性：方案须全面，对评审内容中的各项要求描述详细； 2、可实施性及针对性：切合本项目实际情况，紧扣项目，实施步骤清晰、合理； 三、赋分依据（满分4分） ①总体售后服务方案：每完全满足一个评审标准得0.5分，满分1分；未提供不得分； ②退换货服务：每完全满足一个评审标准0.5分，满分1分；未提供不得分； ③售后人员安排：每完全满足一个评审标准0.5分，满分1分；未提供不得分； ④售后服务响应时间：每完全满足一个评审标准0.5分，满分1分；未提供不得分。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档案管理制度与食材储存管理制度</w:t>
            </w:r>
          </w:p>
        </w:tc>
        <w:tc>
          <w:tcPr>
            <w:tcW w:type="dxa" w:w="2492"/>
          </w:tcPr>
          <w:p>
            <w:pPr>
              <w:pStyle w:val="null3"/>
            </w:pPr>
            <w:r>
              <w:rPr>
                <w:rFonts w:ascii="仿宋_GB2312" w:hAnsi="仿宋_GB2312" w:cs="仿宋_GB2312" w:eastAsia="仿宋_GB2312"/>
              </w:rPr>
              <w:t>①提供完善的档案管理制度（包含食材采购、验收、配送全流程记录档案、索证索票档案等），制度健全、记录完整规范的计3分，制度不完整或未提供的不得分。 ②提供完善的食材储存管理制度（包含分类分区储存、温度湿度控制、先进先出原则、临期预警等），制度健全、措施到位的计3分，制度不完整或未提供的不得分。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档案管理制度与食材储存管理制度.docx</w:t>
            </w:r>
          </w:p>
        </w:tc>
      </w:tr>
      <w:tr>
        <w:tc>
          <w:tcPr>
            <w:tcW w:type="dxa" w:w="831"/>
            <w:vMerge/>
          </w:tcPr>
          <w:p/>
        </w:tc>
        <w:tc>
          <w:tcPr>
            <w:tcW w:type="dxa" w:w="1661"/>
          </w:tcPr>
          <w:p>
            <w:pPr>
              <w:pStyle w:val="null3"/>
            </w:pPr>
            <w:r>
              <w:rPr>
                <w:rFonts w:ascii="仿宋_GB2312" w:hAnsi="仿宋_GB2312" w:cs="仿宋_GB2312" w:eastAsia="仿宋_GB2312"/>
              </w:rPr>
              <w:t>应急供应方案</w:t>
            </w:r>
          </w:p>
        </w:tc>
        <w:tc>
          <w:tcPr>
            <w:tcW w:type="dxa" w:w="2492"/>
          </w:tcPr>
          <w:p>
            <w:pPr>
              <w:pStyle w:val="null3"/>
            </w:pPr>
            <w:r>
              <w:rPr>
                <w:rFonts w:ascii="仿宋_GB2312" w:hAnsi="仿宋_GB2312" w:cs="仿宋_GB2312" w:eastAsia="仿宋_GB2312"/>
              </w:rPr>
              <w:t>一、针对本项目提供的应急供应方案内容包含：①突发公共卫生事件；②极端天气；③市场供应短缺；④车辆故障等 二、评审标准 1、完整性：方案须全面，对评审内容中的各项要求描述详细； 2、可实施性及针对性：切合本项目实际情况，紧扣项目，实施步骤清晰、合理； 三、赋分依据（满分4分） ①突发公共卫生事件：每完全满足一个评审标准得0.5分，满分1分；未提供不得分； ②极端天气：每完全满足一个评审标准0.5分，满分1分；未提供不得分； ③市场供应短缺：每完全满足一个评审标准0.5分，满分1分；未提供不得分； ④车辆故障：每完全满足一个评审标准0.5分，满分1分；未提供不得分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应急供应方案.docx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一、针对本项目提供的人员方案内容包含：①采购经理②配送经理③配送员④仓库管理员⑤质检员⑥安全管理员 ，从人员岗位职责、工作流程、工作规范和标准等方面综合评价。 注：提供人员组织架构说明和人员简历表，以及身份证复印件、本单位劳务合同、社保缴纳证明等材料，未提供证明材料的均不计分。 二、评审标准 1、完整性：方案须全面，对评审内容中的各项要求描述详细； 2、可实施性及针对性：切合本项目实际情况，紧扣项目，实施步骤清晰、合理； 三、赋分依据（满分6分） ①采购经理：每完全满足一个评审标准得0.5分，满分1分；未提供不得分； ②配送经理:每完全满足一个评审标准0.5分，满分1分；未提供不得分； ③配送员：每完全满足一个评审标准得0.5分，满分1分；未提供不得分； ④仓库管理员：每完全满足一个评审标准得0.5分，满分1分；未提供不得分； ⑤质检员：每完全满足一个评审标准得0.5分，满分1分；未提供不得分； ⑥安全管理员：每完全满足一个评审标准得0.5分，满分1分；未提供不得分；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1.针对运输途中产生的破损、胀袋均由投标人免费更换，响应及时完整并能承诺更换的计2分，响应不完整或未提供承诺的均不计分。 2.甲方库存货品保质期到临期时，乙方免费退换，响应及时完整并能承诺退换的计2分，响应不完整或未提供承诺的均不计分。 3.承诺因产品质量或配送造成一切安全问题和后果承担全部责任，响应及时完整并能承诺更换的计3分，响应不完整或未提供承诺的均不计分。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一、针对本项目提供的物资存储能力方案内容包含： ①存储场地配置 ②存储区域功能划分 ③物资出入库管理流程 ④存储环境保障措施 ⑤库存安全管理机制 ⑥应急存储调配方案 从存储能力描述的完整性、场地利用的合理性、管理流程的规范性、保障措施的可行性等方面综合评价。 注：提供存储场地布局说明、存储能力保障方案、相关管理制度文件，以及场地自有或租赁证明、现场实景照片等佐证材料，未提供证明材料的均不计分。 二、评审标准 1、完整性：方案须全面，对评审内容中的各项要求描述详细； 2、可实施性及针对性：切合本项目实际情况，紧扣项目，实施步骤清晰、合理。 三、赋分依据（满分6分） ①存储场地配置：每完全满足一个评审标准得0.5分，满分1分；未提供不得分； ②存储区域功能划分：每完全满足一个评审标准得0.5分，满分1分；未提供不得分； ③物资出入库管理流程：每完全满足一个评审标准得0.5分，满分1分；未提供不得分； ④存储环境保障措施：每完全满足一个评审标准得0.5分，满分1分；未提供不得分； ⑤库存安全管理机制：每完全满足一个评审标准得0.5分，满分1分；未提供不得分； ⑥应急存储调配方案：每完全满足一个评审标准得0.5分，满分1分；未提供不得分。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有符合食品安全运输标准的配送专用车辆，普通配送车辆每提供1辆计1分，共3分。冷链配送车辆每提供1辆计1分，共4分。 注：提供车辆图片、行驶证、车辆登记证书或租赁证明等材料（车辆登记证书或租赁证明需与公司名称或法人一致）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根据供应商提供的2023年6月1日至今所投同类业绩（以合同签订日期为准，仅限供应商本身，提供合同复印件）进行评定，每份计2分，最高计10分。 注：同一采购人不重复计分。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价格分统一采用低价优先法计算，即满足招标文件要求且报价最低的投标报价为评标基准价，其价格分为满分。其他投标人的价格分统一按照下列公式计算： 投标报价得分=(评标基准价／投标报价)×价格权值*100 其中， 干菜、调料类价格权值3%； 肉类（后腿肉（包含加工类）、精瘦肉（去皮去骨）、牛肉、羊肉）价格权值8%；肉类（普五花肉、前腿肉、精五花肉、排骨）价格权值2%； 冻货类价格权值5%； 水果类价格权值3%； 蔬菜类价格权值8%； 鸡蛋类价格权值1%。 最终报价得分=干菜、调料类部分评审报价得分+肉类（后腿肉（包含加工类）、精瘦肉（去皮去骨）、牛肉、羊肉）部分评审报价得分+肉类（普五花肉、前腿肉、精五花肉、排骨）部分评审报价得分+冻货类部分评审报价得分+水果类部分评审报价得分+蔬菜类部分评审报价得分+鸡蛋类部分评审报价得分； 不正当竞争预防措施：评审过程中，认定投标报价有可能影响产品质量或者不能诚信履约的，评审小组应当要求其在评审现场合理的时间内提供成本构成书面说明，并提交相关证明材料。 供应商书面说明应当按照国家财务会计制度的规定要求，逐项就供应点提供的货物、工程和服务的主营业务成本（应根据供应商企业类型予以区别）、税金及附加、销售费用、管理费用、财务费用等成本构成事项详细陈述。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 供应商提供书面说明后，评审小组应当结合采购项目需求、专业实际情况、供应商财务状况报告、与其他供应商比较情况等就供应商书面说明进行审查评价。供应商拒绝或者变相拒绝提供有效书面说明或者书面说明不能证明其报价合理性的，评审小组应当将其响应文件作为无效响应处理。 注：优惠率部分有效最低报价=1-投标最高优惠率；有效投标报价=1-投标优惠率。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详见附件：档案管理制度与食材储存管理制度.docx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详见附件：管理方案.docx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详见附件：配送方式.docx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详见附件：应急供应方案.docx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