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202AD">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bookmarkStart w:id="1" w:name="_GoBack"/>
      <w:bookmarkStart w:id="0" w:name="_Hlk196316158"/>
      <w:r>
        <w:drawing>
          <wp:anchor distT="0" distB="0" distL="114300" distR="114300" simplePos="0" relativeHeight="251659264" behindDoc="1" locked="0" layoutInCell="1" allowOverlap="1">
            <wp:simplePos x="0" y="0"/>
            <wp:positionH relativeFrom="column">
              <wp:posOffset>-353060</wp:posOffset>
            </wp:positionH>
            <wp:positionV relativeFrom="paragraph">
              <wp:posOffset>1270</wp:posOffset>
            </wp:positionV>
            <wp:extent cx="2180590" cy="1541780"/>
            <wp:effectExtent l="0" t="0" r="0" b="0"/>
            <wp:wrapTight wrapText="bothSides">
              <wp:wrapPolygon>
                <wp:start x="4151" y="7473"/>
                <wp:lineTo x="3208" y="7740"/>
                <wp:lineTo x="2264" y="9875"/>
                <wp:lineTo x="2264" y="12277"/>
                <wp:lineTo x="3774" y="13878"/>
                <wp:lineTo x="4151" y="14412"/>
                <wp:lineTo x="5284" y="14412"/>
                <wp:lineTo x="18870" y="13344"/>
                <wp:lineTo x="18870" y="8273"/>
                <wp:lineTo x="5284" y="7473"/>
                <wp:lineTo x="4151" y="7473"/>
              </wp:wrapPolygon>
            </wp:wrapTight>
            <wp:docPr id="1" name="图片 2" descr="mmexport174650426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mmexport1746504262357"/>
                    <pic:cNvPicPr>
                      <a:picLocks noChangeAspect="1"/>
                    </pic:cNvPicPr>
                  </pic:nvPicPr>
                  <pic:blipFill>
                    <a:blip r:embed="rId5"/>
                    <a:stretch>
                      <a:fillRect/>
                    </a:stretch>
                  </pic:blipFill>
                  <pic:spPr>
                    <a:xfrm>
                      <a:off x="0" y="0"/>
                      <a:ext cx="2180590" cy="1541780"/>
                    </a:xfrm>
                    <a:prstGeom prst="rect">
                      <a:avLst/>
                    </a:prstGeom>
                    <a:noFill/>
                    <a:ln>
                      <a:noFill/>
                    </a:ln>
                  </pic:spPr>
                </pic:pic>
              </a:graphicData>
            </a:graphic>
          </wp:anchor>
        </w:drawing>
      </w:r>
      <w:bookmarkEnd w:id="1"/>
    </w:p>
    <w:p w14:paraId="32BECBBE">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2E7D264A">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0F92719C">
      <w:pPr>
        <w:pageBreakBefore w:val="0"/>
        <w:numPr>
          <w:ilvl w:val="0"/>
          <w:numId w:val="0"/>
        </w:numPr>
        <w:kinsoku/>
        <w:wordWrap/>
        <w:overflowPunct/>
        <w:topLinePunct w:val="0"/>
        <w:autoSpaceDE w:val="0"/>
        <w:autoSpaceDN/>
        <w:bidi w:val="0"/>
        <w:adjustRightInd w:val="0"/>
        <w:snapToGrid w:val="0"/>
        <w:spacing w:beforeAutospacing="0" w:after="0" w:afterAutospacing="0" w:line="360" w:lineRule="auto"/>
        <w:jc w:val="both"/>
        <w:rPr>
          <w:rFonts w:ascii="仿宋" w:hAnsi="仿宋" w:eastAsia="仿宋" w:cs="仿宋"/>
          <w:color w:val="FF0000"/>
          <w:sz w:val="30"/>
          <w:szCs w:val="30"/>
          <w:lang w:eastAsia="zh" w:bidi="ar"/>
          <w14:ligatures w14:val="none"/>
        </w:rPr>
      </w:pPr>
    </w:p>
    <w:p w14:paraId="6DE4545C">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lang w:eastAsia="zh"/>
          <w14:ligatures w14:val="none"/>
        </w:rPr>
      </w:pPr>
    </w:p>
    <w:p w14:paraId="48864599">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6A1DA6AF">
      <w:pPr>
        <w:spacing w:after="0" w:line="360" w:lineRule="auto"/>
        <w:jc w:val="center"/>
        <w:rPr>
          <w:rFonts w:ascii="华文仿宋" w:hAnsi="华文仿宋" w:eastAsia="华文仿宋"/>
          <w:b/>
          <w:bCs/>
          <w:sz w:val="28"/>
          <w:szCs w:val="28"/>
        </w:rPr>
      </w:pPr>
      <w:r>
        <w:rPr>
          <w:rFonts w:hint="eastAsia" w:ascii="仿宋" w:hAnsi="仿宋" w:eastAsia="仿宋" w:cs="宋体"/>
          <w:b/>
          <w:bCs/>
          <w:sz w:val="30"/>
          <w:szCs w:val="30"/>
          <w:lang w:bidi="ar"/>
          <w14:ligatures w14:val="none"/>
        </w:rPr>
        <w:t>西安医学院服务类采购合同</w:t>
      </w:r>
    </w:p>
    <w:bookmarkEnd w:id="0"/>
    <w:p w14:paraId="018A368D">
      <w:pPr>
        <w:pageBreakBefore w:val="0"/>
        <w:kinsoku/>
        <w:wordWrap/>
        <w:overflowPunct/>
        <w:topLinePunct w:val="0"/>
        <w:autoSpaceDN/>
        <w:bidi w:val="0"/>
        <w:adjustRightInd w:val="0"/>
        <w:snapToGrid w:val="0"/>
        <w:spacing w:beforeAutospacing="0" w:after="0" w:afterAutospacing="0" w:line="360" w:lineRule="auto"/>
        <w:ind w:firstLine="480" w:firstLineChars="200"/>
        <w:jc w:val="both"/>
        <w:rPr>
          <w:rFonts w:hint="eastAsia" w:ascii="华文仿宋" w:hAnsi="华文仿宋" w:eastAsia="华文仿宋"/>
          <w:sz w:val="24"/>
        </w:rPr>
      </w:pPr>
    </w:p>
    <w:p w14:paraId="418B0D73">
      <w:pPr>
        <w:pageBreakBefore w:val="0"/>
        <w:kinsoku/>
        <w:wordWrap/>
        <w:overflowPunct/>
        <w:topLinePunct w:val="0"/>
        <w:autoSpaceDN/>
        <w:bidi w:val="0"/>
        <w:adjustRightInd w:val="0"/>
        <w:snapToGrid w:val="0"/>
        <w:spacing w:beforeAutospacing="0" w:after="0" w:afterAutospacing="0" w:line="360" w:lineRule="auto"/>
        <w:ind w:firstLine="480" w:firstLineChars="200"/>
        <w:jc w:val="both"/>
        <w:rPr>
          <w:rFonts w:hint="eastAsia" w:ascii="华文仿宋" w:hAnsi="华文仿宋" w:eastAsia="华文仿宋"/>
          <w:sz w:val="24"/>
        </w:rPr>
      </w:pPr>
    </w:p>
    <w:p w14:paraId="05D3B8F2">
      <w:pPr>
        <w:widowControl/>
        <w:shd w:val="clear"/>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lang w:eastAsia="zh"/>
        </w:rPr>
      </w:pPr>
      <w:r>
        <w:rPr>
          <w:rFonts w:ascii="仿宋" w:hAnsi="仿宋" w:eastAsia="仿宋" w:cs="方正仿宋_GB2312"/>
          <w:bCs/>
          <w:color w:val="auto"/>
          <w:kern w:val="0"/>
          <w:sz w:val="28"/>
          <w:szCs w:val="28"/>
          <w:u w:val="none"/>
          <w:shd w:val="clear" w:color="auto" w:fill="FFFFFF"/>
          <w:lang w:bidi="ar"/>
        </w:rPr>
        <w:t>甲方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采购人</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西安医学院   </w:t>
      </w:r>
      <w:r>
        <w:rPr>
          <w:rFonts w:ascii="仿宋" w:hAnsi="仿宋" w:eastAsia="仿宋" w:cs="Times New Roman"/>
          <w:bCs/>
          <w:color w:val="auto"/>
          <w:kern w:val="0"/>
          <w:sz w:val="28"/>
          <w:szCs w:val="28"/>
          <w:u w:val="single"/>
          <w:shd w:val="clear" w:color="auto" w:fill="FFFFFF"/>
          <w:lang w:bidi="ar"/>
        </w:rPr>
        <w:t xml:space="preserve">   </w:t>
      </w:r>
    </w:p>
    <w:p w14:paraId="526CA6CB">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bidi="ar"/>
        </w:rPr>
      </w:pPr>
      <w:r>
        <w:rPr>
          <w:rFonts w:ascii="仿宋" w:hAnsi="仿宋" w:eastAsia="仿宋" w:cs="方正仿宋_GB2312"/>
          <w:bCs/>
          <w:color w:val="auto"/>
          <w:kern w:val="0"/>
          <w:sz w:val="28"/>
          <w:szCs w:val="28"/>
          <w:u w:val="none"/>
          <w:shd w:val="clear" w:color="auto" w:fill="FFFFFF"/>
          <w:lang w:bidi="ar"/>
        </w:rPr>
        <w:t>乙方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供应商</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7C658C19">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u w:val="none"/>
          <w:shd w:val="clear" w:color="auto" w:fill="FFFFFF"/>
          <w:fitText w:val="2240" w:id="915043467"/>
          <w:lang w:eastAsia="zh" w:bidi="ar"/>
        </w:rPr>
        <w:t>合同编号</w:t>
      </w:r>
      <w:r>
        <w:rPr>
          <w:rFonts w:ascii="仿宋" w:hAnsi="仿宋" w:eastAsia="仿宋" w:cs="方正仿宋_GB2312"/>
          <w:bCs/>
          <w:i w:val="0"/>
          <w:iCs w:val="0"/>
          <w:color w:val="auto"/>
          <w:spacing w:val="0"/>
          <w:kern w:val="0"/>
          <w:sz w:val="28"/>
          <w:szCs w:val="28"/>
          <w:u w:val="none"/>
          <w:shd w:val="clear" w:color="auto" w:fill="FFFFFF"/>
          <w:fitText w:val="2240" w:id="915043467"/>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5F524A40">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hint="eastAsia" w:ascii="仿宋" w:hAnsi="仿宋" w:eastAsia="仿宋" w:cs="方正仿宋_GB2312"/>
          <w:bCs/>
          <w:color w:val="auto"/>
          <w:spacing w:val="105"/>
          <w:kern w:val="0"/>
          <w:sz w:val="28"/>
          <w:szCs w:val="28"/>
          <w:u w:val="none"/>
          <w:shd w:val="clear" w:color="auto" w:fill="FFFFFF"/>
          <w:fitText w:val="2240" w:id="193471817"/>
          <w:lang w:eastAsia="zh" w:bidi="ar"/>
        </w:rPr>
        <w:t>项目编号</w:t>
      </w:r>
      <w:r>
        <w:rPr>
          <w:rFonts w:ascii="仿宋" w:hAnsi="仿宋" w:eastAsia="仿宋" w:cs="方正仿宋_GB2312"/>
          <w:bCs/>
          <w:color w:val="auto"/>
          <w:spacing w:val="0"/>
          <w:kern w:val="0"/>
          <w:sz w:val="28"/>
          <w:szCs w:val="28"/>
          <w:u w:val="none"/>
          <w:shd w:val="clear" w:color="auto" w:fill="FFFFFF"/>
          <w:fitText w:val="2240" w:id="193471817"/>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1FB27DAB">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spacing w:val="105"/>
          <w:kern w:val="0"/>
          <w:sz w:val="28"/>
          <w:szCs w:val="28"/>
          <w:u w:val="none"/>
          <w:shd w:val="clear" w:color="auto" w:fill="FFFFFF"/>
          <w:fitText w:val="2240" w:id="917770058"/>
          <w:lang w:bidi="ar"/>
        </w:rPr>
        <w:t>签订地点</w:t>
      </w:r>
      <w:r>
        <w:rPr>
          <w:rFonts w:ascii="仿宋" w:hAnsi="仿宋" w:eastAsia="仿宋" w:cs="方正仿宋_GB2312"/>
          <w:bCs/>
          <w:color w:val="auto"/>
          <w:spacing w:val="0"/>
          <w:kern w:val="0"/>
          <w:sz w:val="28"/>
          <w:szCs w:val="28"/>
          <w:u w:val="none"/>
          <w:shd w:val="clear" w:color="auto" w:fill="FFFFFF"/>
          <w:fitText w:val="2240" w:id="917770058"/>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1EC4BFD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pPr>
    </w:p>
    <w:p w14:paraId="172C399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pPr>
    </w:p>
    <w:p w14:paraId="4155F81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7D3F960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仿宋" w:hAnsi="仿宋" w:eastAsia="仿宋" w:cs="仿宋"/>
          <w:sz w:val="24"/>
        </w:rPr>
      </w:pPr>
      <w:r>
        <w:rPr>
          <w:rFonts w:hint="eastAsia" w:ascii="仿宋" w:hAnsi="仿宋" w:eastAsia="仿宋" w:cs="仿宋"/>
          <w:sz w:val="24"/>
        </w:rPr>
        <w:t>依据《中华人民共和国政府采购法》《中华人民共和国民法典》等相关法律法规，甲、乙双方同意签订本合同。详细技术说明及其他有关合同项目的特定信息由合同附件予以说明。</w:t>
      </w:r>
    </w:p>
    <w:p w14:paraId="5973058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一、项目基本情况：</w:t>
      </w:r>
    </w:p>
    <w:p w14:paraId="460A592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仿宋" w:hAnsi="仿宋" w:eastAsia="仿宋" w:cs="仿宋"/>
          <w:sz w:val="24"/>
          <w:lang w:val="en-US" w:eastAsia="zh-CN"/>
        </w:rPr>
      </w:pPr>
      <w:r>
        <w:rPr>
          <w:rFonts w:hint="eastAsia" w:ascii="仿宋" w:hAnsi="仿宋" w:eastAsia="仿宋" w:cs="仿宋"/>
          <w:sz w:val="24"/>
        </w:rPr>
        <w:t>为保证教职工餐厅饮食物资质量，降低运行成本，对肉类、冻货、蔬菜、干货、调料、鸡蛋、瓜果类饮食物资招标采购，费用自食堂运行经费支出</w:t>
      </w:r>
      <w:r>
        <w:rPr>
          <w:rFonts w:hint="eastAsia" w:ascii="仿宋" w:hAnsi="仿宋" w:eastAsia="仿宋" w:cs="仿宋"/>
          <w:sz w:val="24"/>
          <w:lang w:eastAsia="zh-CN"/>
        </w:rPr>
        <w:t>。</w:t>
      </w:r>
    </w:p>
    <w:p w14:paraId="1ED2C9E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left"/>
        <w:textAlignment w:val="auto"/>
        <w:rPr>
          <w:rFonts w:hint="eastAsia" w:ascii="仿宋" w:hAnsi="仿宋" w:eastAsia="仿宋" w:cs="仿宋"/>
          <w:sz w:val="24"/>
        </w:rPr>
      </w:pPr>
      <w:r>
        <w:rPr>
          <w:rFonts w:hint="eastAsia" w:ascii="仿宋" w:hAnsi="仿宋" w:eastAsia="仿宋" w:cs="仿宋"/>
          <w:sz w:val="24"/>
        </w:rPr>
        <w:t>二、合同期限：服务期限为</w:t>
      </w:r>
      <w:r>
        <w:rPr>
          <w:rFonts w:hint="eastAsia" w:ascii="仿宋" w:hAnsi="仿宋" w:eastAsia="仿宋" w:cs="仿宋"/>
          <w:sz w:val="24"/>
          <w:u w:val="single"/>
          <w:lang w:val="en-US" w:eastAsia="zh-CN"/>
        </w:rPr>
        <w:t>12</w:t>
      </w:r>
      <w:r>
        <w:rPr>
          <w:rFonts w:hint="eastAsia" w:ascii="仿宋" w:hAnsi="仿宋" w:eastAsia="仿宋" w:cs="仿宋"/>
          <w:sz w:val="24"/>
        </w:rPr>
        <w:t>个月。自</w:t>
      </w:r>
      <w:r>
        <w:rPr>
          <w:rFonts w:hint="eastAsia" w:ascii="仿宋" w:hAnsi="仿宋" w:eastAsia="仿宋" w:cs="仿宋"/>
          <w:sz w:val="24"/>
          <w:u w:val="single"/>
        </w:rPr>
        <w:t>   </w:t>
      </w:r>
      <w:r>
        <w:rPr>
          <w:rFonts w:hint="eastAsia" w:ascii="仿宋" w:hAnsi="仿宋" w:eastAsia="仿宋" w:cs="仿宋"/>
          <w:sz w:val="24"/>
          <w:u w:val="single"/>
          <w:lang w:val="en-US" w:eastAsia="zh-CN"/>
        </w:rPr>
        <w:t xml:space="preserve">2026 </w:t>
      </w:r>
      <w:r>
        <w:rPr>
          <w:rFonts w:hint="eastAsia" w:ascii="仿宋" w:hAnsi="仿宋" w:eastAsia="仿宋" w:cs="仿宋"/>
          <w:sz w:val="24"/>
          <w:u w:val="single"/>
        </w:rPr>
        <w:t>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w:t>
      </w:r>
      <w:r>
        <w:rPr>
          <w:rFonts w:hint="eastAsia" w:ascii="仿宋" w:hAnsi="仿宋" w:eastAsia="仿宋" w:cs="仿宋"/>
          <w:sz w:val="24"/>
        </w:rPr>
        <w:t>日至</w:t>
      </w:r>
      <w:r>
        <w:rPr>
          <w:rFonts w:hint="eastAsia" w:ascii="仿宋" w:hAnsi="仿宋" w:eastAsia="仿宋" w:cs="仿宋"/>
          <w:sz w:val="24"/>
          <w:u w:val="single"/>
          <w:lang w:val="en-US" w:eastAsia="zh-CN"/>
        </w:rPr>
        <w:t xml:space="preserve">  2027 </w:t>
      </w:r>
      <w:r>
        <w:rPr>
          <w:rFonts w:hint="eastAsia" w:ascii="仿宋" w:hAnsi="仿宋" w:eastAsia="仿宋" w:cs="仿宋"/>
          <w:sz w:val="24"/>
        </w:rPr>
        <w:t>年</w:t>
      </w:r>
      <w:r>
        <w:rPr>
          <w:rFonts w:hint="eastAsia" w:ascii="仿宋" w:hAnsi="仿宋" w:eastAsia="仿宋" w:cs="仿宋"/>
          <w:sz w:val="24"/>
          <w:u w:val="single"/>
          <w:lang w:val="en-US" w:eastAsia="zh-CN"/>
        </w:rPr>
        <w:t xml:space="preserve">    </w:t>
      </w:r>
      <w:r>
        <w:rPr>
          <w:rFonts w:hint="eastAsia" w:ascii="仿宋" w:hAnsi="仿宋" w:eastAsia="仿宋" w:cs="仿宋"/>
          <w:sz w:val="24"/>
        </w:rPr>
        <w:t>月</w:t>
      </w:r>
      <w:r>
        <w:rPr>
          <w:rFonts w:hint="eastAsia" w:ascii="仿宋" w:hAnsi="仿宋" w:eastAsia="仿宋" w:cs="仿宋"/>
          <w:sz w:val="24"/>
          <w:u w:val="single"/>
          <w:lang w:val="en-US" w:eastAsia="zh-CN"/>
        </w:rPr>
        <w:t xml:space="preserve">   </w:t>
      </w:r>
      <w:r>
        <w:rPr>
          <w:rFonts w:hint="eastAsia" w:ascii="仿宋" w:hAnsi="仿宋" w:eastAsia="仿宋" w:cs="仿宋"/>
          <w:sz w:val="24"/>
        </w:rPr>
        <w:t>日止。</w:t>
      </w:r>
    </w:p>
    <w:p w14:paraId="0309DF7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三、服务内容与质量标准</w:t>
      </w:r>
    </w:p>
    <w:p w14:paraId="3C7F37D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single"/>
          <w:lang w:val="en-US" w:eastAsia="zh-CN"/>
        </w:rPr>
      </w:pPr>
      <w:r>
        <w:rPr>
          <w:rFonts w:hint="eastAsia" w:ascii="仿宋" w:hAnsi="仿宋" w:eastAsia="仿宋" w:cs="仿宋"/>
          <w:sz w:val="24"/>
          <w:u w:val="none"/>
          <w:lang w:val="en-US" w:eastAsia="zh-CN"/>
        </w:rPr>
        <w:t>1.服务内容：蔬菜、瓜果、干货、调料、鸡蛋、</w:t>
      </w:r>
      <w:r>
        <w:rPr>
          <w:rFonts w:hint="default" w:ascii="仿宋" w:hAnsi="仿宋" w:eastAsia="仿宋" w:cs="仿宋"/>
          <w:sz w:val="24"/>
          <w:u w:val="none"/>
          <w:lang w:val="en-US" w:eastAsia="zh-CN"/>
        </w:rPr>
        <w:t>肉类、冻货</w:t>
      </w:r>
      <w:r>
        <w:rPr>
          <w:rFonts w:hint="eastAsia" w:ascii="仿宋" w:hAnsi="仿宋" w:eastAsia="仿宋" w:cs="仿宋"/>
          <w:sz w:val="24"/>
          <w:u w:val="none"/>
          <w:lang w:val="en-US" w:eastAsia="zh-CN"/>
        </w:rPr>
        <w:t>饮食物质配送。</w:t>
      </w:r>
    </w:p>
    <w:p w14:paraId="56A531D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2.质量标准：</w:t>
      </w:r>
    </w:p>
    <w:p w14:paraId="552FCB3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（1）干货：应满足国家标准，不得检出农药残留及非食品添加剂。</w:t>
      </w:r>
    </w:p>
    <w:p w14:paraId="48ACD44C">
      <w:pPr>
        <w:keepNext w:val="0"/>
        <w:keepLines w:val="0"/>
        <w:pageBreakBefore w:val="0"/>
        <w:widowControl w:val="0"/>
        <w:kinsoku/>
        <w:wordWrap w:val="0"/>
        <w:overflowPunct/>
        <w:topLinePunct w:val="0"/>
        <w:autoSpaceDE/>
        <w:autoSpaceDN/>
        <w:bidi w:val="0"/>
        <w:adjustRightInd w:val="0"/>
        <w:snapToGrid w:val="0"/>
        <w:spacing w:beforeAutospacing="0" w:after="0" w:afterAutospacing="0" w:line="560" w:lineRule="exact"/>
        <w:jc w:val="both"/>
        <w:textAlignment w:val="auto"/>
        <w:rPr>
          <w:rFonts w:hint="default" w:ascii="仿宋" w:hAnsi="仿宋" w:eastAsia="仿宋" w:cs="仿宋"/>
          <w:sz w:val="24"/>
          <w:u w:val="none"/>
          <w:lang w:val="en-US" w:eastAsia="zh-CN"/>
        </w:rPr>
      </w:pPr>
      <w:r>
        <w:rPr>
          <w:rFonts w:hint="eastAsia" w:ascii="仿宋" w:hAnsi="仿宋" w:eastAsia="仿宋" w:cs="仿宋"/>
          <w:sz w:val="24"/>
          <w:u w:val="none"/>
          <w:lang w:val="en-US" w:eastAsia="zh-CN"/>
        </w:rPr>
        <w:t>（2）调料：应满足国家标准：GB 31644-2018复合调味料标准、GB/T 12729.1~12729.13-2008 香辛料和调味品等，产品包装外观应无残缺，无破损，不得有发霉等异味，包装要足斤足量，干净整洁，不得受潮，不得破损；应使用无毒卫生的包装；若国家有新标准的，则按新的标准执行。</w:t>
      </w:r>
    </w:p>
    <w:p w14:paraId="4F2B06B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（3）非调料类干货：粉丝、粉条、木耳、腐竹、葡萄干、花生米等，应当不霉、不臭、不酸败、不结晶、无异味、无杂质、无生虫。</w:t>
      </w:r>
    </w:p>
    <w:p w14:paraId="47E6567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4）肉类：鲜肉产品为在政府规定的屠宰场所屠杀的生鲜禽畜肉，符合国家食品安全标准，非病死禽畜肉，非“注水”禽畜肉、母猪肉、老猪肉；有相应的检验、检疫证明；新鲜的肉类，表面有光泽，颜色均匀，有弹性，不得呈现青紫色死斑。</w:t>
      </w:r>
    </w:p>
    <w:p w14:paraId="26362F6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5）蔬菜：蔬菜配送要求蔬菜具有充足的水分，无过分萎蔫、皱皮现象，色泽正常，无变色，光泽、色亮鲜艳。叶菜挺立；瓜菜饱满、结实、无空心；根菜应略硬。无机械伤、病虫害，成熟度适中，无过熟或腐烂，蔬菜无污染、无农药残留，无运输污染。</w:t>
      </w:r>
    </w:p>
    <w:p w14:paraId="4C14559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6）鸡蛋：新鲜，蛋壳整洁，蛋白浓厚或稍稀薄，蛋黄居中或略偏。使用标准包装，如纸板箱分级装箱，内衬纸板格或蛋模，包装应适于贮存、搬运、倒垛及运输。鲜鸡蛋应符合食品安全国家标准和农产品物流包装材料通用技术要求。</w:t>
      </w:r>
    </w:p>
    <w:p w14:paraId="3D5DA2E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（7）瓜果：外观饱满，无烂果，无机械伤，无病虫害，表面无虫眼，中间无虫卵遗留，成熟度适中，无过熟，未熟情况，包装完整干净。</w:t>
      </w:r>
    </w:p>
    <w:p w14:paraId="623BD10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（8）冻货：包装具有《预包装食品标签通则》（GB 7718-2025）强制标示，列出食品名称、配料清单、配料的定量标示、净含量和沥干物（固形物）含量、生产厂商名称和地址、日期标示和贮藏说明、产品标准号、质量（品质）等级等。</w:t>
      </w:r>
    </w:p>
    <w:p w14:paraId="7DA3C0B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（9）调味品以加工方法分四类</w:t>
      </w:r>
    </w:p>
    <w:p w14:paraId="3503AC37">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酿造加工类：如酱油、料酒、醋等；</w:t>
      </w:r>
    </w:p>
    <w:p w14:paraId="2BF1CE6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提炼加工类：如食用糖、味精等；</w:t>
      </w:r>
    </w:p>
    <w:p w14:paraId="46EB6EB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采集加工类：如花椒、胡椒、桂皮、丁香等；</w:t>
      </w:r>
    </w:p>
    <w:p w14:paraId="55ACB35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复合加工类：如胡椒粉、五香粉、十三香等。</w:t>
      </w:r>
    </w:p>
    <w:p w14:paraId="3523D45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default" w:ascii="仿宋" w:hAnsi="仿宋" w:eastAsia="仿宋" w:cs="仿宋"/>
          <w:sz w:val="24"/>
          <w:u w:val="none"/>
          <w:lang w:val="en-US" w:eastAsia="zh-CN"/>
        </w:rPr>
      </w:pPr>
      <w:r>
        <w:rPr>
          <w:rFonts w:hint="eastAsia" w:ascii="仿宋" w:hAnsi="仿宋" w:eastAsia="仿宋" w:cs="仿宋"/>
          <w:sz w:val="24"/>
          <w:u w:val="none"/>
          <w:lang w:val="en-US" w:eastAsia="zh-CN"/>
        </w:rPr>
        <w:t>品质要求：均应当不霉、不臭、不酸败、不结晶、无异味、无杂质、无生虫。</w:t>
      </w:r>
    </w:p>
    <w:p w14:paraId="4E6AD2C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四、服务费用及支付方式</w:t>
      </w:r>
    </w:p>
    <w:p w14:paraId="1536413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1.配送价格含税费、利润、运输、入库等全部费用。</w:t>
      </w:r>
    </w:p>
    <w:p w14:paraId="0943378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具体如下：</w:t>
      </w:r>
    </w:p>
    <w:p w14:paraId="5F3D4E7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（1）干货、调料类以市场调研基准价*（1-</w:t>
      </w:r>
      <w:r>
        <w:rPr>
          <w:rFonts w:hint="eastAsia" w:ascii="仿宋" w:hAnsi="仿宋" w:eastAsia="仿宋" w:cs="仿宋"/>
          <w:sz w:val="24"/>
          <w:lang w:val="en-US" w:eastAsia="zh-CN"/>
        </w:rPr>
        <w:t>下浮率</w:t>
      </w:r>
      <w:r>
        <w:rPr>
          <w:rFonts w:hint="eastAsia" w:ascii="仿宋" w:hAnsi="仿宋" w:eastAsia="仿宋" w:cs="仿宋"/>
          <w:sz w:val="24"/>
        </w:rPr>
        <w:t>%）*实际供应量进行据实结算。</w:t>
      </w:r>
    </w:p>
    <w:p w14:paraId="3147C67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（2）肉类、冻货</w:t>
      </w:r>
    </w:p>
    <w:p w14:paraId="6DC3DDD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default" w:ascii="仿宋" w:hAnsi="仿宋" w:eastAsia="仿宋" w:cs="仿宋"/>
          <w:sz w:val="24"/>
          <w:lang w:val="en-US" w:eastAsia="zh-CN"/>
        </w:rPr>
      </w:pPr>
      <w:r>
        <w:rPr>
          <w:rFonts w:hint="eastAsia" w:ascii="仿宋" w:hAnsi="仿宋" w:eastAsia="仿宋" w:cs="仿宋"/>
          <w:sz w:val="24"/>
        </w:rPr>
        <w:t>①</w:t>
      </w:r>
      <w:r>
        <w:rPr>
          <w:rFonts w:hint="eastAsia" w:ascii="仿宋" w:hAnsi="仿宋" w:eastAsia="仿宋" w:cs="仿宋"/>
          <w:sz w:val="24"/>
          <w:lang w:val="en-US" w:eastAsia="zh-CN"/>
        </w:rPr>
        <w:t>肉类定价以</w:t>
      </w:r>
      <w:r>
        <w:rPr>
          <w:rFonts w:hint="eastAsia" w:ascii="仿宋" w:hAnsi="仿宋" w:eastAsia="仿宋" w:cs="仿宋"/>
          <w:sz w:val="24"/>
        </w:rPr>
        <w:t>菜篮子信息发布平台中列明肉类（后腿肉（包含加工类）、精瘦肉（去皮去骨）、牛肉、羊肉）以官网公布价格*（1-</w:t>
      </w:r>
      <w:r>
        <w:rPr>
          <w:rFonts w:hint="eastAsia" w:ascii="仿宋" w:hAnsi="仿宋" w:eastAsia="仿宋" w:cs="仿宋"/>
          <w:sz w:val="24"/>
          <w:lang w:val="en-US" w:eastAsia="zh-CN"/>
        </w:rPr>
        <w:t>下浮率</w:t>
      </w:r>
      <w:r>
        <w:rPr>
          <w:rFonts w:hint="eastAsia" w:ascii="仿宋" w:hAnsi="仿宋" w:eastAsia="仿宋" w:cs="仿宋"/>
          <w:sz w:val="24"/>
        </w:rPr>
        <w:t>%）*实际供应量进行据实结算。</w:t>
      </w:r>
      <w:r>
        <w:rPr>
          <w:rFonts w:hint="eastAsia" w:ascii="仿宋" w:hAnsi="仿宋" w:eastAsia="仿宋" w:cs="仿宋"/>
          <w:sz w:val="24"/>
          <w:lang w:val="en-US" w:eastAsia="zh-CN"/>
        </w:rPr>
        <w:t>如菜篮子未公布的价格，需甲方市场调研定价</w:t>
      </w:r>
      <w:r>
        <w:rPr>
          <w:rFonts w:hint="eastAsia" w:ascii="仿宋" w:hAnsi="仿宋" w:eastAsia="仿宋" w:cs="仿宋"/>
          <w:sz w:val="24"/>
        </w:rPr>
        <w:t>基准价*（1-</w:t>
      </w:r>
      <w:r>
        <w:rPr>
          <w:rFonts w:hint="eastAsia" w:ascii="仿宋" w:hAnsi="仿宋" w:eastAsia="仿宋" w:cs="仿宋"/>
          <w:sz w:val="24"/>
          <w:lang w:val="en-US" w:eastAsia="zh-CN"/>
        </w:rPr>
        <w:t>下浮率</w:t>
      </w:r>
      <w:r>
        <w:rPr>
          <w:rFonts w:hint="eastAsia" w:ascii="仿宋" w:hAnsi="仿宋" w:eastAsia="仿宋" w:cs="仿宋"/>
          <w:sz w:val="24"/>
        </w:rPr>
        <w:t>%）*实际供应量进行据实结算。</w:t>
      </w:r>
    </w:p>
    <w:p w14:paraId="483F35EA">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lang w:val="en-US" w:eastAsia="zh-CN"/>
        </w:rPr>
        <w:t>②</w:t>
      </w:r>
      <w:r>
        <w:rPr>
          <w:rFonts w:hint="eastAsia" w:ascii="仿宋" w:hAnsi="仿宋" w:eastAsia="仿宋" w:cs="仿宋"/>
          <w:sz w:val="24"/>
        </w:rPr>
        <w:t>冻货按照</w:t>
      </w:r>
      <w:r>
        <w:rPr>
          <w:rFonts w:hint="eastAsia" w:ascii="仿宋" w:hAnsi="仿宋" w:eastAsia="仿宋" w:cs="仿宋"/>
          <w:sz w:val="24"/>
          <w:lang w:val="en-US" w:eastAsia="zh-CN"/>
        </w:rPr>
        <w:t>市场调研基准价</w:t>
      </w:r>
      <w:r>
        <w:rPr>
          <w:rFonts w:hint="eastAsia" w:ascii="仿宋" w:hAnsi="仿宋" w:eastAsia="仿宋" w:cs="仿宋"/>
          <w:sz w:val="24"/>
        </w:rPr>
        <w:t>*（1-</w:t>
      </w:r>
      <w:r>
        <w:rPr>
          <w:rFonts w:hint="eastAsia" w:ascii="仿宋" w:hAnsi="仿宋" w:eastAsia="仿宋" w:cs="仿宋"/>
          <w:sz w:val="24"/>
          <w:lang w:val="en-US" w:eastAsia="zh-CN"/>
        </w:rPr>
        <w:t>下浮率</w:t>
      </w:r>
      <w:r>
        <w:rPr>
          <w:rFonts w:hint="eastAsia" w:ascii="仿宋" w:hAnsi="仿宋" w:eastAsia="仿宋" w:cs="仿宋"/>
          <w:sz w:val="24"/>
        </w:rPr>
        <w:t>%）*实际供应量进行据实结算。</w:t>
      </w:r>
    </w:p>
    <w:p w14:paraId="74240747">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（3）水果以市场调研基准价*（1-</w:t>
      </w:r>
      <w:r>
        <w:rPr>
          <w:rFonts w:hint="eastAsia" w:ascii="仿宋" w:hAnsi="仿宋" w:eastAsia="仿宋" w:cs="仿宋"/>
          <w:sz w:val="24"/>
          <w:lang w:val="en-US" w:eastAsia="zh-CN"/>
        </w:rPr>
        <w:t>下浮率</w:t>
      </w:r>
      <w:r>
        <w:rPr>
          <w:rFonts w:hint="eastAsia" w:ascii="仿宋" w:hAnsi="仿宋" w:eastAsia="仿宋" w:cs="仿宋"/>
          <w:sz w:val="24"/>
        </w:rPr>
        <w:t>%）*实际供应量进行据实结算。</w:t>
      </w:r>
    </w:p>
    <w:p w14:paraId="33F0B84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（4）蔬菜、鸡蛋</w:t>
      </w:r>
    </w:p>
    <w:p w14:paraId="61F332C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①菜篮子信息发布平台中列明蔬菜以官网公布价格*（1-</w:t>
      </w:r>
      <w:r>
        <w:rPr>
          <w:rFonts w:hint="eastAsia" w:ascii="仿宋" w:hAnsi="仿宋" w:eastAsia="仿宋" w:cs="仿宋"/>
          <w:sz w:val="24"/>
          <w:lang w:val="en-US" w:eastAsia="zh-CN"/>
        </w:rPr>
        <w:t>下浮率</w:t>
      </w:r>
      <w:r>
        <w:rPr>
          <w:rFonts w:hint="eastAsia" w:ascii="仿宋" w:hAnsi="仿宋" w:eastAsia="仿宋" w:cs="仿宋"/>
          <w:sz w:val="24"/>
        </w:rPr>
        <w:t>%）*实际供应量进行据实结算。</w:t>
      </w:r>
    </w:p>
    <w:p w14:paraId="4747B0E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②菜篮子信息发布平台中未列明蔬菜以市场调研基准价*（1-</w:t>
      </w:r>
      <w:r>
        <w:rPr>
          <w:rFonts w:hint="eastAsia" w:ascii="仿宋" w:hAnsi="仿宋" w:eastAsia="仿宋" w:cs="仿宋"/>
          <w:sz w:val="24"/>
          <w:lang w:val="en-US" w:eastAsia="zh-CN"/>
        </w:rPr>
        <w:t>下浮率</w:t>
      </w:r>
      <w:r>
        <w:rPr>
          <w:rFonts w:hint="eastAsia" w:ascii="仿宋" w:hAnsi="仿宋" w:eastAsia="仿宋" w:cs="仿宋"/>
          <w:sz w:val="24"/>
        </w:rPr>
        <w:t>%）*实际供应量进行据实结算。</w:t>
      </w:r>
    </w:p>
    <w:p w14:paraId="06D96DE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③菜篮子信息发布平台中列明鸡蛋以官网公布价格*（1-</w:t>
      </w:r>
      <w:r>
        <w:rPr>
          <w:rFonts w:hint="eastAsia" w:ascii="仿宋" w:hAnsi="仿宋" w:eastAsia="仿宋" w:cs="仿宋"/>
          <w:sz w:val="24"/>
          <w:lang w:val="en-US" w:eastAsia="zh-CN"/>
        </w:rPr>
        <w:t>下浮率</w:t>
      </w:r>
      <w:r>
        <w:rPr>
          <w:rFonts w:hint="eastAsia" w:ascii="仿宋" w:hAnsi="仿宋" w:eastAsia="仿宋" w:cs="仿宋"/>
          <w:sz w:val="24"/>
        </w:rPr>
        <w:t>%）*实际供应量进行据实结算。</w:t>
      </w:r>
    </w:p>
    <w:p w14:paraId="093CB4D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（注：官网公布价格参考西安市发改委发布的西安市“菜篮子”主要商品价格信息公开表，市场调研基准价为每月西安市大型商超随机抽取3家调研价的平均值。）</w:t>
      </w:r>
    </w:p>
    <w:p w14:paraId="27E889E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五、服务费支付方式：</w:t>
      </w:r>
    </w:p>
    <w:p w14:paraId="2338EC4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本合同签订生效后，乙方在规定时间内按要求完成项目所有内容。</w:t>
      </w:r>
    </w:p>
    <w:p w14:paraId="2067528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付款方式：本合同按以下第</w:t>
      </w:r>
      <w:r>
        <w:rPr>
          <w:rFonts w:hint="eastAsia" w:ascii="仿宋" w:hAnsi="仿宋" w:eastAsia="仿宋" w:cs="仿宋"/>
          <w:sz w:val="24"/>
          <w:u w:val="single"/>
          <w:lang w:eastAsia="zh"/>
        </w:rPr>
        <w:t>（</w:t>
      </w:r>
      <w:r>
        <w:rPr>
          <w:rFonts w:hint="eastAsia" w:ascii="仿宋" w:hAnsi="仿宋" w:eastAsia="仿宋" w:cs="仿宋"/>
          <w:sz w:val="24"/>
          <w:u w:val="single"/>
          <w:lang w:val="en-US" w:eastAsia="zh-CN"/>
        </w:rPr>
        <w:t>2</w:t>
      </w:r>
      <w:r>
        <w:rPr>
          <w:rFonts w:hint="eastAsia" w:ascii="仿宋" w:hAnsi="仿宋" w:eastAsia="仿宋" w:cs="仿宋"/>
          <w:sz w:val="24"/>
          <w:u w:val="single"/>
          <w:lang w:eastAsia="zh"/>
        </w:rPr>
        <w:t>）</w:t>
      </w:r>
      <w:r>
        <w:rPr>
          <w:rFonts w:hint="eastAsia" w:ascii="仿宋" w:hAnsi="仿宋" w:eastAsia="仿宋" w:cs="仿宋"/>
          <w:sz w:val="24"/>
        </w:rPr>
        <w:t>种方式支付：</w:t>
      </w:r>
    </w:p>
    <w:p w14:paraId="0D596F67">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lang w:eastAsia="zh"/>
        </w:rPr>
        <w:t>（1）</w:t>
      </w:r>
      <w:r>
        <w:rPr>
          <w:rFonts w:hint="eastAsia" w:ascii="仿宋" w:hAnsi="仿宋" w:eastAsia="仿宋" w:cs="仿宋"/>
          <w:sz w:val="24"/>
        </w:rPr>
        <w:t>一次性付款：</w:t>
      </w:r>
    </w:p>
    <w:p w14:paraId="7591B0E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货物验收合格，乙方开具发票，甲方于__</w:t>
      </w:r>
      <w:r>
        <w:rPr>
          <w:rFonts w:hint="eastAsia" w:ascii="仿宋" w:hAnsi="仿宋" w:eastAsia="仿宋" w:cs="仿宋"/>
          <w:sz w:val="24"/>
          <w:lang w:val="en-US" w:eastAsia="zh-CN"/>
        </w:rPr>
        <w:t>/</w:t>
      </w:r>
      <w:r>
        <w:rPr>
          <w:rFonts w:hint="eastAsia" w:ascii="仿宋" w:hAnsi="仿宋" w:eastAsia="仿宋" w:cs="仿宋"/>
          <w:sz w:val="24"/>
        </w:rPr>
        <w:t>__日内一次性支付全部合同金额。</w:t>
      </w:r>
    </w:p>
    <w:p w14:paraId="1D4054C7">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lang w:eastAsia="zh"/>
        </w:rPr>
        <w:t>（2）</w:t>
      </w:r>
      <w:r>
        <w:rPr>
          <w:rFonts w:hint="eastAsia" w:ascii="仿宋" w:hAnsi="仿宋" w:eastAsia="仿宋" w:cs="仿宋"/>
          <w:sz w:val="24"/>
        </w:rPr>
        <w:t>分期支付</w:t>
      </w:r>
      <w:r>
        <w:rPr>
          <w:rFonts w:hint="eastAsia" w:ascii="仿宋" w:hAnsi="仿宋" w:eastAsia="仿宋" w:cs="仿宋"/>
          <w:sz w:val="24"/>
          <w:lang w:eastAsia="zh"/>
        </w:rPr>
        <w:t>：</w:t>
      </w:r>
      <w:r>
        <w:rPr>
          <w:rFonts w:hint="eastAsia" w:ascii="仿宋" w:hAnsi="仿宋" w:eastAsia="仿宋" w:cs="仿宋"/>
          <w:sz w:val="24"/>
        </w:rPr>
        <w:t>本合同按以下第</w:t>
      </w:r>
      <w:r>
        <w:rPr>
          <w:rFonts w:hint="eastAsia" w:ascii="仿宋" w:hAnsi="仿宋" w:eastAsia="仿宋" w:cs="仿宋"/>
          <w:sz w:val="24"/>
          <w:u w:val="single"/>
          <w:lang w:val="en-US" w:eastAsia="zh-CN"/>
        </w:rPr>
        <w:t>2</w:t>
      </w:r>
      <w:r>
        <w:rPr>
          <w:rFonts w:hint="eastAsia" w:ascii="仿宋" w:hAnsi="仿宋" w:eastAsia="仿宋" w:cs="仿宋"/>
          <w:sz w:val="24"/>
          <w:u w:val="single"/>
          <w:lang w:eastAsia="zh"/>
        </w:rPr>
        <w:t>）</w:t>
      </w:r>
      <w:r>
        <w:rPr>
          <w:rFonts w:hint="eastAsia" w:ascii="仿宋" w:hAnsi="仿宋" w:eastAsia="仿宋" w:cs="仿宋"/>
          <w:sz w:val="24"/>
        </w:rPr>
        <w:t>种方式支付：</w:t>
      </w:r>
    </w:p>
    <w:p w14:paraId="33D3745A">
      <w:pPr>
        <w:keepNext w:val="0"/>
        <w:keepLines w:val="0"/>
        <w:pageBreakBefore w:val="0"/>
        <w:widowControl w:val="0"/>
        <w:kinsoku/>
        <w:wordWrap/>
        <w:overflowPunct/>
        <w:topLinePunct w:val="0"/>
        <w:autoSpaceDE/>
        <w:autoSpaceDN/>
        <w:bidi w:val="0"/>
        <w:adjustRightInd/>
        <w:snapToGrid/>
        <w:spacing w:after="0" w:line="360" w:lineRule="auto"/>
        <w:ind w:firstLine="720" w:firstLineChars="300"/>
        <w:jc w:val="left"/>
        <w:textAlignment w:val="auto"/>
        <w:rPr>
          <w:rFonts w:hint="eastAsia" w:ascii="仿宋" w:hAnsi="仿宋" w:eastAsia="仿宋" w:cs="仿宋"/>
          <w:sz w:val="24"/>
        </w:rPr>
      </w:pPr>
      <w:r>
        <w:rPr>
          <w:rFonts w:hint="eastAsia" w:ascii="仿宋" w:hAnsi="仿宋" w:eastAsia="仿宋" w:cs="仿宋"/>
          <w:sz w:val="24"/>
          <w:lang w:eastAsia="zh"/>
        </w:rPr>
        <w:t>1）</w:t>
      </w:r>
      <w:r>
        <w:rPr>
          <w:rFonts w:hint="eastAsia" w:ascii="仿宋" w:hAnsi="仿宋" w:eastAsia="仿宋" w:cs="仿宋"/>
          <w:sz w:val="24"/>
        </w:rPr>
        <w:t>按__</w:t>
      </w:r>
      <w:r>
        <w:rPr>
          <w:rFonts w:hint="eastAsia" w:ascii="仿宋" w:hAnsi="仿宋" w:eastAsia="仿宋" w:cs="仿宋"/>
          <w:sz w:val="24"/>
          <w:lang w:val="en-US" w:eastAsia="zh-CN"/>
        </w:rPr>
        <w:t>/</w:t>
      </w:r>
      <w:r>
        <w:rPr>
          <w:rFonts w:hint="eastAsia" w:ascii="仿宋" w:hAnsi="仿宋" w:eastAsia="仿宋" w:cs="仿宋"/>
          <w:sz w:val="24"/>
        </w:rPr>
        <w:t>__</w:t>
      </w:r>
      <w:r>
        <w:rPr>
          <w:rFonts w:hint="eastAsia" w:ascii="仿宋" w:hAnsi="仿宋" w:eastAsia="仿宋" w:cs="仿宋"/>
          <w:color w:val="000000"/>
          <w:sz w:val="24"/>
        </w:rPr>
        <w:t>（年/季度/月）</w:t>
      </w:r>
      <w:r>
        <w:rPr>
          <w:rFonts w:hint="eastAsia" w:ascii="仿宋" w:hAnsi="仿宋" w:eastAsia="仿宋" w:cs="仿宋"/>
          <w:sz w:val="24"/>
        </w:rPr>
        <w:t>支付等额费用。甲方验收合格，收到乙方给付相应金额发票后，</w:t>
      </w:r>
      <w:r>
        <w:rPr>
          <w:rFonts w:hint="eastAsia" w:ascii="仿宋" w:hAnsi="仿宋" w:eastAsia="仿宋" w:cs="仿宋"/>
          <w:sz w:val="24"/>
          <w:lang w:eastAsia="zh"/>
        </w:rPr>
        <w:t>甲方在</w:t>
      </w:r>
      <w:r>
        <w:rPr>
          <w:rFonts w:hint="eastAsia" w:ascii="仿宋" w:hAnsi="仿宋" w:eastAsia="仿宋" w:cs="仿宋"/>
          <w:sz w:val="24"/>
          <w:u w:val="single"/>
          <w:lang w:eastAsia="zh"/>
        </w:rPr>
        <w:t xml:space="preserve">  </w:t>
      </w:r>
      <w:r>
        <w:rPr>
          <w:rFonts w:hint="eastAsia" w:ascii="仿宋" w:hAnsi="仿宋" w:eastAsia="仿宋" w:cs="仿宋"/>
          <w:sz w:val="24"/>
          <w:u w:val="single"/>
          <w:lang w:val="en-US" w:eastAsia="zh-CN"/>
        </w:rPr>
        <w:t>/</w:t>
      </w:r>
      <w:r>
        <w:rPr>
          <w:rFonts w:hint="eastAsia" w:ascii="仿宋" w:hAnsi="仿宋" w:eastAsia="仿宋" w:cs="仿宋"/>
          <w:sz w:val="24"/>
          <w:u w:val="single"/>
          <w:lang w:eastAsia="zh"/>
        </w:rPr>
        <w:t xml:space="preserve">  </w:t>
      </w:r>
      <w:r>
        <w:rPr>
          <w:rFonts w:hint="eastAsia" w:ascii="仿宋" w:hAnsi="仿宋" w:eastAsia="仿宋" w:cs="仿宋"/>
          <w:sz w:val="24"/>
          <w:lang w:eastAsia="zh"/>
        </w:rPr>
        <w:t>工作日内，</w:t>
      </w:r>
      <w:r>
        <w:rPr>
          <w:rFonts w:hint="eastAsia" w:ascii="仿宋" w:hAnsi="仿宋" w:eastAsia="仿宋" w:cs="仿宋"/>
          <w:sz w:val="24"/>
        </w:rPr>
        <w:t>一次性支付发票对应货款</w:t>
      </w:r>
      <w:r>
        <w:rPr>
          <w:rFonts w:hint="eastAsia" w:ascii="仿宋" w:hAnsi="仿宋" w:eastAsia="仿宋" w:cs="仿宋"/>
          <w:sz w:val="24"/>
          <w:u w:val="single"/>
          <w:lang w:val="en-US" w:eastAsia="zh-CN"/>
        </w:rPr>
        <w:t xml:space="preserve">  / </w:t>
      </w:r>
      <w:r>
        <w:rPr>
          <w:rFonts w:hint="eastAsia" w:ascii="仿宋" w:hAnsi="仿宋" w:eastAsia="仿宋" w:cs="仿宋"/>
          <w:sz w:val="24"/>
        </w:rPr>
        <w:t>。</w:t>
      </w:r>
    </w:p>
    <w:p w14:paraId="6723B47A">
      <w:pPr>
        <w:spacing w:line="360" w:lineRule="auto"/>
        <w:ind w:firstLine="720" w:firstLineChars="300"/>
        <w:jc w:val="left"/>
        <w:rPr>
          <w:rFonts w:hint="eastAsia" w:ascii="仿宋" w:hAnsi="仿宋" w:eastAsia="仿宋" w:cs="仿宋"/>
          <w:sz w:val="24"/>
          <w:u w:val="single"/>
        </w:rPr>
      </w:pPr>
      <w:r>
        <w:rPr>
          <w:rFonts w:hint="eastAsia" w:ascii="仿宋" w:hAnsi="仿宋" w:eastAsia="仿宋" w:cs="仿宋"/>
          <w:sz w:val="24"/>
          <w:lang w:eastAsia="zh"/>
        </w:rPr>
        <w:t>2）</w:t>
      </w:r>
      <w:r>
        <w:rPr>
          <w:rFonts w:hint="eastAsia" w:ascii="仿宋" w:hAnsi="仿宋" w:eastAsia="仿宋" w:cs="仿宋"/>
          <w:sz w:val="24"/>
        </w:rPr>
        <w:t>按本合同项下的项目进度支付：甲乙双方约定每月月底对当月货款进行结算。每月月底双方根据当月实际送货情况进行结算，乙方根据核对无误后的结算金额为甲方开具合法票据。甲方在收到乙方正式票据后10个工作日内以银行转账方式支付结算货款（寒暑假顺延）。</w:t>
      </w:r>
    </w:p>
    <w:p w14:paraId="31EC883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
        </w:rPr>
        <w:t>（3）</w:t>
      </w:r>
      <w:r>
        <w:rPr>
          <w:rFonts w:hint="eastAsia" w:ascii="仿宋" w:hAnsi="仿宋" w:eastAsia="仿宋" w:cs="仿宋"/>
          <w:sz w:val="24"/>
        </w:rPr>
        <w:t>其他支付方式：</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w:t>
      </w:r>
      <w:r>
        <w:rPr>
          <w:rFonts w:hint="eastAsia" w:ascii="仿宋" w:hAnsi="仿宋" w:eastAsia="仿宋" w:cs="仿宋"/>
          <w:sz w:val="24"/>
          <w:u w:val="single"/>
        </w:rPr>
        <w:t xml:space="preserve">       </w:t>
      </w:r>
    </w:p>
    <w:p w14:paraId="4735D1E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合同履约保证金：在项目验收合格后，乙方到甲方处办理无息退付手续。</w:t>
      </w:r>
    </w:p>
    <w:p w14:paraId="331A7E6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乙方须向甲方出具合法有效完整的完税发票及凭证资料进行支付结算。</w:t>
      </w:r>
    </w:p>
    <w:p w14:paraId="04DE8CE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六、知识产权</w:t>
      </w:r>
    </w:p>
    <w:p w14:paraId="3227FA6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乙方应保证所提供的服务或其任何一部分均不会侵犯任何第三方的知识产权。</w:t>
      </w:r>
    </w:p>
    <w:p w14:paraId="51A4F91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七、无权利瑕疵担保条款</w:t>
      </w:r>
    </w:p>
    <w:p w14:paraId="73DE8FD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乙方保证所提供的服务的所有权完全属于乙方且无任何抵押、查封等权利瑕疵。如有权利瑕疵的，视为乙方违约。乙方应负担由此而产生的一切损失。</w:t>
      </w:r>
    </w:p>
    <w:p w14:paraId="6CB8774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八、履约保证金</w:t>
      </w:r>
    </w:p>
    <w:p w14:paraId="7D28C14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乙方交纳</w:t>
      </w:r>
      <w:r>
        <w:rPr>
          <w:rFonts w:hint="eastAsia" w:ascii="仿宋" w:hAnsi="仿宋" w:eastAsia="仿宋" w:cs="仿宋"/>
          <w:sz w:val="24"/>
          <w:lang w:val="en-US" w:eastAsia="zh-CN"/>
        </w:rPr>
        <w:t>合同金额</w:t>
      </w:r>
      <w:r>
        <w:rPr>
          <w:rFonts w:hint="eastAsia" w:ascii="仿宋" w:hAnsi="仿宋" w:eastAsia="仿宋" w:cs="仿宋"/>
          <w:sz w:val="24"/>
        </w:rPr>
        <w:t>的5%作为本合同的履约保证金。</w:t>
      </w:r>
    </w:p>
    <w:p w14:paraId="49A25177">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履约保证金作为违约金的一部分及用于补偿甲方因乙方不能履行合同义务而蒙受的损失。</w:t>
      </w:r>
    </w:p>
    <w:p w14:paraId="2981DCA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九、甲方的权利和义务</w:t>
      </w:r>
    </w:p>
    <w:p w14:paraId="2A2C916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甲方有权对合同规定范围内乙方的服务行为进行监督和检查，拥有监管权。有权定期核对乙方提供服务所配备的人员数量等。对甲方认为不合理的部分有权下达整改通知书，并要求乙方限期整改。</w:t>
      </w:r>
    </w:p>
    <w:p w14:paraId="7901455A">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甲方有权依据双方签订的考评办法对乙方提供的服务进行定期考评。当考评结果未达到标准时，有权依据考评办法约定的数额扣除履约保证金。</w:t>
      </w:r>
    </w:p>
    <w:p w14:paraId="742A0CB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负责检查监督乙方管理工作的实施及制度的执行情况。</w:t>
      </w:r>
    </w:p>
    <w:p w14:paraId="7A622FC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根据本合同规定，按时向乙方支付应付服务费用。</w:t>
      </w:r>
    </w:p>
    <w:p w14:paraId="267EC16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5. 国家法律、法规所规定由甲方承担的其它责任。</w:t>
      </w:r>
    </w:p>
    <w:p w14:paraId="2C15D17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十、乙方的权利和义务</w:t>
      </w:r>
    </w:p>
    <w:p w14:paraId="6266258A">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对本合同规定的委托服务范围内的项目享有管理权及服务义务。</w:t>
      </w:r>
    </w:p>
    <w:p w14:paraId="4573188A">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根据本合同的规定向甲方收取相关服务费用。</w:t>
      </w:r>
    </w:p>
    <w:p w14:paraId="1246BE2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及时向甲方通告本项目服务范围内有关服务的重大事项，及时配合处理投诉。</w:t>
      </w:r>
    </w:p>
    <w:p w14:paraId="687CA29A">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接受项目行业管理部门及政府有关部门的指导，接受甲方的监督。</w:t>
      </w:r>
    </w:p>
    <w:p w14:paraId="7FA758F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5. 国家法律、法规所规定由乙方承担的其它责任。</w:t>
      </w:r>
    </w:p>
    <w:p w14:paraId="5ECC587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十一、违约责任</w:t>
      </w:r>
    </w:p>
    <w:p w14:paraId="6426569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甲乙双方必须遵守本合同并执行合同中的各项规定，保证本合同的正常履行。</w:t>
      </w:r>
    </w:p>
    <w:p w14:paraId="69499D9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366276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3．因一方违约导致纠纷的，违约方除承担赔偿损失的违约责任外，还需负担守约方为维护合同权益所支出的包括但不限于诉讼费、律师费、交通费、鉴定费等维权费用。</w:t>
      </w:r>
    </w:p>
    <w:p w14:paraId="70963C0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十二、不可抗力事件处理</w:t>
      </w:r>
    </w:p>
    <w:p w14:paraId="477FBF6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在合同有效期内，任何一方因不可抗力事件导致不能履行合同，则合同履行期可延长，其延长期与不可抗力影响期相同。</w:t>
      </w:r>
    </w:p>
    <w:p w14:paraId="666F80F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不可抗力事件发生后，应立即通知对方，并寄送有关权威机构出具的证明。</w:t>
      </w:r>
    </w:p>
    <w:p w14:paraId="4AF3763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不可抗力事件延续</w:t>
      </w:r>
      <w:r>
        <w:rPr>
          <w:rFonts w:hint="eastAsia" w:ascii="仿宋" w:hAnsi="仿宋" w:eastAsia="仿宋" w:cs="仿宋"/>
          <w:sz w:val="24"/>
          <w:lang w:val="en-US" w:eastAsia="zh-CN"/>
        </w:rPr>
        <w:t>7</w:t>
      </w:r>
      <w:r>
        <w:rPr>
          <w:rFonts w:hint="eastAsia" w:ascii="仿宋" w:hAnsi="仿宋" w:eastAsia="仿宋" w:cs="仿宋"/>
          <w:sz w:val="24"/>
        </w:rPr>
        <w:t>天以上，双方应通过友好协商，确定是否继续履行合同。</w:t>
      </w:r>
    </w:p>
    <w:p w14:paraId="186AFC3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十三、合同纠纷的解决方式</w:t>
      </w:r>
    </w:p>
    <w:p w14:paraId="403D69B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在执行本合同中发生的或与本合同有关的争端，双方应通过友好协商解决，协商不成后，任何一方均可以向甲方所在地人民法院起诉讼。</w:t>
      </w:r>
    </w:p>
    <w:p w14:paraId="25C022F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在诉讼期间，除争议部分外，本合同其他部分继续执行。 </w:t>
      </w:r>
    </w:p>
    <w:p w14:paraId="73D58B1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十四、合同生效及其他</w:t>
      </w:r>
    </w:p>
    <w:p w14:paraId="42C6D11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合同经双方法定代表人或授权委托代理人签字并加盖单位公章后生效。</w:t>
      </w:r>
    </w:p>
    <w:p w14:paraId="5ECBEBB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合同执行中涉及采购资金和采购内容修改或补充的，须签书面补充协议。</w:t>
      </w:r>
    </w:p>
    <w:p w14:paraId="5A54EEA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双方约定以下地址及联系方式为本合同履行及纠纷解决时的送达信息：</w:t>
      </w:r>
    </w:p>
    <w:p w14:paraId="0B45E83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甲方联系地址：</w:t>
      </w:r>
      <w:r>
        <w:rPr>
          <w:rFonts w:hint="eastAsia" w:ascii="仿宋" w:hAnsi="仿宋" w:eastAsia="仿宋" w:cs="仿宋"/>
          <w:sz w:val="24"/>
          <w:u w:val="single"/>
          <w:lang w:val="en-US" w:eastAsia="zh-CN"/>
        </w:rPr>
        <w:t xml:space="preserve">                                       </w:t>
      </w:r>
      <w:r>
        <w:rPr>
          <w:rFonts w:hint="eastAsia" w:ascii="仿宋" w:hAnsi="仿宋" w:eastAsia="仿宋" w:cs="仿宋"/>
          <w:sz w:val="24"/>
        </w:rPr>
        <w:t>，联系人：</w:t>
      </w:r>
      <w:r>
        <w:rPr>
          <w:rFonts w:hint="eastAsia" w:ascii="仿宋" w:hAnsi="仿宋" w:eastAsia="仿宋" w:cs="仿宋"/>
          <w:sz w:val="24"/>
          <w:u w:val="single"/>
          <w:lang w:val="en-US" w:eastAsia="zh-CN"/>
        </w:rPr>
        <w:t xml:space="preserve">    </w:t>
      </w:r>
      <w:r>
        <w:rPr>
          <w:rFonts w:hint="eastAsia" w:ascii="仿宋" w:hAnsi="仿宋" w:eastAsia="仿宋" w:cs="仿宋"/>
          <w:sz w:val="24"/>
        </w:rPr>
        <w:t>，   联系电话：</w:t>
      </w:r>
      <w:r>
        <w:rPr>
          <w:rFonts w:hint="eastAsia" w:ascii="仿宋" w:hAnsi="仿宋" w:eastAsia="仿宋" w:cs="仿宋"/>
          <w:sz w:val="24"/>
          <w:u w:val="single"/>
          <w:lang w:val="en-US" w:eastAsia="zh-CN"/>
        </w:rPr>
        <w:t xml:space="preserve">          </w:t>
      </w:r>
      <w:r>
        <w:rPr>
          <w:rFonts w:hint="eastAsia" w:ascii="仿宋" w:hAnsi="仿宋" w:eastAsia="仿宋" w:cs="仿宋"/>
          <w:sz w:val="24"/>
        </w:rPr>
        <w:t>。  </w:t>
      </w:r>
    </w:p>
    <w:p w14:paraId="0FA6AAE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乙方联系地址：</w:t>
      </w:r>
      <w:r>
        <w:rPr>
          <w:rFonts w:hint="eastAsia" w:ascii="仿宋" w:hAnsi="仿宋" w:eastAsia="仿宋" w:cs="仿宋"/>
          <w:sz w:val="24"/>
          <w:u w:val="single"/>
        </w:rPr>
        <w:t>西安市未央区辛王路1号  </w:t>
      </w:r>
      <w:r>
        <w:rPr>
          <w:rFonts w:hint="eastAsia" w:ascii="仿宋" w:hAnsi="仿宋" w:eastAsia="仿宋" w:cs="仿宋"/>
          <w:sz w:val="24"/>
        </w:rPr>
        <w:t>，联系人：</w:t>
      </w:r>
      <w:r>
        <w:rPr>
          <w:rFonts w:hint="eastAsia" w:ascii="仿宋" w:hAnsi="仿宋" w:eastAsia="仿宋" w:cs="仿宋"/>
          <w:sz w:val="24"/>
          <w:u w:val="single"/>
          <w:lang w:val="en-US" w:eastAsia="zh-CN"/>
        </w:rPr>
        <w:t>葛强利</w:t>
      </w:r>
      <w:r>
        <w:rPr>
          <w:rFonts w:hint="eastAsia" w:ascii="仿宋" w:hAnsi="仿宋" w:eastAsia="仿宋" w:cs="仿宋"/>
          <w:sz w:val="24"/>
        </w:rPr>
        <w:t>，  联系电话：</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18710994774</w:t>
      </w:r>
      <w:r>
        <w:rPr>
          <w:rFonts w:hint="eastAsia" w:ascii="仿宋" w:hAnsi="仿宋" w:eastAsia="仿宋" w:cs="仿宋"/>
          <w:sz w:val="24"/>
        </w:rPr>
        <w:t>。</w:t>
      </w:r>
    </w:p>
    <w:p w14:paraId="28879BC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任何一方上述送达信息有变更的，应在变更之日起</w:t>
      </w:r>
      <w:r>
        <w:rPr>
          <w:rFonts w:hint="eastAsia" w:ascii="仿宋" w:hAnsi="仿宋" w:eastAsia="仿宋" w:cs="仿宋"/>
          <w:sz w:val="24"/>
          <w:lang w:val="en-US" w:eastAsia="zh-CN"/>
        </w:rPr>
        <w:t>7</w:t>
      </w:r>
      <w:r>
        <w:rPr>
          <w:rFonts w:hint="eastAsia" w:ascii="仿宋" w:hAnsi="仿宋" w:eastAsia="仿宋" w:cs="仿宋"/>
          <w:sz w:val="24"/>
        </w:rPr>
        <w:t> 日内书面通知对方。送达信息变更未通知的，仍以本合同约定信息为准。因联系人拒收或送达信息有误及送达信息变更未通知导致相关文件未能实际送达的，相关文件退回之日视为送达之日。</w:t>
      </w:r>
    </w:p>
    <w:p w14:paraId="1BFCAA5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4.本合同一式陆份，甲方持肆份，乙方持贰份，每份具同等法律效力。</w:t>
      </w:r>
    </w:p>
    <w:p w14:paraId="557C753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lang w:eastAsia="zh-CN"/>
        </w:rPr>
      </w:pPr>
    </w:p>
    <w:p w14:paraId="1CAD26EB">
      <w:pPr>
        <w:pageBreakBefore w:val="0"/>
        <w:kinsoku/>
        <w:wordWrap/>
        <w:overflowPunct/>
        <w:topLinePunct w:val="0"/>
        <w:autoSpaceDN/>
        <w:bidi w:val="0"/>
        <w:adjustRightInd w:val="0"/>
        <w:snapToGrid w:val="0"/>
        <w:spacing w:beforeAutospacing="0" w:after="0" w:afterAutospacing="0" w:line="360" w:lineRule="auto"/>
        <w:jc w:val="both"/>
        <w:rPr>
          <w:rFonts w:hint="eastAsia" w:ascii="仿宋" w:hAnsi="仿宋" w:eastAsia="仿宋" w:cs="仿宋"/>
          <w:sz w:val="24"/>
          <w:lang w:eastAsia="zh-CN"/>
        </w:rPr>
      </w:pPr>
    </w:p>
    <w:p w14:paraId="55C83B3C">
      <w:pPr>
        <w:pageBreakBefore w:val="0"/>
        <w:kinsoku/>
        <w:wordWrap/>
        <w:overflowPunct/>
        <w:topLinePunct w:val="0"/>
        <w:autoSpaceDN/>
        <w:bidi w:val="0"/>
        <w:adjustRightInd w:val="0"/>
        <w:snapToGrid w:val="0"/>
        <w:spacing w:beforeAutospacing="0" w:after="0" w:afterAutospacing="0" w:line="360" w:lineRule="auto"/>
        <w:jc w:val="both"/>
        <w:rPr>
          <w:rFonts w:hint="eastAsia" w:ascii="仿宋" w:hAnsi="仿宋" w:eastAsia="仿宋" w:cs="仿宋"/>
          <w:sz w:val="24"/>
        </w:rPr>
      </w:pPr>
      <w:r>
        <w:rPr>
          <w:rFonts w:hint="eastAsia" w:ascii="仿宋" w:hAnsi="仿宋" w:eastAsia="仿宋" w:cs="仿宋"/>
          <w:sz w:val="24"/>
        </w:rPr>
        <w:t>  </w:t>
      </w:r>
    </w:p>
    <w:p w14:paraId="40CE163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甲方（盖章）：</w:t>
      </w:r>
      <w:r>
        <w:rPr>
          <w:rFonts w:hint="eastAsia" w:ascii="仿宋" w:hAnsi="仿宋" w:eastAsia="仿宋" w:cs="仿宋"/>
          <w:sz w:val="24"/>
          <w:lang w:eastAsia="zh"/>
        </w:rPr>
        <w:t xml:space="preserve">                       </w:t>
      </w:r>
      <w:r>
        <w:rPr>
          <w:rFonts w:hint="eastAsia" w:ascii="仿宋" w:hAnsi="仿宋" w:eastAsia="仿宋" w:cs="仿宋"/>
          <w:sz w:val="24"/>
        </w:rPr>
        <w:t xml:space="preserve">乙方（盖章）：                                    </w:t>
      </w:r>
    </w:p>
    <w:p w14:paraId="492FE1C7">
      <w:pPr>
        <w:spacing w:line="360" w:lineRule="auto"/>
        <w:ind w:left="420" w:leftChars="200" w:firstLine="38" w:firstLineChars="16"/>
        <w:jc w:val="left"/>
        <w:rPr>
          <w:rFonts w:hint="eastAsia" w:ascii="仿宋" w:hAnsi="仿宋" w:eastAsia="仿宋" w:cs="仿宋"/>
          <w:sz w:val="24"/>
        </w:rPr>
      </w:pPr>
      <w:r>
        <w:rPr>
          <w:rFonts w:hint="eastAsia" w:ascii="仿宋" w:hAnsi="仿宋" w:eastAsia="仿宋" w:cs="仿宋"/>
          <w:sz w:val="24"/>
        </w:rPr>
        <w:t>法定代表人（委托代理人）（签字）：     法定代表人（委托代理人）</w:t>
      </w:r>
      <w:r>
        <w:rPr>
          <w:rFonts w:hint="eastAsia" w:ascii="仿宋" w:hAnsi="仿宋" w:eastAsia="仿宋" w:cs="仿宋"/>
          <w:sz w:val="24"/>
          <w:lang w:eastAsia="zh-CN"/>
        </w:rPr>
        <w:t>（</w:t>
      </w:r>
      <w:r>
        <w:rPr>
          <w:rFonts w:hint="eastAsia" w:ascii="仿宋" w:hAnsi="仿宋" w:eastAsia="仿宋" w:cs="仿宋"/>
          <w:sz w:val="24"/>
          <w:lang w:val="en-US" w:eastAsia="zh-CN"/>
        </w:rPr>
        <w:t>签字）：</w:t>
      </w:r>
      <w:r>
        <w:rPr>
          <w:rFonts w:hint="eastAsia" w:ascii="仿宋" w:hAnsi="仿宋" w:eastAsia="仿宋" w:cs="仿宋"/>
          <w:sz w:val="24"/>
        </w:rPr>
        <w:t xml:space="preserve">                                            </w:t>
      </w:r>
    </w:p>
    <w:p w14:paraId="62B205F7">
      <w:pPr>
        <w:spacing w:line="360" w:lineRule="auto"/>
        <w:ind w:firstLine="480" w:firstLineChars="200"/>
        <w:jc w:val="left"/>
        <w:rPr>
          <w:rFonts w:hint="eastAsia" w:ascii="仿宋" w:hAnsi="仿宋" w:eastAsia="仿宋" w:cs="仿宋"/>
          <w:sz w:val="24"/>
        </w:rPr>
      </w:pPr>
    </w:p>
    <w:p w14:paraId="32A41AD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联 系 人：                          联 系 人：                 </w:t>
      </w:r>
    </w:p>
    <w:p w14:paraId="3A5B732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联系方式：                          联系方式： </w:t>
      </w:r>
    </w:p>
    <w:p w14:paraId="7E130CDC">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纳税人识别号：126100004352006429</w:t>
      </w:r>
      <w:r>
        <w:rPr>
          <w:rFonts w:hint="eastAsia" w:ascii="仿宋" w:hAnsi="仿宋" w:eastAsia="仿宋" w:cs="仿宋"/>
          <w:sz w:val="24"/>
          <w:lang w:eastAsia="zh"/>
        </w:rPr>
        <w:t xml:space="preserve">    </w:t>
      </w:r>
      <w:r>
        <w:rPr>
          <w:rFonts w:hint="eastAsia" w:ascii="仿宋" w:hAnsi="仿宋" w:eastAsia="仿宋" w:cs="仿宋"/>
          <w:sz w:val="24"/>
        </w:rPr>
        <w:t>纳税人识别号：</w:t>
      </w:r>
    </w:p>
    <w:p w14:paraId="6D7D1DB7">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开户银行：建设银行西安含光路支行</w:t>
      </w:r>
      <w:r>
        <w:rPr>
          <w:rFonts w:hint="eastAsia" w:ascii="仿宋" w:hAnsi="仿宋" w:eastAsia="仿宋" w:cs="仿宋"/>
          <w:sz w:val="24"/>
          <w:lang w:eastAsia="zh"/>
        </w:rPr>
        <w:t xml:space="preserve">    </w:t>
      </w:r>
      <w:r>
        <w:rPr>
          <w:rFonts w:hint="eastAsia" w:ascii="仿宋" w:hAnsi="仿宋" w:eastAsia="仿宋" w:cs="仿宋"/>
          <w:sz w:val="24"/>
        </w:rPr>
        <w:t>开户银行：</w:t>
      </w:r>
    </w:p>
    <w:p w14:paraId="43E050F0">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开户银行账号：61001865200050000482</w:t>
      </w:r>
      <w:r>
        <w:rPr>
          <w:rFonts w:hint="eastAsia" w:ascii="仿宋" w:hAnsi="仿宋" w:eastAsia="仿宋" w:cs="仿宋"/>
          <w:sz w:val="24"/>
          <w:lang w:eastAsia="zh"/>
        </w:rPr>
        <w:t xml:space="preserve">  </w:t>
      </w:r>
      <w:r>
        <w:rPr>
          <w:rFonts w:hint="eastAsia" w:ascii="仿宋" w:hAnsi="仿宋" w:eastAsia="仿宋" w:cs="仿宋"/>
          <w:sz w:val="24"/>
        </w:rPr>
        <w:t>开户银行账号：</w:t>
      </w:r>
    </w:p>
    <w:p w14:paraId="71643B48">
      <w:pPr>
        <w:rPr>
          <w:color w:val="auto"/>
          <w:highlight w:val="none"/>
        </w:rPr>
      </w:pPr>
      <w:r>
        <w:rPr>
          <w:rFonts w:hint="eastAsia" w:ascii="仿宋" w:hAnsi="仿宋" w:eastAsia="仿宋" w:cs="仿宋"/>
          <w:sz w:val="24"/>
        </w:rPr>
        <w:t xml:space="preserve">签订时间：  年  月   日        </w:t>
      </w:r>
      <w:r>
        <w:rPr>
          <w:rFonts w:hint="eastAsia" w:ascii="仿宋" w:hAnsi="仿宋" w:eastAsia="仿宋" w:cs="仿宋"/>
          <w:sz w:val="24"/>
          <w:lang w:val="en-US" w:eastAsia="zh-CN"/>
        </w:rPr>
        <w:t xml:space="preserve">     </w:t>
      </w:r>
      <w:r>
        <w:rPr>
          <w:rFonts w:hint="eastAsia" w:ascii="仿宋" w:hAnsi="仿宋" w:eastAsia="仿宋" w:cs="仿宋"/>
          <w:sz w:val="24"/>
        </w:rPr>
        <w:t>签订时间：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6F3BB68-3AB9-4FE7-B73F-549E75ACFB1A}"/>
  </w:font>
  <w:font w:name="等线 Light">
    <w:panose1 w:val="02010600030101010101"/>
    <w:charset w:val="86"/>
    <w:family w:val="auto"/>
    <w:pitch w:val="default"/>
    <w:sig w:usb0="A00002BF" w:usb1="38CF7CFA" w:usb2="00000016" w:usb3="00000000" w:csb0="0004000F" w:csb1="00000000"/>
  </w:font>
  <w:font w:nam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embedRegular r:id="rId2" w:fontKey="{8F97458E-667F-4EDA-BD3C-9E39CCFDACB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仿宋">
    <w:altName w:val="仿宋"/>
    <w:panose1 w:val="02010600040101010101"/>
    <w:charset w:val="86"/>
    <w:family w:val="auto"/>
    <w:pitch w:val="default"/>
    <w:sig w:usb0="00000000" w:usb1="00000000" w:usb2="00000000" w:usb3="00000000" w:csb0="0004009F" w:csb1="DFD70000"/>
    <w:embedRegular r:id="rId3" w:fontKey="{000962CB-158B-490B-91A9-EB5144957022}"/>
  </w:font>
  <w:font w:name="方正仿宋_GB2312">
    <w:panose1 w:val="02000000000000000000"/>
    <w:charset w:val="86"/>
    <w:family w:val="auto"/>
    <w:pitch w:val="default"/>
    <w:sig w:usb0="A00002BF" w:usb1="184F6CFA" w:usb2="00000012" w:usb3="00000000" w:csb0="00040001" w:csb1="00000000"/>
    <w:embedRegular r:id="rId4" w:fontKey="{868B5A8E-8F1F-478F-830B-E04B295AA82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E3D3E">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CBB86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FCBB86D">
                    <w:pPr>
                      <w:pStyle w:val="5"/>
                    </w:pPr>
                    <w:r>
                      <w:fldChar w:fldCharType="begin"/>
                    </w:r>
                    <w:r>
                      <w:instrText xml:space="preserve"> PAGE  \* MERGEFORMAT </w:instrText>
                    </w:r>
                    <w:r>
                      <w:fldChar w:fldCharType="separate"/>
                    </w:r>
                    <w:r>
                      <w:t>1</w:t>
                    </w:r>
                    <w:r>
                      <w:fldChar w:fldCharType="end"/>
                    </w:r>
                  </w:p>
                </w:txbxContent>
              </v:textbox>
            </v:shape>
          </w:pict>
        </mc:Fallback>
      </mc:AlternateContent>
    </w:r>
  </w:p>
  <w:p w14:paraId="5B6B6A3D">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27344CEA"/>
    <w:rsid w:val="28986EB5"/>
    <w:rsid w:val="2A815465"/>
    <w:rsid w:val="3535491E"/>
    <w:rsid w:val="4BAB5215"/>
    <w:rsid w:val="79B50E11"/>
    <w:rsid w:val="7D1B4C1F"/>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tabs>
        <w:tab w:val="left" w:pos="720"/>
      </w:tabs>
      <w:spacing w:line="0" w:lineRule="atLeast"/>
    </w:pPr>
    <w:rPr>
      <w:sz w:val="28"/>
    </w:rPr>
  </w:style>
  <w:style w:type="paragraph" w:styleId="4">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5">
    <w:name w:val="footer"/>
    <w:basedOn w:val="1"/>
    <w:unhideWhenUsed/>
    <w:qFormat/>
    <w:uiPriority w:val="99"/>
    <w:pPr>
      <w:tabs>
        <w:tab w:val="center" w:pos="4153"/>
        <w:tab w:val="right" w:pos="8306"/>
      </w:tabs>
      <w:snapToGrid w:val="0"/>
      <w:spacing w:line="240" w:lineRule="auto"/>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标题 1 Char"/>
    <w:qFormat/>
    <w:locked/>
    <w:uiPriority w:val="99"/>
    <w:rPr>
      <w:rFonts w:ascii="Calibri" w:hAnsi="Calibri" w:cs="Calibri"/>
      <w:b/>
      <w:bCs/>
      <w:kern w:val="44"/>
      <w:sz w:val="44"/>
      <w:szCs w:val="44"/>
    </w:rPr>
  </w:style>
  <w:style w:type="paragraph" w:customStyle="1" w:styleId="10">
    <w:name w:val="纯文本1"/>
    <w:basedOn w:val="1"/>
    <w:qFormat/>
    <w:uiPriority w:val="0"/>
    <w:rPr>
      <w:rFonts w:ascii="宋体" w:hAnsi="Courier New"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5130</Words>
  <Characters>5257</Characters>
  <Lines>0</Lines>
  <Paragraphs>0</Paragraphs>
  <TotalTime>0</TotalTime>
  <ScaleCrop>false</ScaleCrop>
  <LinksUpToDate>false</LinksUpToDate>
  <CharactersWithSpaces>5600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卓佲</cp:lastModifiedBy>
  <dcterms:modified xsi:type="dcterms:W3CDTF">2026-07-30T01:39:31Z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052C56BAA3824F2582F5696CE2CA195F_12</vt:lpwstr>
  </property>
  <property fmtid="{D5CDD505-2E9C-101B-9397-08002B2CF9AE}" pid="4" name="KSOTemplateDocerSaveRecord">
    <vt:lpwstr>eyJoZGlkIjoiMTZkMGRjYWY5NTdjZjIwZWQ3MjYwODY4NGVjNGNiOTciLCJ1c2VySWQiOiIyMzUwOTcyMzUifQ==</vt:lpwstr>
  </property>
</Properties>
</file>