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版本号：【KRDL】K3-260507120260602001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陕西省广播电视安全播出智慧监测系统维护</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【KRDL】K3-2605071</w:t>
      </w:r>
      <w:r>
        <w:br/>
      </w:r>
      <w:r>
        <w:br/>
      </w:r>
      <w:r>
        <w:br/>
      </w:r>
    </w:p>
    <w:p>
      <w:pPr>
        <w:pStyle w:val="null3"/>
        <w:jc w:val="center"/>
        <w:outlineLvl w:val="2"/>
      </w:pPr>
      <w:r>
        <w:rPr>
          <w:rFonts w:ascii="仿宋_GB2312" w:hAnsi="仿宋_GB2312" w:cs="仿宋_GB2312" w:eastAsia="仿宋_GB2312"/>
          <w:sz w:val="28"/>
          <w:b/>
        </w:rPr>
        <w:t>陕西省广播电视监测中心</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陕西省广播电视监测中心</w:t>
      </w:r>
      <w:r>
        <w:rPr>
          <w:rFonts w:ascii="仿宋_GB2312" w:hAnsi="仿宋_GB2312" w:cs="仿宋_GB2312" w:eastAsia="仿宋_GB2312"/>
        </w:rPr>
        <w:t>委托，拟对</w:t>
      </w:r>
      <w:r>
        <w:rPr>
          <w:rFonts w:ascii="仿宋_GB2312" w:hAnsi="仿宋_GB2312" w:cs="仿宋_GB2312" w:eastAsia="仿宋_GB2312"/>
        </w:rPr>
        <w:t>陕西省广播电视安全播出智慧监测系统维护</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【KRDL】K3-2605071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陕西省广播电视安全播出智慧监测系统维护</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广播电视安全播出智慧监测系统是实现全省广播电视安全播出、内容监管及信号监测的重要技术支撑平台。为确保该系统中心平台及安装在全省的各广播电视前端监测站点稳定、可靠、高效运行，满足7×24小时不间断监测的业务需求，本项目拟采购一家单位进行陕西省广播电视安全播出智慧监测系统维护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采购包1（陕西省广播电视安全播出智慧监测系统维护）：属于专门面向小微企业采购。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1、主体资格：供应商为向采购人提供相应服务的法人或其他组织</w:t>
      </w:r>
    </w:p>
    <w:p>
      <w:pPr>
        <w:pStyle w:val="null3"/>
      </w:pPr>
      <w:r>
        <w:rPr>
          <w:rFonts w:ascii="仿宋_GB2312" w:hAnsi="仿宋_GB2312" w:cs="仿宋_GB2312" w:eastAsia="仿宋_GB2312"/>
        </w:rPr>
        <w:t>2、信用资格查询：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陕西省广播电视监测中心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陕西省西安市长安南路336号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029-87966167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邱斯思、张晨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029-89563179、18991918505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说明：签订合同后10个工作日内，供应商向采购人缴纳成交总价的5%作为履约保证金（或履约保函），项目结束后（如期履约完成且不存在其他任何违约责任）无息退还。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日内，由成交供应商参照国家计委颁发的《采购代理服务收费管理暂行办法》（计价格[2002]1980号）和国家发展和改革委员会办公厅颁发的《关于招标代理服务收费有关问题的通知》（发改办价格[2003] 857号）的有关规定标准下浮10%向采购代理机构一次付清代理服务费。 （注：代理服务费在缴纳过程中需备注xxxx项目+代理服务费。）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陕西省广播电视监测中心</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陕西省广播电视监测中心</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陕西省广播电视监测中心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联系人：邱斯思、张晨</w:t>
      </w:r>
    </w:p>
    <w:p>
      <w:pPr>
        <w:pStyle w:val="null3"/>
      </w:pPr>
      <w:r>
        <w:rPr>
          <w:rFonts w:ascii="仿宋_GB2312" w:hAnsi="仿宋_GB2312" w:cs="仿宋_GB2312" w:eastAsia="仿宋_GB2312"/>
        </w:rPr>
        <w:t>联系电话：029-89563179</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广播电视安全播出智慧监测系统是实现全省广播电视安全播出、内容监管及信号监测的重要技术支撑平台。为确保该系统中心平台及安装在全省的各广播电视前端监测站点稳定、可靠、高效运行，满足7×24小时不间断监测的业务需求，本项目拟采购一家单位进行陕西省广播电视安全播出智慧监测系统维护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290,000.00</w:t>
      </w:r>
    </w:p>
    <w:p>
      <w:pPr>
        <w:pStyle w:val="null3"/>
      </w:pPr>
      <w:r>
        <w:rPr>
          <w:rFonts w:ascii="仿宋_GB2312" w:hAnsi="仿宋_GB2312" w:cs="仿宋_GB2312" w:eastAsia="仿宋_GB2312"/>
        </w:rPr>
        <w:t>采购包最高限价（元）: 290,000.00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left"/>
            </w:pPr>
            <w:r>
              <w:rPr>
                <w:rFonts w:ascii="仿宋_GB2312" w:hAnsi="仿宋_GB2312" w:cs="仿宋_GB2312" w:eastAsia="仿宋_GB2312"/>
              </w:rPr>
              <w:t>一、项目概述</w:t>
            </w:r>
          </w:p>
          <w:p>
            <w:pPr>
              <w:pStyle w:val="null3"/>
            </w:pPr>
            <w:r>
              <w:rPr>
                <w:rFonts w:ascii="仿宋_GB2312" w:hAnsi="仿宋_GB2312" w:cs="仿宋_GB2312" w:eastAsia="仿宋_GB2312"/>
              </w:rPr>
              <w:t>陕西省广播电视安全播出智慧监测系统（以下简称“监测系统”）是实现全省广播电视安全播出、内容监管及信号监测的重要技术支撑平台。为确保该系统中心平台及安装在全省的各广播电视前端监测站点稳定、可靠、高效运行，满足7×24小时不间断监测的业务需求，现通过政府采购方式确定专业的运维服务供应商。</w:t>
            </w:r>
          </w:p>
          <w:p>
            <w:pPr>
              <w:pStyle w:val="null3"/>
            </w:pPr>
            <w:r>
              <w:rPr>
                <w:rFonts w:ascii="仿宋_GB2312" w:hAnsi="仿宋_GB2312" w:cs="仿宋_GB2312" w:eastAsia="仿宋_GB2312"/>
              </w:rPr>
              <w:t>二、采购内容及数量</w:t>
            </w:r>
          </w:p>
          <w:p>
            <w:pPr>
              <w:pStyle w:val="null3"/>
            </w:pPr>
            <w:r>
              <w:rPr>
                <w:rFonts w:ascii="仿宋_GB2312" w:hAnsi="仿宋_GB2312" w:cs="仿宋_GB2312" w:eastAsia="仿宋_GB2312"/>
              </w:rPr>
              <w:t>陕西省广播电视安全播出智慧监测系统维护   1项</w:t>
            </w:r>
          </w:p>
          <w:p>
            <w:pPr>
              <w:pStyle w:val="null3"/>
            </w:pPr>
            <w:r>
              <w:rPr>
                <w:rFonts w:ascii="仿宋_GB2312" w:hAnsi="仿宋_GB2312" w:cs="仿宋_GB2312" w:eastAsia="仿宋_GB2312"/>
              </w:rPr>
              <w:t>说明：本次运维服务范围覆盖1个省级中心系统平台、71个调频广播监测站点及10个地面数字电视监测站点（详细内容见八、服务站点明细）。</w:t>
            </w:r>
          </w:p>
          <w:p>
            <w:pPr>
              <w:pStyle w:val="null3"/>
            </w:pPr>
            <w:r>
              <w:rPr>
                <w:rFonts w:ascii="仿宋_GB2312" w:hAnsi="仿宋_GB2312" w:cs="仿宋_GB2312" w:eastAsia="仿宋_GB2312"/>
              </w:rPr>
              <w:t>三、服务期限</w:t>
            </w:r>
          </w:p>
          <w:p>
            <w:pPr>
              <w:pStyle w:val="null3"/>
            </w:pPr>
            <w:r>
              <w:rPr>
                <w:rFonts w:ascii="仿宋_GB2312" w:hAnsi="仿宋_GB2312" w:cs="仿宋_GB2312" w:eastAsia="仿宋_GB2312"/>
              </w:rPr>
              <w:t>服务期限为 1年。具体起止时间以合同签订为准。</w:t>
            </w:r>
          </w:p>
          <w:p>
            <w:pPr>
              <w:pStyle w:val="null3"/>
            </w:pPr>
            <w:r>
              <w:rPr>
                <w:rFonts w:ascii="仿宋_GB2312" w:hAnsi="仿宋_GB2312" w:cs="仿宋_GB2312" w:eastAsia="仿宋_GB2312"/>
              </w:rPr>
              <w:t>四、服务总体要求</w:t>
            </w:r>
          </w:p>
          <w:p>
            <w:pPr>
              <w:pStyle w:val="null3"/>
            </w:pPr>
            <w:r>
              <w:rPr>
                <w:rFonts w:ascii="仿宋_GB2312" w:hAnsi="仿宋_GB2312" w:cs="仿宋_GB2312" w:eastAsia="仿宋_GB2312"/>
              </w:rPr>
              <w:t>供应商须依据《中华人民共和国政府采购法》及陕西省相关政府采购管理规定，遵循“安全第一、响应及时”的原则，提供全方位、专业化的运行维护服务。</w:t>
            </w:r>
          </w:p>
          <w:p>
            <w:pPr>
              <w:pStyle w:val="null3"/>
              <w:numPr>
                <w:ilvl w:val="1"/>
                <w:numId w:val="1"/>
              </w:numPr>
            </w:pPr>
            <w:r>
              <w:rPr>
                <w:rFonts w:ascii="仿宋_GB2312" w:hAnsi="仿宋_GB2312" w:cs="仿宋_GB2312" w:eastAsia="仿宋_GB2312"/>
              </w:rPr>
              <w:t>驻场服务要求</w:t>
            </w:r>
          </w:p>
          <w:p>
            <w:pPr>
              <w:pStyle w:val="null3"/>
            </w:pPr>
            <w:r>
              <w:rPr>
                <w:rFonts w:ascii="仿宋_GB2312" w:hAnsi="仿宋_GB2312" w:cs="仿宋_GB2312" w:eastAsia="仿宋_GB2312"/>
              </w:rPr>
              <w:t>4.1.1人员配置：供应商须指派至少1名具备广播电视监测系统运维经验的技术人员，在陕西省广播电视监测中心（西安市）进行驻场服务。</w:t>
            </w:r>
          </w:p>
          <w:p>
            <w:pPr>
              <w:pStyle w:val="null3"/>
            </w:pPr>
            <w:r>
              <w:rPr>
                <w:rFonts w:ascii="仿宋_GB2312" w:hAnsi="仿宋_GB2312" w:cs="仿宋_GB2312" w:eastAsia="仿宋_GB2312"/>
              </w:rPr>
              <w:t>4.1.2人员资质：驻场人员应具备较高的技术水平和较强的责任心，熟悉广播电视监测流程、网络架构及软硬件故障排查。</w:t>
            </w:r>
          </w:p>
          <w:p>
            <w:pPr>
              <w:pStyle w:val="null3"/>
            </w:pPr>
            <w:r>
              <w:rPr>
                <w:rFonts w:ascii="仿宋_GB2312" w:hAnsi="仿宋_GB2312" w:cs="仿宋_GB2312" w:eastAsia="仿宋_GB2312"/>
              </w:rPr>
              <w:t>4.1.3劳动关系：驻场人员的工资、福利、社保、人身意外险及一切用工风险均由供应商承担，与采购人不存在任何劳动或劳务派遣关系。</w:t>
            </w:r>
          </w:p>
          <w:p>
            <w:pPr>
              <w:pStyle w:val="null3"/>
              <w:numPr>
                <w:ilvl w:val="1"/>
                <w:numId w:val="1"/>
              </w:numPr>
            </w:pPr>
            <w:r>
              <w:rPr>
                <w:rFonts w:ascii="仿宋_GB2312" w:hAnsi="仿宋_GB2312" w:cs="仿宋_GB2312" w:eastAsia="仿宋_GB2312"/>
              </w:rPr>
              <w:t>工作纪律与考勤</w:t>
            </w:r>
          </w:p>
          <w:p>
            <w:pPr>
              <w:pStyle w:val="null3"/>
            </w:pPr>
            <w:r>
              <w:rPr>
                <w:rFonts w:ascii="仿宋_GB2312" w:hAnsi="仿宋_GB2312" w:cs="仿宋_GB2312" w:eastAsia="仿宋_GB2312"/>
              </w:rPr>
              <w:t>4.2.1工作时间：驻场人员执行法定工作日8小时工作制，工作时间与采购人相关科室同步。</w:t>
            </w:r>
          </w:p>
          <w:p>
            <w:pPr>
              <w:pStyle w:val="null3"/>
            </w:pPr>
            <w:r>
              <w:rPr>
                <w:rFonts w:ascii="仿宋_GB2312" w:hAnsi="仿宋_GB2312" w:cs="仿宋_GB2312" w:eastAsia="仿宋_GB2312"/>
              </w:rPr>
              <w:t>4.2.2重点保障：在国家重大活动、安全播出重要保障期及紧急情况下，须无条件服从采购人安排，实行7×24小时现场值守。</w:t>
            </w:r>
          </w:p>
          <w:p>
            <w:pPr>
              <w:pStyle w:val="null3"/>
            </w:pPr>
            <w:r>
              <w:rPr>
                <w:rFonts w:ascii="仿宋_GB2312" w:hAnsi="仿宋_GB2312" w:cs="仿宋_GB2312" w:eastAsia="仿宋_GB2312"/>
              </w:rPr>
              <w:t>4.2.3考勤管理：采购人负责对驻场人员进行考勤。若驻场人员因病、事假缺勤，供应商须安排同等能力的人员顶替。</w:t>
            </w:r>
          </w:p>
          <w:p>
            <w:pPr>
              <w:pStyle w:val="null3"/>
              <w:numPr>
                <w:ilvl w:val="0"/>
                <w:numId w:val="2"/>
              </w:numPr>
            </w:pPr>
            <w:r>
              <w:rPr>
                <w:rFonts w:ascii="仿宋_GB2312" w:hAnsi="仿宋_GB2312" w:cs="仿宋_GB2312" w:eastAsia="仿宋_GB2312"/>
              </w:rPr>
              <w:t>出勤率要求：月出勤率不得低于95%。</w:t>
            </w:r>
          </w:p>
          <w:p>
            <w:pPr>
              <w:pStyle w:val="null3"/>
              <w:numPr>
                <w:ilvl w:val="0"/>
                <w:numId w:val="2"/>
              </w:numPr>
            </w:pPr>
            <w:r>
              <w:rPr>
                <w:rFonts w:ascii="仿宋_GB2312" w:hAnsi="仿宋_GB2312" w:cs="仿宋_GB2312" w:eastAsia="仿宋_GB2312"/>
              </w:rPr>
              <w:t>计算公式：月出勤率 = 1 - [（迟到早退天数×0.5 + 请假天数×1 + 旷工天数×3）/ 当月国家法定工作日天数]。</w:t>
            </w:r>
          </w:p>
          <w:p>
            <w:pPr>
              <w:pStyle w:val="null3"/>
              <w:numPr>
                <w:ilvl w:val="0"/>
                <w:numId w:val="2"/>
              </w:numPr>
            </w:pPr>
            <w:r>
              <w:rPr>
                <w:rFonts w:ascii="仿宋_GB2312" w:hAnsi="仿宋_GB2312" w:cs="仿宋_GB2312" w:eastAsia="仿宋_GB2312"/>
              </w:rPr>
              <w:t>违约责任：若月出勤率低于95%，采购人有权要求更换人员，并根据合同约定扣除相应比例服务费。</w:t>
            </w:r>
          </w:p>
          <w:p>
            <w:pPr>
              <w:pStyle w:val="null3"/>
            </w:pPr>
            <w:r>
              <w:rPr>
                <w:rFonts w:ascii="仿宋_GB2312" w:hAnsi="仿宋_GB2312" w:cs="仿宋_GB2312" w:eastAsia="仿宋_GB2312"/>
              </w:rPr>
              <w:t>4.2.4人员更换：采购人有权根据驻场人员的服务态度、技术水平及工作表现，提出更换人员的书面建议，供应商须在收到建议后5个工作日内予以调整。</w:t>
            </w:r>
          </w:p>
          <w:p>
            <w:pPr>
              <w:pStyle w:val="null3"/>
              <w:numPr>
                <w:ilvl w:val="1"/>
                <w:numId w:val="1"/>
              </w:numPr>
            </w:pPr>
            <w:r>
              <w:rPr>
                <w:rFonts w:ascii="仿宋_GB2312" w:hAnsi="仿宋_GB2312" w:cs="仿宋_GB2312" w:eastAsia="仿宋_GB2312"/>
              </w:rPr>
              <w:t>故障响应与处置</w:t>
            </w:r>
          </w:p>
          <w:p>
            <w:pPr>
              <w:pStyle w:val="null3"/>
            </w:pPr>
            <w:r>
              <w:rPr>
                <w:rFonts w:ascii="仿宋_GB2312" w:hAnsi="仿宋_GB2312" w:cs="仿宋_GB2312" w:eastAsia="仿宋_GB2312"/>
              </w:rPr>
              <w:t>4.3.1响应机制：提供7×24小时不间断的故障响应服务。</w:t>
            </w:r>
          </w:p>
          <w:p>
            <w:pPr>
              <w:pStyle w:val="null3"/>
            </w:pPr>
            <w:r>
              <w:rPr>
                <w:rFonts w:ascii="仿宋_GB2312" w:hAnsi="仿宋_GB2312" w:cs="仿宋_GB2312" w:eastAsia="仿宋_GB2312"/>
              </w:rPr>
              <w:t>4.3.2响应时效：</w:t>
            </w:r>
          </w:p>
          <w:p>
            <w:pPr>
              <w:pStyle w:val="null3"/>
              <w:numPr>
                <w:ilvl w:val="0"/>
                <w:numId w:val="2"/>
              </w:numPr>
            </w:pPr>
            <w:r>
              <w:rPr>
                <w:rFonts w:ascii="仿宋_GB2312" w:hAnsi="仿宋_GB2312" w:cs="仿宋_GB2312" w:eastAsia="仿宋_GB2312"/>
              </w:rPr>
              <w:t>远程响应：对于普通软、硬件故障，供应商须在2小时内通过远程方式进行响应，并指导或协助采购人排查解决。</w:t>
            </w:r>
          </w:p>
          <w:p>
            <w:pPr>
              <w:pStyle w:val="null3"/>
              <w:numPr>
                <w:ilvl w:val="0"/>
                <w:numId w:val="2"/>
              </w:numPr>
            </w:pPr>
            <w:r>
              <w:rPr>
                <w:rFonts w:ascii="仿宋_GB2312" w:hAnsi="仿宋_GB2312" w:cs="仿宋_GB2312" w:eastAsia="仿宋_GB2312"/>
              </w:rPr>
              <w:t>现场处置：对于远程无法解决的故障，确需现场处理的，供应商技术人员（或指派的分支机构人员）须在72小时内抵达故障现场（偏远地区站点除外，但需提前报备）。</w:t>
            </w:r>
          </w:p>
          <w:p>
            <w:pPr>
              <w:pStyle w:val="null3"/>
            </w:pPr>
            <w:r>
              <w:rPr>
                <w:rFonts w:ascii="仿宋_GB2312" w:hAnsi="仿宋_GB2312" w:cs="仿宋_GB2312" w:eastAsia="仿宋_GB2312"/>
              </w:rPr>
              <w:t>4.3.3应急预案：发生重大故障（如数据丢失、系统大面积故障）时，供应商须立即启动应急预案，全力抢修，不受上述时效限制，直至系统恢复。</w:t>
            </w:r>
          </w:p>
          <w:p>
            <w:pPr>
              <w:pStyle w:val="null3"/>
              <w:numPr>
                <w:ilvl w:val="1"/>
                <w:numId w:val="1"/>
              </w:numPr>
            </w:pPr>
            <w:r>
              <w:rPr>
                <w:rFonts w:ascii="仿宋_GB2312" w:hAnsi="仿宋_GB2312" w:cs="仿宋_GB2312" w:eastAsia="仿宋_GB2312"/>
              </w:rPr>
              <w:t>系统运行指标</w:t>
            </w:r>
          </w:p>
          <w:p>
            <w:pPr>
              <w:pStyle w:val="null3"/>
            </w:pPr>
            <w:r>
              <w:rPr>
                <w:rFonts w:ascii="仿宋_GB2312" w:hAnsi="仿宋_GB2312" w:cs="仿宋_GB2312" w:eastAsia="仿宋_GB2312"/>
              </w:rPr>
              <w:t>4.4.1运行标准：保障监测系统全年（按365天计算）正常运行率不低于95%。</w:t>
            </w:r>
          </w:p>
          <w:p>
            <w:pPr>
              <w:pStyle w:val="null3"/>
            </w:pPr>
            <w:r>
              <w:rPr>
                <w:rFonts w:ascii="仿宋_GB2312" w:hAnsi="仿宋_GB2312" w:cs="仿宋_GB2312" w:eastAsia="仿宋_GB2312"/>
              </w:rPr>
              <w:t>4.4.2计算公式：系统正常运行率 = [（全年总时长 - 因供应商原因导致的宕机时长）/ 全年总时长] × 100%。</w:t>
            </w:r>
          </w:p>
          <w:p>
            <w:pPr>
              <w:pStyle w:val="null3"/>
            </w:pPr>
            <w:r>
              <w:rPr>
                <w:rFonts w:ascii="仿宋_GB2312" w:hAnsi="仿宋_GB2312" w:cs="仿宋_GB2312" w:eastAsia="仿宋_GB2312"/>
              </w:rPr>
              <w:t>4.4.3备件保障：供应商须在省级中心或指定地点建立备件库。须提供4套完整的调频广播监测设备（详见附表：备品备件硬件采购清单）作为现场备件，用于故障站点的快速更换。</w:t>
            </w:r>
          </w:p>
          <w:p>
            <w:pPr>
              <w:pStyle w:val="null3"/>
            </w:pPr>
            <w:r>
              <w:rPr>
                <w:rFonts w:ascii="仿宋_GB2312" w:hAnsi="仿宋_GB2312" w:cs="仿宋_GB2312" w:eastAsia="仿宋_GB2312"/>
              </w:rPr>
              <w:t>五、服务范围及内容</w:t>
            </w:r>
          </w:p>
          <w:p>
            <w:pPr>
              <w:pStyle w:val="null3"/>
            </w:pPr>
            <w:r>
              <w:rPr>
                <w:rFonts w:ascii="仿宋_GB2312" w:hAnsi="仿宋_GB2312" w:cs="仿宋_GB2312" w:eastAsia="仿宋_GB2312"/>
              </w:rPr>
              <w:t>5.1 维护范围</w:t>
            </w:r>
          </w:p>
          <w:p>
            <w:pPr>
              <w:pStyle w:val="null3"/>
            </w:pPr>
            <w:r>
              <w:rPr>
                <w:rFonts w:ascii="仿宋_GB2312" w:hAnsi="仿宋_GB2312" w:cs="仿宋_GB2312" w:eastAsia="仿宋_GB2312"/>
              </w:rPr>
              <w:t>本次运维覆盖全省1个省级中心系统平台、71个调频广播监测站点及10个地面数字电视监测站点，包括但不限于：</w:t>
            </w:r>
          </w:p>
          <w:p>
            <w:pPr>
              <w:pStyle w:val="null3"/>
              <w:numPr>
                <w:ilvl w:val="0"/>
                <w:numId w:val="3"/>
              </w:numPr>
            </w:pPr>
            <w:r>
              <w:rPr>
                <w:rFonts w:ascii="仿宋_GB2312" w:hAnsi="仿宋_GB2312" w:cs="仿宋_GB2312" w:eastAsia="仿宋_GB2312"/>
              </w:rPr>
              <w:t>前端采集设备（CPCI机箱、板卡、接收天线等）；</w:t>
            </w:r>
          </w:p>
          <w:p>
            <w:pPr>
              <w:pStyle w:val="null3"/>
              <w:numPr>
                <w:ilvl w:val="0"/>
                <w:numId w:val="3"/>
              </w:numPr>
            </w:pPr>
            <w:r>
              <w:rPr>
                <w:rFonts w:ascii="仿宋_GB2312" w:hAnsi="仿宋_GB2312" w:cs="仿宋_GB2312" w:eastAsia="仿宋_GB2312"/>
              </w:rPr>
              <w:t>前端网络设备（交换机）；</w:t>
            </w:r>
          </w:p>
          <w:p>
            <w:pPr>
              <w:pStyle w:val="null3"/>
              <w:numPr>
                <w:ilvl w:val="0"/>
                <w:numId w:val="3"/>
              </w:numPr>
            </w:pPr>
            <w:r>
              <w:rPr>
                <w:rFonts w:ascii="仿宋_GB2312" w:hAnsi="仿宋_GB2312" w:cs="仿宋_GB2312" w:eastAsia="仿宋_GB2312"/>
              </w:rPr>
              <w:t>省中心系统平台服务器、存储、应用软件及数据库。</w:t>
            </w:r>
          </w:p>
          <w:p>
            <w:pPr>
              <w:pStyle w:val="null3"/>
              <w:numPr>
                <w:ilvl w:val="1"/>
                <w:numId w:val="3"/>
              </w:numPr>
            </w:pPr>
            <w:r>
              <w:rPr>
                <w:rFonts w:ascii="仿宋_GB2312" w:hAnsi="仿宋_GB2312" w:cs="仿宋_GB2312" w:eastAsia="仿宋_GB2312"/>
              </w:rPr>
              <w:t>日常维护与巡检</w:t>
            </w:r>
          </w:p>
          <w:p>
            <w:pPr>
              <w:pStyle w:val="null3"/>
            </w:pPr>
            <w:r>
              <w:rPr>
                <w:rFonts w:ascii="仿宋_GB2312" w:hAnsi="仿宋_GB2312" w:cs="仿宋_GB2312" w:eastAsia="仿宋_GB2312"/>
              </w:rPr>
              <w:t>5.2.1远程监控：每日通过省中心系统平台对各前端设备进行远程巡查，检查网络连通性、设备运行状态、数据回传质量，每周汇总填写《采集前端维护报表（周报）》。</w:t>
            </w:r>
          </w:p>
          <w:p>
            <w:pPr>
              <w:pStyle w:val="null3"/>
            </w:pPr>
            <w:r>
              <w:rPr>
                <w:rFonts w:ascii="仿宋_GB2312" w:hAnsi="仿宋_GB2312" w:cs="仿宋_GB2312" w:eastAsia="仿宋_GB2312"/>
              </w:rPr>
              <w:t>5.2.2现场巡检：每年至少组织1次全覆盖现场巡检。对各前端设备进行外观清洁、内部除尘、信号测试、运行状态评估及隐患排查，并出具巡检报告。</w:t>
            </w:r>
          </w:p>
          <w:p>
            <w:pPr>
              <w:pStyle w:val="null3"/>
            </w:pPr>
            <w:r>
              <w:rPr>
                <w:rFonts w:ascii="仿宋_GB2312" w:hAnsi="仿宋_GB2312" w:cs="仿宋_GB2312" w:eastAsia="仿宋_GB2312"/>
              </w:rPr>
              <w:t>5.2.3设备保养：负责对前端设备进行定期除尘保养，根据采购人需求配合完成设备的搬迁、重新部署及调试工作。</w:t>
            </w:r>
          </w:p>
          <w:p>
            <w:pPr>
              <w:pStyle w:val="null3"/>
              <w:numPr>
                <w:ilvl w:val="1"/>
                <w:numId w:val="1"/>
              </w:numPr>
            </w:pPr>
            <w:r>
              <w:rPr>
                <w:rFonts w:ascii="仿宋_GB2312" w:hAnsi="仿宋_GB2312" w:cs="仿宋_GB2312" w:eastAsia="仿宋_GB2312"/>
              </w:rPr>
              <w:t>软硬件维护与维修</w:t>
            </w:r>
          </w:p>
          <w:p>
            <w:pPr>
              <w:pStyle w:val="null3"/>
            </w:pPr>
            <w:r>
              <w:rPr>
                <w:rFonts w:ascii="仿宋_GB2312" w:hAnsi="仿宋_GB2312" w:cs="仿宋_GB2312" w:eastAsia="仿宋_GB2312"/>
              </w:rPr>
              <w:t>5.3.1硬件维修：设备发生硬件故障时，优先使用备件库进行更换，恢复业务。故障件由供应商负责维修，维修期间不计入“系统宕机时长”。</w:t>
            </w:r>
          </w:p>
          <w:p>
            <w:pPr>
              <w:pStyle w:val="null3"/>
            </w:pPr>
            <w:r>
              <w:rPr>
                <w:rFonts w:ascii="仿宋_GB2312" w:hAnsi="仿宋_GB2312" w:cs="仿宋_GB2312" w:eastAsia="仿宋_GB2312"/>
              </w:rPr>
              <w:t>5.3.2软件维护：及时更新系统软件补丁，修补安全漏洞，优化数据库性能，确保系统运行在安全、稳定的环境中。</w:t>
            </w:r>
          </w:p>
          <w:p>
            <w:pPr>
              <w:pStyle w:val="null3"/>
            </w:pPr>
            <w:r>
              <w:rPr>
                <w:rFonts w:ascii="仿宋_GB2312" w:hAnsi="仿宋_GB2312" w:cs="仿宋_GB2312" w:eastAsia="仿宋_GB2312"/>
              </w:rPr>
              <w:t>5.3.3数据安全：协助采购人建立数据备份与恢复机制，确保监测数据不丢失、不被篡改。</w:t>
            </w:r>
          </w:p>
          <w:p>
            <w:pPr>
              <w:pStyle w:val="null3"/>
            </w:pPr>
            <w:r>
              <w:rPr>
                <w:rFonts w:ascii="仿宋_GB2312" w:hAnsi="仿宋_GB2312" w:cs="仿宋_GB2312" w:eastAsia="仿宋_GB2312"/>
              </w:rPr>
              <w:t>5.4中心系统平台维护</w:t>
            </w:r>
          </w:p>
          <w:p>
            <w:pPr>
              <w:pStyle w:val="null3"/>
            </w:pPr>
            <w:r>
              <w:rPr>
                <w:rFonts w:ascii="仿宋_GB2312" w:hAnsi="仿宋_GB2312" w:cs="仿宋_GB2312" w:eastAsia="仿宋_GB2312"/>
              </w:rPr>
              <w:t>为确保整个监测系统的稳定、安全、高效运行，除前端站点维护外，供应商还须承担以下中心系统平台与安全运维工作：</w:t>
            </w:r>
          </w:p>
          <w:p>
            <w:pPr>
              <w:pStyle w:val="null3"/>
            </w:pPr>
            <w:r>
              <w:rPr>
                <w:rFonts w:ascii="仿宋_GB2312" w:hAnsi="仿宋_GB2312" w:cs="仿宋_GB2312" w:eastAsia="仿宋_GB2312"/>
              </w:rPr>
              <w:t>5.4.1中心服务器与系统维护：对省中心系统所有服务器（含页面服务器、应用服务器、数据库服务器及存储服务器等）进行7×24小时性能监控，包括CPU、内存、磁盘I/O及进程状态等，及时发现并处理异常。</w:t>
            </w:r>
          </w:p>
          <w:p>
            <w:pPr>
              <w:pStyle w:val="null3"/>
            </w:pPr>
            <w:r>
              <w:rPr>
                <w:rFonts w:ascii="仿宋_GB2312" w:hAnsi="仿宋_GB2312" w:cs="仿宋_GB2312" w:eastAsia="仿宋_GB2312"/>
              </w:rPr>
              <w:t>5.4.2操作系统补丁与升级管理：建立中心服务器操作系统的补丁管理流程，分级分类处理安全补丁（高危）、功能更新（可选）和驱动更新。</w:t>
            </w:r>
          </w:p>
          <w:p>
            <w:pPr>
              <w:pStyle w:val="null3"/>
            </w:pPr>
            <w:r>
              <w:rPr>
                <w:rFonts w:ascii="仿宋_GB2312" w:hAnsi="仿宋_GB2312" w:cs="仿宋_GB2312" w:eastAsia="仿宋_GB2312"/>
              </w:rPr>
              <w:t>5.4.3安全补丁：针对对外公开的高危漏洞，供应商须在72小时内完成评估，一周内提供部署方案，经采购人同意后立即实施。</w:t>
            </w:r>
          </w:p>
          <w:p>
            <w:pPr>
              <w:pStyle w:val="null3"/>
              <w:numPr>
                <w:ilvl w:val="0"/>
                <w:numId w:val="3"/>
              </w:numPr>
            </w:pPr>
            <w:r>
              <w:rPr>
                <w:rFonts w:ascii="仿宋_GB2312" w:hAnsi="仿宋_GB2312" w:cs="仿宋_GB2312" w:eastAsia="仿宋_GB2312"/>
              </w:rPr>
              <w:t>运维报告与档案管理</w:t>
            </w:r>
          </w:p>
          <w:p>
            <w:pPr>
              <w:pStyle w:val="null3"/>
            </w:pPr>
            <w:r>
              <w:rPr>
                <w:rFonts w:ascii="仿宋_GB2312" w:hAnsi="仿宋_GB2312" w:cs="仿宋_GB2312" w:eastAsia="仿宋_GB2312"/>
              </w:rPr>
              <w:t>6.1月度报告：供应商须在每月5日前，向采购人提交上月的《运行维护工作报告》。报告内容须包含：系统运行状态分析、故障处理记录（含故障原因、处理过程、结果）、备品备件消耗情况、站点巡检记录等。</w:t>
            </w:r>
          </w:p>
          <w:p>
            <w:pPr>
              <w:pStyle w:val="null3"/>
            </w:pPr>
            <w:r>
              <w:rPr>
                <w:rFonts w:ascii="仿宋_GB2312" w:hAnsi="仿宋_GB2312" w:cs="仿宋_GB2312" w:eastAsia="仿宋_GB2312"/>
              </w:rPr>
              <w:t>6.2年度总结：服务期满前15个工作日，须提交详细的《年度运维服务总结报告》，对全年运维情况进行量化分析，并提出优化建议。</w:t>
            </w:r>
          </w:p>
          <w:p>
            <w:pPr>
              <w:pStyle w:val="null3"/>
            </w:pPr>
            <w:r>
              <w:rPr>
                <w:rFonts w:ascii="仿宋_GB2312" w:hAnsi="仿宋_GB2312" w:cs="仿宋_GB2312" w:eastAsia="仿宋_GB2312"/>
              </w:rPr>
              <w:t>6.3档案留存：所有的巡检记录、故障处理单、维护报告等须纸质归档，随时备查。</w:t>
            </w:r>
          </w:p>
          <w:p>
            <w:pPr>
              <w:pStyle w:val="null3"/>
            </w:pPr>
            <w:r>
              <w:rPr>
                <w:rFonts w:ascii="仿宋_GB2312" w:hAnsi="仿宋_GB2312" w:cs="仿宋_GB2312" w:eastAsia="仿宋_GB2312"/>
              </w:rPr>
              <w:t>七、验收与考核</w:t>
            </w:r>
          </w:p>
          <w:p>
            <w:pPr>
              <w:pStyle w:val="null3"/>
            </w:pPr>
            <w:r>
              <w:rPr>
                <w:rFonts w:ascii="仿宋_GB2312" w:hAnsi="仿宋_GB2312" w:cs="仿宋_GB2312" w:eastAsia="仿宋_GB2312"/>
              </w:rPr>
              <w:t>服务期结束后，采购人将依据合同及本技术要求，按照政府采购相关要求组织履约验收，对供应商的服务质量进行考核。本项目款项采用一次性支付方式，合同签订后供应商需按合同总金额的5%向采购人缴纳履约保证金（或保函）。履约验收及考核结果将作为是否退还履约保证金及处理违约责任的依据。</w:t>
            </w:r>
          </w:p>
          <w:p>
            <w:pPr>
              <w:pStyle w:val="null3"/>
            </w:pPr>
            <w:r>
              <w:rPr>
                <w:rFonts w:ascii="仿宋_GB2312" w:hAnsi="仿宋_GB2312" w:cs="仿宋_GB2312" w:eastAsia="仿宋_GB2312"/>
              </w:rPr>
              <w:t>7.1考核指标：</w:t>
            </w:r>
          </w:p>
          <w:p>
            <w:pPr>
              <w:pStyle w:val="null3"/>
              <w:numPr>
                <w:ilvl w:val="0"/>
                <w:numId w:val="3"/>
              </w:numPr>
            </w:pPr>
            <w:r>
              <w:rPr>
                <w:rFonts w:ascii="仿宋_GB2312" w:hAnsi="仿宋_GB2312" w:cs="仿宋_GB2312" w:eastAsia="仿宋_GB2312"/>
              </w:rPr>
              <w:t>系统全年正常运行率（目标值≥95%）；</w:t>
            </w:r>
          </w:p>
          <w:p>
            <w:pPr>
              <w:pStyle w:val="null3"/>
              <w:numPr>
                <w:ilvl w:val="0"/>
                <w:numId w:val="3"/>
              </w:numPr>
            </w:pPr>
            <w:r>
              <w:rPr>
                <w:rFonts w:ascii="仿宋_GB2312" w:hAnsi="仿宋_GB2312" w:cs="仿宋_GB2312" w:eastAsia="仿宋_GB2312"/>
              </w:rPr>
              <w:t>故障响应及时率（目标值100%）；</w:t>
            </w:r>
          </w:p>
          <w:p>
            <w:pPr>
              <w:pStyle w:val="null3"/>
              <w:numPr>
                <w:ilvl w:val="0"/>
                <w:numId w:val="3"/>
              </w:numPr>
            </w:pPr>
            <w:r>
              <w:rPr>
                <w:rFonts w:ascii="仿宋_GB2312" w:hAnsi="仿宋_GB2312" w:cs="仿宋_GB2312" w:eastAsia="仿宋_GB2312"/>
              </w:rPr>
              <w:t>报告提交及时性与规范性。</w:t>
            </w:r>
          </w:p>
          <w:p>
            <w:pPr>
              <w:pStyle w:val="null3"/>
            </w:pPr>
            <w:r>
              <w:rPr>
                <w:rFonts w:ascii="仿宋_GB2312" w:hAnsi="仿宋_GB2312" w:cs="仿宋_GB2312" w:eastAsia="仿宋_GB2312"/>
              </w:rPr>
              <w:t>7.2违约处理：若因供应商维护不当导致安全播出事故或监测数据大面积缺失，采购人有权依据《中华人民共和国民法典》及合同条款追究其违约责任，并核减相应服务费用。</w:t>
            </w:r>
          </w:p>
          <w:p>
            <w:pPr>
              <w:pStyle w:val="null3"/>
            </w:pPr>
            <w:r>
              <w:rPr>
                <w:rFonts w:ascii="仿宋_GB2312" w:hAnsi="仿宋_GB2312" w:cs="仿宋_GB2312" w:eastAsia="仿宋_GB2312"/>
              </w:rPr>
              <w:t>八、服务站点明细</w:t>
            </w:r>
          </w:p>
          <w:p>
            <w:pPr>
              <w:pStyle w:val="null3"/>
            </w:pPr>
            <w:r>
              <w:rPr>
                <w:rFonts w:ascii="仿宋_GB2312" w:hAnsi="仿宋_GB2312" w:cs="仿宋_GB2312" w:eastAsia="仿宋_GB2312"/>
              </w:rPr>
              <w:t>本项目覆盖1个省级中心系统平台、71个调频广播监测站点及10个地面数字电视监测站点，详细名单如下：</w:t>
            </w:r>
          </w:p>
          <w:p>
            <w:pPr>
              <w:pStyle w:val="null3"/>
            </w:pPr>
            <w:r>
              <w:rPr>
                <w:rFonts w:ascii="仿宋_GB2312" w:hAnsi="仿宋_GB2312" w:cs="仿宋_GB2312" w:eastAsia="仿宋_GB2312"/>
              </w:rPr>
              <w:t>表一 服务站点明细</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中心系统</w:t>
                  </w:r>
                </w:p>
                <w:p>
                  <w:pPr>
                    <w:pStyle w:val="null3"/>
                  </w:pPr>
                  <w:r>
                    <w:rPr>
                      <w:rFonts w:ascii="仿宋_GB2312" w:hAnsi="仿宋_GB2312" w:cs="仿宋_GB2312" w:eastAsia="仿宋_GB2312"/>
                    </w:rPr>
                    <w:t>平台（1个）</w:t>
                  </w:r>
                </w:p>
              </w:tc>
              <w:tc>
                <w:tcPr>
                  <w:tcW w:type="dxa" w:w="851"/>
                </w:tcPr>
                <w:p>
                  <w:pPr>
                    <w:pStyle w:val="null3"/>
                  </w:pPr>
                  <w:r>
                    <w:rPr>
                      <w:rFonts w:ascii="仿宋_GB2312" w:hAnsi="仿宋_GB2312" w:cs="仿宋_GB2312" w:eastAsia="仿宋_GB2312"/>
                    </w:rPr>
                    <w:t>西安（1个）</w:t>
                  </w:r>
                </w:p>
              </w:tc>
              <w:tc>
                <w:tcPr>
                  <w:tcW w:type="dxa" w:w="851"/>
                </w:tcPr>
                <w:p>
                  <w:pPr>
                    <w:pStyle w:val="null3"/>
                  </w:pPr>
                  <w:r>
                    <w:rPr>
                      <w:rFonts w:ascii="仿宋_GB2312" w:hAnsi="仿宋_GB2312" w:cs="仿宋_GB2312" w:eastAsia="仿宋_GB2312"/>
                    </w:rPr>
                    <w:t>省中心</w:t>
                  </w:r>
                </w:p>
              </w:tc>
            </w:tr>
            <w:tr>
              <w:tc>
                <w:tcPr>
                  <w:tcW w:type="dxa" w:w="851"/>
                  <w:vMerge w:val="restart"/>
                </w:tcPr>
                <w:p>
                  <w:pPr>
                    <w:pStyle w:val="null3"/>
                  </w:pPr>
                  <w:r>
                    <w:rPr>
                      <w:rFonts w:ascii="仿宋_GB2312" w:hAnsi="仿宋_GB2312" w:cs="仿宋_GB2312" w:eastAsia="仿宋_GB2312"/>
                    </w:rPr>
                    <w:t>调频</w:t>
                  </w:r>
                </w:p>
                <w:p>
                  <w:pPr>
                    <w:pStyle w:val="null3"/>
                  </w:pPr>
                  <w:r>
                    <w:rPr>
                      <w:rFonts w:ascii="仿宋_GB2312" w:hAnsi="仿宋_GB2312" w:cs="仿宋_GB2312" w:eastAsia="仿宋_GB2312"/>
                    </w:rPr>
                    <w:t>广播</w:t>
                  </w:r>
                </w:p>
                <w:p>
                  <w:pPr>
                    <w:pStyle w:val="null3"/>
                  </w:pPr>
                  <w:r>
                    <w:rPr>
                      <w:rFonts w:ascii="仿宋_GB2312" w:hAnsi="仿宋_GB2312" w:cs="仿宋_GB2312" w:eastAsia="仿宋_GB2312"/>
                    </w:rPr>
                    <w:t>监测</w:t>
                  </w:r>
                </w:p>
                <w:p>
                  <w:pPr>
                    <w:pStyle w:val="null3"/>
                  </w:pPr>
                  <w:r>
                    <w:rPr>
                      <w:rFonts w:ascii="仿宋_GB2312" w:hAnsi="仿宋_GB2312" w:cs="仿宋_GB2312" w:eastAsia="仿宋_GB2312"/>
                    </w:rPr>
                    <w:t>前端</w:t>
                  </w:r>
                </w:p>
                <w:p>
                  <w:pPr>
                    <w:pStyle w:val="null3"/>
                  </w:pPr>
                  <w:r>
                    <w:rPr>
                      <w:rFonts w:ascii="仿宋_GB2312" w:hAnsi="仿宋_GB2312" w:cs="仿宋_GB2312" w:eastAsia="仿宋_GB2312"/>
                    </w:rPr>
                    <w:t>（71个）</w:t>
                  </w:r>
                </w:p>
              </w:tc>
              <w:tc>
                <w:tcPr>
                  <w:tcW w:type="dxa" w:w="851"/>
                </w:tcPr>
                <w:p>
                  <w:pPr>
                    <w:pStyle w:val="null3"/>
                  </w:pPr>
                  <w:r>
                    <w:rPr>
                      <w:rFonts w:ascii="仿宋_GB2312" w:hAnsi="仿宋_GB2312" w:cs="仿宋_GB2312" w:eastAsia="仿宋_GB2312"/>
                    </w:rPr>
                    <w:t>西安（ 2个）</w:t>
                  </w:r>
                </w:p>
              </w:tc>
              <w:tc>
                <w:tcPr>
                  <w:tcW w:type="dxa" w:w="851"/>
                </w:tcPr>
                <w:p>
                  <w:pPr>
                    <w:pStyle w:val="null3"/>
                  </w:pPr>
                  <w:r>
                    <w:rPr>
                      <w:rFonts w:ascii="仿宋_GB2312" w:hAnsi="仿宋_GB2312" w:cs="仿宋_GB2312" w:eastAsia="仿宋_GB2312"/>
                    </w:rPr>
                    <w:t>省中心、蓝田</w:t>
                  </w:r>
                </w:p>
              </w:tc>
            </w:tr>
            <w:tr>
              <w:tc>
                <w:tcPr>
                  <w:tcW w:type="dxa" w:w="851"/>
                  <w:vMerge/>
                </w:tcPr>
                <w:p/>
              </w:tc>
              <w:tc>
                <w:tcPr>
                  <w:tcW w:type="dxa" w:w="851"/>
                </w:tcPr>
                <w:p>
                  <w:pPr>
                    <w:pStyle w:val="null3"/>
                  </w:pPr>
                  <w:r>
                    <w:rPr>
                      <w:rFonts w:ascii="仿宋_GB2312" w:hAnsi="仿宋_GB2312" w:cs="仿宋_GB2312" w:eastAsia="仿宋_GB2312"/>
                    </w:rPr>
                    <w:t>宝鸡（ 10个）</w:t>
                  </w:r>
                </w:p>
              </w:tc>
              <w:tc>
                <w:tcPr>
                  <w:tcW w:type="dxa" w:w="851"/>
                </w:tcPr>
                <w:p>
                  <w:pPr>
                    <w:pStyle w:val="null3"/>
                  </w:pPr>
                  <w:r>
                    <w:rPr>
                      <w:rFonts w:ascii="仿宋_GB2312" w:hAnsi="仿宋_GB2312" w:cs="仿宋_GB2312" w:eastAsia="仿宋_GB2312"/>
                    </w:rPr>
                    <w:t>宝鸡、岐山、眉县、陇县、凤县、凤翔、</w:t>
                  </w:r>
                </w:p>
                <w:p>
                  <w:pPr>
                    <w:pStyle w:val="null3"/>
                  </w:pPr>
                  <w:r>
                    <w:rPr>
                      <w:rFonts w:ascii="仿宋_GB2312" w:hAnsi="仿宋_GB2312" w:cs="仿宋_GB2312" w:eastAsia="仿宋_GB2312"/>
                    </w:rPr>
                    <w:t>扶风、麟游、太白、千阳</w:t>
                  </w:r>
                </w:p>
              </w:tc>
            </w:tr>
            <w:tr>
              <w:tc>
                <w:tcPr>
                  <w:tcW w:type="dxa" w:w="851"/>
                  <w:vMerge/>
                </w:tcPr>
                <w:p/>
              </w:tc>
              <w:tc>
                <w:tcPr>
                  <w:tcW w:type="dxa" w:w="851"/>
                </w:tcPr>
                <w:p>
                  <w:pPr>
                    <w:pStyle w:val="null3"/>
                  </w:pPr>
                  <w:r>
                    <w:rPr>
                      <w:rFonts w:ascii="仿宋_GB2312" w:hAnsi="仿宋_GB2312" w:cs="仿宋_GB2312" w:eastAsia="仿宋_GB2312"/>
                    </w:rPr>
                    <w:t>咸阳（3个）</w:t>
                  </w:r>
                </w:p>
              </w:tc>
              <w:tc>
                <w:tcPr>
                  <w:tcW w:type="dxa" w:w="851"/>
                </w:tcPr>
                <w:p>
                  <w:pPr>
                    <w:pStyle w:val="null3"/>
                  </w:pPr>
                  <w:r>
                    <w:rPr>
                      <w:rFonts w:ascii="仿宋_GB2312" w:hAnsi="仿宋_GB2312" w:cs="仿宋_GB2312" w:eastAsia="仿宋_GB2312"/>
                    </w:rPr>
                    <w:t>咸阳、彬县、长武</w:t>
                  </w:r>
                </w:p>
              </w:tc>
            </w:tr>
            <w:tr>
              <w:tc>
                <w:tcPr>
                  <w:tcW w:type="dxa" w:w="851"/>
                  <w:vMerge/>
                </w:tcPr>
                <w:p/>
              </w:tc>
              <w:tc>
                <w:tcPr>
                  <w:tcW w:type="dxa" w:w="851"/>
                </w:tcPr>
                <w:p>
                  <w:pPr>
                    <w:pStyle w:val="null3"/>
                  </w:pPr>
                  <w:r>
                    <w:rPr>
                      <w:rFonts w:ascii="仿宋_GB2312" w:hAnsi="仿宋_GB2312" w:cs="仿宋_GB2312" w:eastAsia="仿宋_GB2312"/>
                    </w:rPr>
                    <w:t>渭南（6个）</w:t>
                  </w:r>
                </w:p>
              </w:tc>
              <w:tc>
                <w:tcPr>
                  <w:tcW w:type="dxa" w:w="851"/>
                </w:tcPr>
                <w:p>
                  <w:pPr>
                    <w:pStyle w:val="null3"/>
                  </w:pPr>
                  <w:r>
                    <w:rPr>
                      <w:rFonts w:ascii="仿宋_GB2312" w:hAnsi="仿宋_GB2312" w:cs="仿宋_GB2312" w:eastAsia="仿宋_GB2312"/>
                    </w:rPr>
                    <w:t>渭南、合阳、白水、韩城、潼关、澄城</w:t>
                  </w:r>
                </w:p>
              </w:tc>
            </w:tr>
            <w:tr>
              <w:tc>
                <w:tcPr>
                  <w:tcW w:type="dxa" w:w="851"/>
                  <w:vMerge/>
                </w:tcPr>
                <w:p/>
              </w:tc>
              <w:tc>
                <w:tcPr>
                  <w:tcW w:type="dxa" w:w="851"/>
                </w:tcPr>
                <w:p>
                  <w:pPr>
                    <w:pStyle w:val="null3"/>
                  </w:pPr>
                  <w:r>
                    <w:rPr>
                      <w:rFonts w:ascii="仿宋_GB2312" w:hAnsi="仿宋_GB2312" w:cs="仿宋_GB2312" w:eastAsia="仿宋_GB2312"/>
                    </w:rPr>
                    <w:t>铜川（3个）</w:t>
                  </w:r>
                </w:p>
              </w:tc>
              <w:tc>
                <w:tcPr>
                  <w:tcW w:type="dxa" w:w="851"/>
                </w:tcPr>
                <w:p>
                  <w:pPr>
                    <w:pStyle w:val="null3"/>
                  </w:pPr>
                  <w:r>
                    <w:rPr>
                      <w:rFonts w:ascii="仿宋_GB2312" w:hAnsi="仿宋_GB2312" w:cs="仿宋_GB2312" w:eastAsia="仿宋_GB2312"/>
                    </w:rPr>
                    <w:t>铜川、耀州区、宜君</w:t>
                  </w:r>
                </w:p>
              </w:tc>
            </w:tr>
            <w:tr>
              <w:tc>
                <w:tcPr>
                  <w:tcW w:type="dxa" w:w="851"/>
                  <w:vMerge/>
                </w:tcPr>
                <w:p/>
              </w:tc>
              <w:tc>
                <w:tcPr>
                  <w:tcW w:type="dxa" w:w="851"/>
                </w:tcPr>
                <w:p>
                  <w:pPr>
                    <w:pStyle w:val="null3"/>
                  </w:pPr>
                  <w:r>
                    <w:rPr>
                      <w:rFonts w:ascii="仿宋_GB2312" w:hAnsi="仿宋_GB2312" w:cs="仿宋_GB2312" w:eastAsia="仿宋_GB2312"/>
                    </w:rPr>
                    <w:t>延安（12个）</w:t>
                  </w:r>
                </w:p>
              </w:tc>
              <w:tc>
                <w:tcPr>
                  <w:tcW w:type="dxa" w:w="851"/>
                </w:tcPr>
                <w:p>
                  <w:pPr>
                    <w:pStyle w:val="null3"/>
                  </w:pPr>
                  <w:r>
                    <w:rPr>
                      <w:rFonts w:ascii="仿宋_GB2312" w:hAnsi="仿宋_GB2312" w:cs="仿宋_GB2312" w:eastAsia="仿宋_GB2312"/>
                    </w:rPr>
                    <w:t>延安、延长、延川、安塞、吴起、宜川、</w:t>
                  </w:r>
                </w:p>
                <w:p>
                  <w:pPr>
                    <w:pStyle w:val="null3"/>
                  </w:pPr>
                  <w:r>
                    <w:rPr>
                      <w:rFonts w:ascii="仿宋_GB2312" w:hAnsi="仿宋_GB2312" w:cs="仿宋_GB2312" w:eastAsia="仿宋_GB2312"/>
                    </w:rPr>
                    <w:t>黄陵、志丹、子长、甘泉、富县、洛川</w:t>
                  </w:r>
                </w:p>
              </w:tc>
            </w:tr>
            <w:tr>
              <w:tc>
                <w:tcPr>
                  <w:tcW w:type="dxa" w:w="851"/>
                  <w:vMerge/>
                </w:tcPr>
                <w:p/>
              </w:tc>
              <w:tc>
                <w:tcPr>
                  <w:tcW w:type="dxa" w:w="851"/>
                </w:tcPr>
                <w:p>
                  <w:pPr>
                    <w:pStyle w:val="null3"/>
                  </w:pPr>
                  <w:r>
                    <w:rPr>
                      <w:rFonts w:ascii="仿宋_GB2312" w:hAnsi="仿宋_GB2312" w:cs="仿宋_GB2312" w:eastAsia="仿宋_GB2312"/>
                    </w:rPr>
                    <w:t>榆林（11个）</w:t>
                  </w:r>
                </w:p>
              </w:tc>
              <w:tc>
                <w:tcPr>
                  <w:tcW w:type="dxa" w:w="851"/>
                </w:tcPr>
                <w:p>
                  <w:pPr>
                    <w:pStyle w:val="null3"/>
                  </w:pPr>
                  <w:r>
                    <w:rPr>
                      <w:rFonts w:ascii="仿宋_GB2312" w:hAnsi="仿宋_GB2312" w:cs="仿宋_GB2312" w:eastAsia="仿宋_GB2312"/>
                    </w:rPr>
                    <w:t>榆林、定边、靖边、米脂、佳县、子洲、</w:t>
                  </w:r>
                </w:p>
                <w:p>
                  <w:pPr>
                    <w:pStyle w:val="null3"/>
                  </w:pPr>
                  <w:r>
                    <w:rPr>
                      <w:rFonts w:ascii="仿宋_GB2312" w:hAnsi="仿宋_GB2312" w:cs="仿宋_GB2312" w:eastAsia="仿宋_GB2312"/>
                    </w:rPr>
                    <w:t>神木、府谷、横山、绥德、清涧</w:t>
                  </w:r>
                </w:p>
              </w:tc>
            </w:tr>
            <w:tr>
              <w:tc>
                <w:tcPr>
                  <w:tcW w:type="dxa" w:w="851"/>
                  <w:vMerge/>
                </w:tcPr>
                <w:p/>
              </w:tc>
              <w:tc>
                <w:tcPr>
                  <w:tcW w:type="dxa" w:w="851"/>
                </w:tcPr>
                <w:p>
                  <w:pPr>
                    <w:pStyle w:val="null3"/>
                  </w:pPr>
                  <w:r>
                    <w:rPr>
                      <w:rFonts w:ascii="仿宋_GB2312" w:hAnsi="仿宋_GB2312" w:cs="仿宋_GB2312" w:eastAsia="仿宋_GB2312"/>
                    </w:rPr>
                    <w:t>汉中（7个）</w:t>
                  </w:r>
                </w:p>
              </w:tc>
              <w:tc>
                <w:tcPr>
                  <w:tcW w:type="dxa" w:w="851"/>
                </w:tcPr>
                <w:p>
                  <w:pPr>
                    <w:pStyle w:val="null3"/>
                  </w:pPr>
                  <w:r>
                    <w:rPr>
                      <w:rFonts w:ascii="仿宋_GB2312" w:hAnsi="仿宋_GB2312" w:cs="仿宋_GB2312" w:eastAsia="仿宋_GB2312"/>
                    </w:rPr>
                    <w:t>汉中、西乡、宁强、留坝、佛坪、略阳、</w:t>
                  </w:r>
                </w:p>
                <w:p>
                  <w:pPr>
                    <w:pStyle w:val="null3"/>
                  </w:pPr>
                  <w:r>
                    <w:rPr>
                      <w:rFonts w:ascii="仿宋_GB2312" w:hAnsi="仿宋_GB2312" w:cs="仿宋_GB2312" w:eastAsia="仿宋_GB2312"/>
                    </w:rPr>
                    <w:t>镇巴</w:t>
                  </w:r>
                </w:p>
              </w:tc>
            </w:tr>
            <w:tr>
              <w:tc>
                <w:tcPr>
                  <w:tcW w:type="dxa" w:w="851"/>
                  <w:vMerge/>
                </w:tcPr>
                <w:p/>
              </w:tc>
              <w:tc>
                <w:tcPr>
                  <w:tcW w:type="dxa" w:w="851"/>
                </w:tcPr>
                <w:p>
                  <w:pPr>
                    <w:pStyle w:val="null3"/>
                  </w:pPr>
                  <w:r>
                    <w:rPr>
                      <w:rFonts w:ascii="仿宋_GB2312" w:hAnsi="仿宋_GB2312" w:cs="仿宋_GB2312" w:eastAsia="仿宋_GB2312"/>
                    </w:rPr>
                    <w:t>安康（10个）</w:t>
                  </w:r>
                </w:p>
              </w:tc>
              <w:tc>
                <w:tcPr>
                  <w:tcW w:type="dxa" w:w="851"/>
                </w:tcPr>
                <w:p>
                  <w:pPr>
                    <w:pStyle w:val="null3"/>
                  </w:pPr>
                  <w:r>
                    <w:rPr>
                      <w:rFonts w:ascii="仿宋_GB2312" w:hAnsi="仿宋_GB2312" w:cs="仿宋_GB2312" w:eastAsia="仿宋_GB2312"/>
                    </w:rPr>
                    <w:t>安康、汉阴、石泉、宁陕、紫阳、岚皋、</w:t>
                  </w:r>
                </w:p>
                <w:p>
                  <w:pPr>
                    <w:pStyle w:val="null3"/>
                  </w:pPr>
                  <w:r>
                    <w:rPr>
                      <w:rFonts w:ascii="仿宋_GB2312" w:hAnsi="仿宋_GB2312" w:cs="仿宋_GB2312" w:eastAsia="仿宋_GB2312"/>
                    </w:rPr>
                    <w:t>平利、镇坪、白河、旬阳</w:t>
                  </w:r>
                </w:p>
              </w:tc>
            </w:tr>
            <w:tr>
              <w:tc>
                <w:tcPr>
                  <w:tcW w:type="dxa" w:w="851"/>
                  <w:vMerge/>
                </w:tcPr>
                <w:p/>
              </w:tc>
              <w:tc>
                <w:tcPr>
                  <w:tcW w:type="dxa" w:w="851"/>
                </w:tcPr>
                <w:p>
                  <w:pPr>
                    <w:pStyle w:val="null3"/>
                  </w:pPr>
                  <w:r>
                    <w:rPr>
                      <w:rFonts w:ascii="仿宋_GB2312" w:hAnsi="仿宋_GB2312" w:cs="仿宋_GB2312" w:eastAsia="仿宋_GB2312"/>
                    </w:rPr>
                    <w:t>商洛（7个）</w:t>
                  </w:r>
                </w:p>
              </w:tc>
              <w:tc>
                <w:tcPr>
                  <w:tcW w:type="dxa" w:w="851"/>
                </w:tcPr>
                <w:p>
                  <w:pPr>
                    <w:pStyle w:val="null3"/>
                  </w:pPr>
                  <w:r>
                    <w:rPr>
                      <w:rFonts w:ascii="仿宋_GB2312" w:hAnsi="仿宋_GB2312" w:cs="仿宋_GB2312" w:eastAsia="仿宋_GB2312"/>
                    </w:rPr>
                    <w:t>商洛、丹凤、商南、山阳、镇安、柞水、</w:t>
                  </w:r>
                </w:p>
                <w:p>
                  <w:pPr>
                    <w:pStyle w:val="null3"/>
                  </w:pPr>
                  <w:r>
                    <w:rPr>
                      <w:rFonts w:ascii="仿宋_GB2312" w:hAnsi="仿宋_GB2312" w:cs="仿宋_GB2312" w:eastAsia="仿宋_GB2312"/>
                    </w:rPr>
                    <w:t>洛南</w:t>
                  </w:r>
                </w:p>
              </w:tc>
            </w:tr>
            <w:tr>
              <w:tc>
                <w:tcPr>
                  <w:tcW w:type="dxa" w:w="851"/>
                </w:tcPr>
                <w:p>
                  <w:pPr>
                    <w:pStyle w:val="null3"/>
                  </w:pPr>
                  <w:r>
                    <w:rPr>
                      <w:rFonts w:ascii="仿宋_GB2312" w:hAnsi="仿宋_GB2312" w:cs="仿宋_GB2312" w:eastAsia="仿宋_GB2312"/>
                    </w:rPr>
                    <w:t>地面数字</w:t>
                  </w:r>
                </w:p>
                <w:p>
                  <w:pPr>
                    <w:pStyle w:val="null3"/>
                  </w:pPr>
                  <w:r>
                    <w:rPr>
                      <w:rFonts w:ascii="仿宋_GB2312" w:hAnsi="仿宋_GB2312" w:cs="仿宋_GB2312" w:eastAsia="仿宋_GB2312"/>
                    </w:rPr>
                    <w:t>监测前端</w:t>
                  </w:r>
                </w:p>
                <w:p>
                  <w:pPr>
                    <w:pStyle w:val="null3"/>
                  </w:pPr>
                  <w:r>
                    <w:rPr>
                      <w:rFonts w:ascii="仿宋_GB2312" w:hAnsi="仿宋_GB2312" w:cs="仿宋_GB2312" w:eastAsia="仿宋_GB2312"/>
                    </w:rPr>
                    <w:t>（10个）</w:t>
                  </w:r>
                </w:p>
              </w:tc>
              <w:tc>
                <w:tcPr>
                  <w:tcW w:type="dxa" w:w="1702"/>
                  <w:gridSpan w:val="2"/>
                </w:tcPr>
                <w:p>
                  <w:pPr>
                    <w:pStyle w:val="null3"/>
                  </w:pPr>
                  <w:r>
                    <w:rPr>
                      <w:rFonts w:ascii="仿宋_GB2312" w:hAnsi="仿宋_GB2312" w:cs="仿宋_GB2312" w:eastAsia="仿宋_GB2312"/>
                    </w:rPr>
                    <w:t>西安、宝鸡、咸阳、渭南、铜川、延安、榆林、汉中、</w:t>
                  </w:r>
                </w:p>
                <w:p>
                  <w:pPr>
                    <w:pStyle w:val="null3"/>
                  </w:pPr>
                  <w:r>
                    <w:rPr>
                      <w:rFonts w:ascii="仿宋_GB2312" w:hAnsi="仿宋_GB2312" w:cs="仿宋_GB2312" w:eastAsia="仿宋_GB2312"/>
                    </w:rPr>
                    <w:t>安康、商洛</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附表：备品备件硬件采购清单（单套配置）</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pPr>
                  <w:r>
                    <w:rPr>
                      <w:rFonts w:ascii="仿宋_GB2312" w:hAnsi="仿宋_GB2312" w:cs="仿宋_GB2312" w:eastAsia="仿宋_GB2312"/>
                    </w:rPr>
                    <w:t>序号</w:t>
                  </w:r>
                </w:p>
              </w:tc>
              <w:tc>
                <w:tcPr>
                  <w:tcW w:type="dxa" w:w="426"/>
                </w:tcPr>
                <w:p>
                  <w:pPr>
                    <w:pStyle w:val="null3"/>
                  </w:pPr>
                  <w:r>
                    <w:rPr>
                      <w:rFonts w:ascii="仿宋_GB2312" w:hAnsi="仿宋_GB2312" w:cs="仿宋_GB2312" w:eastAsia="仿宋_GB2312"/>
                    </w:rPr>
                    <w:t>设备</w:t>
                  </w:r>
                </w:p>
                <w:p>
                  <w:pPr>
                    <w:pStyle w:val="null3"/>
                  </w:pPr>
                  <w:r>
                    <w:rPr>
                      <w:rFonts w:ascii="仿宋_GB2312" w:hAnsi="仿宋_GB2312" w:cs="仿宋_GB2312" w:eastAsia="仿宋_GB2312"/>
                    </w:rPr>
                    <w:t>名称</w:t>
                  </w:r>
                </w:p>
              </w:tc>
              <w:tc>
                <w:tcPr>
                  <w:tcW w:type="dxa" w:w="426"/>
                </w:tcPr>
                <w:p>
                  <w:pPr>
                    <w:pStyle w:val="null3"/>
                  </w:pPr>
                  <w:r>
                    <w:rPr>
                      <w:rFonts w:ascii="仿宋_GB2312" w:hAnsi="仿宋_GB2312" w:cs="仿宋_GB2312" w:eastAsia="仿宋_GB2312"/>
                    </w:rPr>
                    <w:t>技术性能要求</w:t>
                  </w:r>
                </w:p>
              </w:tc>
              <w:tc>
                <w:tcPr>
                  <w:tcW w:type="dxa" w:w="426"/>
                </w:tcPr>
                <w:p>
                  <w:pPr>
                    <w:pStyle w:val="null3"/>
                  </w:pPr>
                  <w:r>
                    <w:rPr>
                      <w:rFonts w:ascii="仿宋_GB2312" w:hAnsi="仿宋_GB2312" w:cs="仿宋_GB2312" w:eastAsia="仿宋_GB2312"/>
                    </w:rPr>
                    <w:t>数量</w:t>
                  </w:r>
                </w:p>
              </w:tc>
              <w:tc>
                <w:tcPr>
                  <w:tcW w:type="dxa" w:w="426"/>
                </w:tcPr>
                <w:p>
                  <w:pPr>
                    <w:pStyle w:val="null3"/>
                  </w:pPr>
                  <w:r>
                    <w:rPr>
                      <w:rFonts w:ascii="仿宋_GB2312" w:hAnsi="仿宋_GB2312" w:cs="仿宋_GB2312" w:eastAsia="仿宋_GB2312"/>
                    </w:rPr>
                    <w:t>单位</w:t>
                  </w:r>
                </w:p>
              </w:tc>
              <w:tc>
                <w:tcPr>
                  <w:tcW w:type="dxa" w:w="426"/>
                </w:tcPr>
                <w:p>
                  <w:pPr>
                    <w:pStyle w:val="null3"/>
                  </w:pPr>
                  <w:r>
                    <w:rPr>
                      <w:rFonts w:ascii="仿宋_GB2312" w:hAnsi="仿宋_GB2312" w:cs="仿宋_GB2312" w:eastAsia="仿宋_GB2312"/>
                    </w:rPr>
                    <w:t>备注</w:t>
                  </w:r>
                </w:p>
              </w:tc>
            </w:tr>
            <w:tr>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广播监测采集设备</w:t>
                  </w:r>
                </w:p>
              </w:tc>
              <w:tc>
                <w:tcPr>
                  <w:tcW w:type="dxa" w:w="426"/>
                </w:tcPr>
                <w:p>
                  <w:pPr>
                    <w:pStyle w:val="null3"/>
                  </w:pPr>
                  <w:r>
                    <w:rPr>
                      <w:rFonts w:ascii="仿宋_GB2312" w:hAnsi="仿宋_GB2312" w:cs="仿宋_GB2312" w:eastAsia="仿宋_GB2312"/>
                    </w:rPr>
                    <w:t>一、设备性能要求</w:t>
                  </w:r>
                  <w:r>
                    <w:br/>
                  </w:r>
                  <w:r>
                    <w:rPr>
                      <w:rFonts w:ascii="仿宋_GB2312" w:hAnsi="仿宋_GB2312" w:cs="仿宋_GB2312" w:eastAsia="仿宋_GB2312"/>
                    </w:rPr>
                    <w:t xml:space="preserve"> 1、标准19英寸机架式机箱，</w:t>
                  </w:r>
                </w:p>
                <w:p>
                  <w:pPr>
                    <w:pStyle w:val="null3"/>
                  </w:pPr>
                  <w:r>
                    <w:rPr>
                      <w:rFonts w:ascii="仿宋_GB2312" w:hAnsi="仿宋_GB2312" w:cs="仿宋_GB2312" w:eastAsia="仿宋_GB2312"/>
                    </w:rPr>
                    <w:t>2、全部采用嵌入式设计，采用国产嵌入式 CPU，安装操作系统，低功耗；</w:t>
                  </w:r>
                  <w:r>
                    <w:br/>
                  </w:r>
                  <w:r>
                    <w:rPr>
                      <w:rFonts w:ascii="仿宋_GB2312" w:hAnsi="仿宋_GB2312" w:cs="仿宋_GB2312" w:eastAsia="仿宋_GB2312"/>
                    </w:rPr>
                    <w:t xml:space="preserve"> 3、具备冗余双电源，支持7×24小时实时监测需求；</w:t>
                  </w:r>
                  <w:r>
                    <w:br/>
                  </w:r>
                  <w:r>
                    <w:rPr>
                      <w:rFonts w:ascii="仿宋_GB2312" w:hAnsi="仿宋_GB2312" w:cs="仿宋_GB2312" w:eastAsia="仿宋_GB2312"/>
                    </w:rPr>
                    <w:t xml:space="preserve"> 4、同时支持 IPv4 和 IPv6 协议；</w:t>
                  </w:r>
                  <w:r>
                    <w:br/>
                  </w:r>
                  <w:r>
                    <w:rPr>
                      <w:rFonts w:ascii="仿宋_GB2312" w:hAnsi="仿宋_GB2312" w:cs="仿宋_GB2312" w:eastAsia="仿宋_GB2312"/>
                    </w:rPr>
                    <w:t xml:space="preserve"> 5、报警：误报率≤1%，漏报率≤1%；</w:t>
                  </w:r>
                  <w:r>
                    <w:br/>
                  </w:r>
                  <w:r>
                    <w:rPr>
                      <w:rFonts w:ascii="仿宋_GB2312" w:hAnsi="仿宋_GB2312" w:cs="仿宋_GB2312" w:eastAsia="仿宋_GB2312"/>
                    </w:rPr>
                    <w:t xml:space="preserve"> 6、音频响应时间≤2秒。</w:t>
                  </w:r>
                  <w:r>
                    <w:br/>
                  </w:r>
                  <w:r>
                    <w:rPr>
                      <w:rFonts w:ascii="仿宋_GB2312" w:hAnsi="仿宋_GB2312" w:cs="仿宋_GB2312" w:eastAsia="仿宋_GB2312"/>
                    </w:rPr>
                    <w:t xml:space="preserve"> 7、须能与陕西省广播电视监测中心现有的广播电视和融媒体智慧监测系统中心监管平台兼容且能融为一个完整的系统，实现互联互通、数据共享。</w:t>
                  </w:r>
                  <w:r>
                    <w:br/>
                  </w:r>
                  <w:r>
                    <w:rPr>
                      <w:rFonts w:ascii="仿宋_GB2312" w:hAnsi="仿宋_GB2312" w:cs="仿宋_GB2312" w:eastAsia="仿宋_GB2312"/>
                    </w:rPr>
                    <w:t xml:space="preserve"> 二、设备功能要求</w:t>
                  </w:r>
                  <w:r>
                    <w:br/>
                  </w:r>
                  <w:r>
                    <w:rPr>
                      <w:rFonts w:ascii="仿宋_GB2312" w:hAnsi="仿宋_GB2312" w:cs="仿宋_GB2312" w:eastAsia="仿宋_GB2312"/>
                    </w:rPr>
                    <w:t xml:space="preserve"> （一）调频广播监测要求</w:t>
                  </w:r>
                  <w:r>
                    <w:br/>
                  </w:r>
                  <w:r>
                    <w:rPr>
                      <w:rFonts w:ascii="仿宋_GB2312" w:hAnsi="仿宋_GB2312" w:cs="仿宋_GB2312" w:eastAsia="仿宋_GB2312"/>
                    </w:rPr>
                    <w:t xml:space="preserve"> 完成至少8套调频广播节目监测，节目监测数据本地存储，监测报警信息数据本地存储并回传中心。</w:t>
                  </w:r>
                  <w:r>
                    <w:br/>
                  </w:r>
                  <w:r>
                    <w:rPr>
                      <w:rFonts w:ascii="仿宋_GB2312" w:hAnsi="仿宋_GB2312" w:cs="仿宋_GB2312" w:eastAsia="仿宋_GB2312"/>
                    </w:rPr>
                    <w:t xml:space="preserve"> 1、支持调频广播信号的开路接收、解调、监测、编码录制功能；</w:t>
                  </w:r>
                  <w:r>
                    <w:br/>
                  </w:r>
                  <w:r>
                    <w:rPr>
                      <w:rFonts w:ascii="仿宋_GB2312" w:hAnsi="仿宋_GB2312" w:cs="仿宋_GB2312" w:eastAsia="仿宋_GB2312"/>
                    </w:rPr>
                    <w:t xml:space="preserve"> 2、FM频率接收范围：76MHz-108MHz；</w:t>
                  </w:r>
                  <w:r>
                    <w:br/>
                  </w:r>
                  <w:r>
                    <w:rPr>
                      <w:rFonts w:ascii="仿宋_GB2312" w:hAnsi="仿宋_GB2312" w:cs="仿宋_GB2312" w:eastAsia="仿宋_GB2312"/>
                    </w:rPr>
                    <w:t xml:space="preserve"> 3、具备对FM广播信号的频率、信号电平、调制度、信噪比等指标进行监测功能；</w:t>
                  </w:r>
                </w:p>
                <w:p>
                  <w:pPr>
                    <w:pStyle w:val="null3"/>
                  </w:pPr>
                  <w:r>
                    <w:rPr>
                      <w:rFonts w:ascii="仿宋_GB2312" w:hAnsi="仿宋_GB2312" w:cs="仿宋_GB2312" w:eastAsia="仿宋_GB2312"/>
                    </w:rPr>
                    <w:t>4、频点扫描功能：</w:t>
                  </w:r>
                  <w:r>
                    <w:br/>
                  </w:r>
                  <w:r>
                    <w:rPr>
                      <w:rFonts w:ascii="仿宋_GB2312" w:hAnsi="仿宋_GB2312" w:cs="仿宋_GB2312" w:eastAsia="仿宋_GB2312"/>
                    </w:rPr>
                    <w:t xml:space="preserve"> （1）须根据设定的频率范围进行频点扫描，并可记录扫描结果；</w:t>
                  </w:r>
                  <w:r>
                    <w:br/>
                  </w:r>
                  <w:r>
                    <w:rPr>
                      <w:rFonts w:ascii="仿宋_GB2312" w:hAnsi="仿宋_GB2312" w:cs="仿宋_GB2312" w:eastAsia="仿宋_GB2312"/>
                    </w:rPr>
                    <w:t xml:space="preserve"> （2）须根据布置的任务要求，通过对设定的频率范围进行逐点扫描，具备频点列表比对，自动发现新频点，并上报管理平台；</w:t>
                  </w:r>
                </w:p>
                <w:p>
                  <w:pPr>
                    <w:pStyle w:val="null3"/>
                  </w:pPr>
                  <w:r>
                    <w:rPr>
                      <w:rFonts w:ascii="仿宋_GB2312" w:hAnsi="仿宋_GB2312" w:cs="仿宋_GB2312" w:eastAsia="仿宋_GB2312"/>
                    </w:rPr>
                    <w:t>（二）存储要求</w:t>
                  </w:r>
                  <w:r>
                    <w:br/>
                  </w:r>
                  <w:r>
                    <w:rPr>
                      <w:rFonts w:ascii="仿宋_GB2312" w:hAnsi="仿宋_GB2312" w:cs="仿宋_GB2312" w:eastAsia="仿宋_GB2312"/>
                    </w:rPr>
                    <w:t xml:space="preserve"> 存储不小于2TB，以保障音视频储存。</w:t>
                  </w:r>
                </w:p>
                <w:p>
                  <w:pPr>
                    <w:pStyle w:val="null3"/>
                  </w:pPr>
                  <w:r>
                    <w:rPr>
                      <w:rFonts w:ascii="仿宋_GB2312" w:hAnsi="仿宋_GB2312" w:cs="仿宋_GB2312" w:eastAsia="仿宋_GB2312"/>
                    </w:rPr>
                    <w:t>（三）远程授时要求</w:t>
                  </w:r>
                  <w:r>
                    <w:br/>
                  </w:r>
                  <w:r>
                    <w:rPr>
                      <w:rFonts w:ascii="仿宋_GB2312" w:hAnsi="仿宋_GB2312" w:cs="仿宋_GB2312" w:eastAsia="仿宋_GB2312"/>
                    </w:rPr>
                    <w:t xml:space="preserve"> 能够自动与上级监测系统的授时服务器进行时钟同步。</w:t>
                  </w:r>
                </w:p>
              </w:tc>
              <w:tc>
                <w:tcPr>
                  <w:tcW w:type="dxa" w:w="426"/>
                </w:tcPr>
                <w:p>
                  <w:pPr>
                    <w:pStyle w:val="null3"/>
                  </w:pPr>
                  <w:r>
                    <w:rPr>
                      <w:rFonts w:ascii="仿宋_GB2312" w:hAnsi="仿宋_GB2312" w:cs="仿宋_GB2312" w:eastAsia="仿宋_GB2312"/>
                    </w:rPr>
                    <w:t>4</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须支持本地存储，支持IP远程电源控制。</w:t>
                  </w:r>
                </w:p>
                <w:p>
                  <w:pPr>
                    <w:pStyle w:val="null3"/>
                  </w:pPr>
                  <w:r>
                    <w:rPr>
                      <w:rFonts w:ascii="仿宋_GB2312" w:hAnsi="仿宋_GB2312" w:cs="仿宋_GB2312" w:eastAsia="仿宋_GB2312"/>
                    </w:rPr>
                    <w:t xml:space="preserve"> </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符合采购人对本项目的人员配置要求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符合采购人对本项目的设施设备要求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质量要求：满足采购人对本项目的服务要求。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服务期限为1年。具体起止时间以合同签订为准。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陕西省广播电视监测中心采购人指定地点。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 合同签订后10个工作日内，供应商向采购人提供符合国家规定的全额发票，采购人收到履约保证金（或履约保函）和全额发票后，达到付款条件起10个工作日内，支付合同总金额的100.0%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供应商为向采购人提供相应服务的法人或其他组织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信用资格查询</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响应处理。 具体内容及要求以“第六章 磋商办法 6.4.2评分标准”为准。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响应文件按竞争性磋商文件要求签署、盖章的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报价是否超过竞争性磋商文件中规定的最高限价的</w:t>
            </w:r>
          </w:p>
        </w:tc>
        <w:tc>
          <w:tcPr>
            <w:tcW w:type="dxa" w:w="3322"/>
          </w:tcPr>
          <w:p>
            <w:pPr>
              <w:pStyle w:val="null3"/>
            </w:pPr>
            <w:r>
              <w:rPr>
                <w:rFonts w:ascii="仿宋_GB2312" w:hAnsi="仿宋_GB2312" w:cs="仿宋_GB2312" w:eastAsia="仿宋_GB2312"/>
              </w:rPr>
              <w:t>响应报价未超过竞争性磋商文件中规定的最高限价的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商务要求各项条款、标记“★”条款（文件中无“★”项的内容不适用）、本文件规定的其他实质性要求和条件均为不允许偏离的实质性要求和条件，不满足的为无效响应</w:t>
            </w:r>
          </w:p>
        </w:tc>
        <w:tc>
          <w:tcPr>
            <w:tcW w:type="dxa" w:w="3322"/>
          </w:tcPr>
          <w:p>
            <w:pPr>
              <w:pStyle w:val="null3"/>
            </w:pPr>
            <w:r>
              <w:rPr>
                <w:rFonts w:ascii="仿宋_GB2312" w:hAnsi="仿宋_GB2312" w:cs="仿宋_GB2312" w:eastAsia="仿宋_GB2312"/>
              </w:rPr>
              <w:t>商务要求各项条款、标记“★”条款（文件中无“★”项的内容不适用）、本文件规定的其他实质性要求和条件均为不允许偏离的实质性要求和条件，不满足的为无效响应</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响应文件未发现法律法规和竞争性磋商文件规定的其他无效情形。</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供应商应授权合法的人员参加本项目磋商会议全过程</w:t>
            </w:r>
          </w:p>
        </w:tc>
        <w:tc>
          <w:tcPr>
            <w:tcW w:type="dxa" w:w="3322"/>
          </w:tcPr>
          <w:p>
            <w:pPr>
              <w:pStyle w:val="null3"/>
            </w:pPr>
            <w:r>
              <w:rPr>
                <w:rFonts w:ascii="仿宋_GB2312" w:hAnsi="仿宋_GB2312" w:cs="仿宋_GB2312" w:eastAsia="仿宋_GB2312"/>
              </w:rPr>
              <w:t>法定代表人参加磋商会议的，应出具法定代表人证明书以及法定代表人合法有效的身份证，且应与营业执照上信息一致。 法定代表人授权合法授权代表参加磋商会议的，应出具法定代表人证明书、法定代表人授权书及授权代表合法有效的身份证，同时提供截至响应文件递交时间前6个月中任意1个月的社会保险缴纳证明</w:t>
            </w:r>
          </w:p>
        </w:tc>
        <w:tc>
          <w:tcPr>
            <w:tcW w:type="dxa" w:w="1661"/>
          </w:tcPr>
          <w:p>
            <w:pPr>
              <w:pStyle w:val="null3"/>
            </w:pPr>
            <w:r>
              <w:rPr>
                <w:rFonts w:ascii="仿宋_GB2312" w:hAnsi="仿宋_GB2312" w:cs="仿宋_GB2312" w:eastAsia="仿宋_GB2312"/>
              </w:rPr>
              <w:t>法定代表人身份证明或法定代表人授权书.docx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项目重难点分析</w:t>
            </w:r>
          </w:p>
        </w:tc>
        <w:tc>
          <w:tcPr>
            <w:tcW w:type="dxa" w:w="2492"/>
          </w:tcPr>
          <w:p>
            <w:pPr>
              <w:pStyle w:val="null3"/>
            </w:pPr>
            <w:r>
              <w:rPr>
                <w:rFonts w:ascii="仿宋_GB2312" w:hAnsi="仿宋_GB2312" w:cs="仿宋_GB2312" w:eastAsia="仿宋_GB2312"/>
              </w:rPr>
              <w:t>供应商所提供的项目重难点分析，包括项目背景、服务范围（1个中心平台、71个调频站点、10个地面数字站点）、核心目标（安全播出、7×24小时不间断）的理解深度、对工作重点（如驻场服务、全省站点巡检）和难点（如偏远站点故障现场处置、重大活动保障）分析，共1项内容，每项满分3分，总分3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项目负责人具有信息化或广电相关专业中级及以上职称，计3分。（需提供证书复印件或扫描件，未提供不得分）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项目实施团队</w:t>
            </w:r>
          </w:p>
        </w:tc>
        <w:tc>
          <w:tcPr>
            <w:tcW w:type="dxa" w:w="2492"/>
          </w:tcPr>
          <w:p>
            <w:pPr>
              <w:pStyle w:val="null3"/>
            </w:pPr>
            <w:r>
              <w:rPr>
                <w:rFonts w:ascii="仿宋_GB2312" w:hAnsi="仿宋_GB2312" w:cs="仿宋_GB2312" w:eastAsia="仿宋_GB2312"/>
              </w:rPr>
              <w:t>针对本项目提供项目实施团队，包括驻场技术人员（至少1名）、后端支持人员，要求具备广播电视监测，熟悉监测流程、网络架构及软硬件故障排查，共1项内容，每项满分3分，总分3分。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前端设备维护能力</w:t>
            </w:r>
          </w:p>
        </w:tc>
        <w:tc>
          <w:tcPr>
            <w:tcW w:type="dxa" w:w="2492"/>
          </w:tcPr>
          <w:p>
            <w:pPr>
              <w:pStyle w:val="null3"/>
            </w:pPr>
            <w:r>
              <w:rPr>
                <w:rFonts w:ascii="仿宋_GB2312" w:hAnsi="仿宋_GB2312" w:cs="仿宋_GB2312" w:eastAsia="仿宋_GB2312"/>
              </w:rPr>
              <w:t>供应商所提供的前端设备维护能力要求具备调频广播监测设备和地面数字电视监测设备的板卡级维护能力，提供相关证明材料（如原厂授权、维修案例、技术人员认证等），共1项内容，每项满分3分，总分3分。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系统软件维护能力</w:t>
            </w:r>
          </w:p>
        </w:tc>
        <w:tc>
          <w:tcPr>
            <w:tcW w:type="dxa" w:w="2492"/>
          </w:tcPr>
          <w:p>
            <w:pPr>
              <w:pStyle w:val="null3"/>
            </w:pPr>
            <w:r>
              <w:rPr>
                <w:rFonts w:ascii="仿宋_GB2312" w:hAnsi="仿宋_GB2312" w:cs="仿宋_GB2312" w:eastAsia="仿宋_GB2312"/>
              </w:rPr>
              <w:t>供应商所提供的系统软件维护能力包括具备监测系统软件升级、部署、补丁管理能力，提供相关证明材料（如软件著作权、原厂授权、案例证明等），共1项内容，每项满分3分，总分3分。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服务器与网络设备维护能力</w:t>
            </w:r>
          </w:p>
        </w:tc>
        <w:tc>
          <w:tcPr>
            <w:tcW w:type="dxa" w:w="2492"/>
          </w:tcPr>
          <w:p>
            <w:pPr>
              <w:pStyle w:val="null3"/>
            </w:pPr>
            <w:r>
              <w:rPr>
                <w:rFonts w:ascii="仿宋_GB2312" w:hAnsi="仿宋_GB2312" w:cs="仿宋_GB2312" w:eastAsia="仿宋_GB2312"/>
              </w:rPr>
              <w:t>供应商所提供的服务器与网络设备维护能力包括具备存储服务器、操作系统、数据库及网络交换设备的维护能力，提供相关证明材料（如认证证书、案例证明等），共1项内容，每项满分3分，总分3分。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故障响应时效承诺</w:t>
            </w:r>
          </w:p>
        </w:tc>
        <w:tc>
          <w:tcPr>
            <w:tcW w:type="dxa" w:w="2492"/>
          </w:tcPr>
          <w:p>
            <w:pPr>
              <w:pStyle w:val="null3"/>
            </w:pPr>
            <w:r>
              <w:rPr>
                <w:rFonts w:ascii="仿宋_GB2312" w:hAnsi="仿宋_GB2312" w:cs="仿宋_GB2312" w:eastAsia="仿宋_GB2312"/>
              </w:rPr>
              <w:t>书面承诺满足以下全部时效要求：①7×24小时响应；②远程响应≤2小时；③现场处置≤72小时（偏远站点提前报备）。全部承诺计6分，每缺一项扣2分，扣完为止。（提供承诺函格式自拟）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故障处理方案</w:t>
            </w:r>
          </w:p>
        </w:tc>
        <w:tc>
          <w:tcPr>
            <w:tcW w:type="dxa" w:w="2492"/>
          </w:tcPr>
          <w:p>
            <w:pPr>
              <w:pStyle w:val="null3"/>
            </w:pPr>
            <w:r>
              <w:rPr>
                <w:rFonts w:ascii="仿宋_GB2312" w:hAnsi="仿宋_GB2312" w:cs="仿宋_GB2312" w:eastAsia="仿宋_GB2312"/>
              </w:rPr>
              <w:t>供应商所提供的故障处理方案包括①普通软硬件故障处理流程、重大故障应急预案；②故障升级机制、与采购人的协同机制，共2项内容，每项满分3分，总分6分。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远程监控与日常维护</w:t>
            </w:r>
          </w:p>
        </w:tc>
        <w:tc>
          <w:tcPr>
            <w:tcW w:type="dxa" w:w="2492"/>
          </w:tcPr>
          <w:p>
            <w:pPr>
              <w:pStyle w:val="null3"/>
            </w:pPr>
            <w:r>
              <w:rPr>
                <w:rFonts w:ascii="仿宋_GB2312" w:hAnsi="仿宋_GB2312" w:cs="仿宋_GB2312" w:eastAsia="仿宋_GB2312"/>
              </w:rPr>
              <w:t>供应商所提供的远程监控与日常维护包括提供①每日远程巡查方案，须涵盖：网络连通性、设备运行状态、数据回传质量检查；②每周汇总填写《采集前端维护报表（周报）》，共2项内容，每项满分3分，总分6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现场巡检方案</w:t>
            </w:r>
          </w:p>
        </w:tc>
        <w:tc>
          <w:tcPr>
            <w:tcW w:type="dxa" w:w="2492"/>
          </w:tcPr>
          <w:p>
            <w:pPr>
              <w:pStyle w:val="null3"/>
            </w:pPr>
            <w:r>
              <w:rPr>
                <w:rFonts w:ascii="仿宋_GB2312" w:hAnsi="仿宋_GB2312" w:cs="仿宋_GB2312" w:eastAsia="仿宋_GB2312"/>
              </w:rPr>
              <w:t>供应商所提供的现场巡检方案包括提供每年至少1次全覆盖现场巡检方案，须明确：巡检内容（外观清洁、内部除尘、信号测试、状态评估、隐患排查）、巡检流程、报告格式，共1项内容，每项满分3分，总3分。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设备保养与搬迁配合</w:t>
            </w:r>
          </w:p>
        </w:tc>
        <w:tc>
          <w:tcPr>
            <w:tcW w:type="dxa" w:w="2492"/>
          </w:tcPr>
          <w:p>
            <w:pPr>
              <w:pStyle w:val="null3"/>
            </w:pPr>
            <w:r>
              <w:rPr>
                <w:rFonts w:ascii="仿宋_GB2312" w:hAnsi="仿宋_GB2312" w:cs="仿宋_GB2312" w:eastAsia="仿宋_GB2312"/>
              </w:rPr>
              <w:t>供应商所提供的设备保养与搬迁配合包括提供设备定期除尘保养方案，以及配合设备搬迁、重新部署及调试的响应机制，共1项内容，每项满分3分，总分3分。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系统运行指标承诺</w:t>
            </w:r>
          </w:p>
        </w:tc>
        <w:tc>
          <w:tcPr>
            <w:tcW w:type="dxa" w:w="2492"/>
          </w:tcPr>
          <w:p>
            <w:pPr>
              <w:pStyle w:val="null3"/>
            </w:pPr>
            <w:r>
              <w:rPr>
                <w:rFonts w:ascii="仿宋_GB2312" w:hAnsi="仿宋_GB2312" w:cs="仿宋_GB2312" w:eastAsia="仿宋_GB2312"/>
              </w:rPr>
              <w:t>供应商所提供的系统运行指标承诺包括①书面承诺系统全年正常运行率≥95%（按365天计算）；②计算公式及数据统计方法说明。提供系统运行指标承诺函（承诺函格式自拟）计6分，未提供或提供不全均不计分。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备品备件保障方案</w:t>
            </w:r>
          </w:p>
        </w:tc>
        <w:tc>
          <w:tcPr>
            <w:tcW w:type="dxa" w:w="2492"/>
          </w:tcPr>
          <w:p>
            <w:pPr>
              <w:pStyle w:val="null3"/>
            </w:pPr>
            <w:r>
              <w:rPr>
                <w:rFonts w:ascii="仿宋_GB2312" w:hAnsi="仿宋_GB2312" w:cs="仿宋_GB2312" w:eastAsia="仿宋_GB2312"/>
              </w:rPr>
              <w:t>①供应商承诺如为成交供应商，需在合同签订后一个月内向采购人提供4套完整的调频广播监测设备（须与现有系统兼容）的采购合同、入库单或来源证明，提供相关承诺函（承诺函格式自拟）计4分，未提供或提供不全均不得分。 ②提供备件库管理制度，明确备件存储地点、管理流程、调用机制，计2分，未提供或提供不全均不得分。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中心系统平台维护方案</w:t>
            </w:r>
          </w:p>
        </w:tc>
        <w:tc>
          <w:tcPr>
            <w:tcW w:type="dxa" w:w="2492"/>
          </w:tcPr>
          <w:p>
            <w:pPr>
              <w:pStyle w:val="null3"/>
            </w:pPr>
            <w:r>
              <w:rPr>
                <w:rFonts w:ascii="仿宋_GB2312" w:hAnsi="仿宋_GB2312" w:cs="仿宋_GB2312" w:eastAsia="仿宋_GB2312"/>
              </w:rPr>
              <w:t>供应商所提供的中心系统平台维护方案包括省中心服务器（页面/应用/数据库/存储服务器）7×24小时性能监控方案、操作系统补丁管理流程、高危漏洞72小时内评估/一周内部署的响应承诺，共1项内容，每项满分3分，总分3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数据安全与备份方案</w:t>
            </w:r>
          </w:p>
        </w:tc>
        <w:tc>
          <w:tcPr>
            <w:tcW w:type="dxa" w:w="2492"/>
          </w:tcPr>
          <w:p>
            <w:pPr>
              <w:pStyle w:val="null3"/>
            </w:pPr>
            <w:r>
              <w:rPr>
                <w:rFonts w:ascii="仿宋_GB2312" w:hAnsi="仿宋_GB2312" w:cs="仿宋_GB2312" w:eastAsia="仿宋_GB2312"/>
              </w:rPr>
              <w:t>供应商所提供的数据安全与备份方案包括①备份策略（频率、内容、保留周期）②恢复演练③防篡改措施，共3项内容，每项满分3分，总分9分。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报告模板与制度</w:t>
            </w:r>
          </w:p>
        </w:tc>
        <w:tc>
          <w:tcPr>
            <w:tcW w:type="dxa" w:w="2492"/>
          </w:tcPr>
          <w:p>
            <w:pPr>
              <w:pStyle w:val="null3"/>
            </w:pPr>
            <w:r>
              <w:rPr>
                <w:rFonts w:ascii="仿宋_GB2312" w:hAnsi="仿宋_GB2312" w:cs="仿宋_GB2312" w:eastAsia="仿宋_GB2312"/>
              </w:rPr>
              <w:t>供应商所提供的报告模板与制度包括提供月度报告和年度总结报告的格式文件，要求内容完整（含系统运行分析、故障处理记录、备件消耗、巡检记录）、规范、可溯源，共1项内容，每项满分3分，总分3分。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1. 提供供应商质量管理体系认证证书（ISO9001）复印件或扫描件，计2分，未提供不得分。 2. 提供供应商ITSS信息技术服务标准认证（三级及以上）复印件或扫描件，计2分，未提供不得分。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供应商所提供的保密措施包括人员保密教育、数据访问控制、信息泄露追责机制等，共1项内容，每项满分3分，总分3分。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供应商所提供的服务承诺包括违约责任明确（含系统运行率不达标、响应不及时等情况下的处理措施）、服务监督管理机制、有利于采购人履约监管的具体措施，共1项内容，每项满分3分，总分3分。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在满足磋商文件所有要求的基础上，每提供一项经磋商小组认定的具有实用性的增值服务（如：免费提供额外备件、延长服务时间、提供技术培训、赠送巡检次数等），计1.5分，满分3分。 （需提供明确的书面服务内容和承诺书）</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提供供应商自2023年1月1日起至今的类似业绩证明材料，每提供一项有效合同的得2分，满分8分。 备注：供应商应在响应文件中提供业绩合同复印件或扫描件，时间以合同签订时间为准。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竞争性磋商文件要求且最后磋商报价最低的报价为评审基准价，其价格分为满分。其他供应商的价格分统一按照下列公式计算：磋商报价得分=（评审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详见附件：法定代表人身份证明或法定代表人授权书.docx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lvl w:ilvl="1">
      <w:start w:val="1"/>
      <w:numFmt w:val="decimal"/>
      <w:lvlText w:val="%2."/>
      <w:lvlJc w:val="left"/>
      <w:pPr>
        <w:ind w:left="360"/>
      </w:pPr>
    </w:lvl>
  </w:abstractNum>
  <w:abstractNum w:abstractNumId="1">
    <w:multiLevelType w:val="hybridMultilevel"/>
    <w:lvl w:ilvl="0">
      <w:start w:val="1"/>
      <w:numFmt w:val="bullet"/>
      <w:lvlText w:val=""/>
      <w:lvlJc w:val="left"/>
      <w:pPr>
        <w:ind w:left="0"/>
      </w:pPr>
      <w:rPr>
        <w:rFonts w:ascii="Wingdings" w:hAnsi="Wingdings" w:hint="default"/>
      </w:rPr>
    </w:lvl>
  </w:abstractNum>
  <w:abstractNum w:abstractNumId="2">
    <w:multiLevelType w:val="hybridMultilevel"/>
    <w:lvl w:ilvl="0">
      <w:start w:val="1"/>
      <w:numFmt w:val="bullet"/>
      <w:lvlText w:val=""/>
      <w:lvlJc w:val="left"/>
      <w:pPr>
        <w:ind w:left="0"/>
      </w:pPr>
      <w:rPr>
        <w:rFonts w:ascii="Wingdings" w:hAnsi="Wingdings" w:hint="default"/>
      </w:rPr>
    </w:lvl>
    <w:lvl w:ilvl="1">
      <w:start w:val="1"/>
      <w:numFmt w:val="decimal"/>
      <w:lvlText w:val="%2."/>
      <w:lvlJc w:val="left"/>
      <w:pPr>
        <w:ind w:left="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