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版本号：RTDZB(2026-030)20260716001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汉中中学食堂自主经营购买劳务服务项目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RTDZB(2026-030)</w:t>
      </w:r>
      <w:r>
        <w:br/>
      </w:r>
      <w:r>
        <w:br/>
      </w:r>
      <w:r>
        <w:br/>
      </w:r>
    </w:p>
    <w:p>
      <w:pPr>
        <w:pStyle w:val="null3"/>
        <w:jc w:val="center"/>
        <w:outlineLvl w:val="2"/>
      </w:pPr>
      <w:r>
        <w:rPr>
          <w:rFonts w:ascii="仿宋_GB2312" w:hAnsi="仿宋_GB2312" w:cs="仿宋_GB2312" w:eastAsia="仿宋_GB2312"/>
          <w:sz w:val="28"/>
          <w:b/>
        </w:rPr>
        <w:t>陕西省汉中中学</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陕西省汉中中学</w:t>
      </w:r>
      <w:r>
        <w:rPr>
          <w:rFonts w:ascii="仿宋_GB2312" w:hAnsi="仿宋_GB2312" w:cs="仿宋_GB2312" w:eastAsia="仿宋_GB2312"/>
        </w:rPr>
        <w:t>委托，拟对</w:t>
      </w:r>
      <w:r>
        <w:rPr>
          <w:rFonts w:ascii="仿宋_GB2312" w:hAnsi="仿宋_GB2312" w:cs="仿宋_GB2312" w:eastAsia="仿宋_GB2312"/>
        </w:rPr>
        <w:t>汉中中学食堂自主经营购买劳务服务项目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汉中中学食堂自主经营购买劳务服务项目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汉中中学食堂自主经营购买劳务服务项目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1、供应商须为具有独立承担民事责任能力的法人、其他组织或自然人：供应商提供合法有效的营业执照或事业单位法人证书等国家规定的相关证明， 自然人参与的提供其身份证明。</w:t>
      </w:r>
    </w:p>
    <w:p>
      <w:pPr>
        <w:pStyle w:val="null3"/>
      </w:pPr>
      <w:r>
        <w:rPr>
          <w:rFonts w:ascii="仿宋_GB2312" w:hAnsi="仿宋_GB2312" w:cs="仿宋_GB2312" w:eastAsia="仿宋_GB2312"/>
        </w:rPr>
        <w:t>2、供应商应授权合法的人员参加开标过程：供应商应授权合法的人员参加开标全过程， 其中法定代表人直接参加开标的， 须出具加盖公章的法定代表人证明书， 并与营业执照上信息一致；授权代表参加开标的， 须出具加盖公章的法定代表人授权委托书。</w:t>
      </w:r>
    </w:p>
    <w:p>
      <w:pPr>
        <w:pStyle w:val="null3"/>
      </w:pPr>
      <w:r>
        <w:rPr>
          <w:rFonts w:ascii="仿宋_GB2312" w:hAnsi="仿宋_GB2312" w:cs="仿宋_GB2312" w:eastAsia="仿宋_GB2312"/>
        </w:rPr>
        <w:t>3、供应商信用记录：供应商不得列入“信用中国-中国执行信息公开网”网站（www.creditchina.gov.cn） 中失信被执行人和重大税收违法失信主体名单， 不得为中国政府采购网（www.ccgp.gov.cn）政府采购严重违法失信行为记录名单中被财政部门禁止参加政府采购活动的供应商。提供《汉中市政府采购供应商资格承诺函》。</w:t>
      </w:r>
    </w:p>
    <w:p>
      <w:pPr>
        <w:pStyle w:val="null3"/>
      </w:pPr>
      <w:r>
        <w:rPr>
          <w:rFonts w:ascii="仿宋_GB2312" w:hAnsi="仿宋_GB2312" w:cs="仿宋_GB2312" w:eastAsia="仿宋_GB2312"/>
        </w:rPr>
        <w:t>4、供应商应具有合法有效的《食品经营许可证》：供应商应具有合法有效的《食品经营许可证》</w:t>
      </w:r>
    </w:p>
    <w:p>
      <w:pPr>
        <w:pStyle w:val="null3"/>
      </w:pPr>
      <w:r>
        <w:rPr>
          <w:rFonts w:ascii="仿宋_GB2312" w:hAnsi="仿宋_GB2312" w:cs="仿宋_GB2312" w:eastAsia="仿宋_GB2312"/>
        </w:rPr>
        <w:t>5、非联合体投标：本项目不接受联合体投标。供应商需提供加盖公章的非联合体投标承诺。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陕西省汉中中学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汉台区兴汉路211号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13484456869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石晓梅、袁凤霞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说明：如遇特殊情况，另⾏约定。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照国家计委关于印发《招标代理服务收费管理暂行办法》(计价格〔2002〕1980号)、《国家发改委办公厅关于招标代理服务收费有关问题的通知》(发改办价格〔2003〕857号)以及《国家发展改革委关于降低部分建设项目收费标准规范收费行为等有关问题的通知》(发改价格〔2011〕534号)规定的标准，经甲乙双方协商，本项目招标代理费共收取23000元整，由采购人承担，在中标通知书发出后一次结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陕西省汉中中学</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陕西省汉中中学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陕西省汉中中学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按照采购人需求验收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联系人：石晓梅、袁凤霞</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汉中中学食堂自主经营购买劳务服务项目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汉中中学食堂自主经营购买劳务服务项目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标的名称：汉中中学食堂自主经营购买劳务服务项目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105" w:right="210" w:firstLine="13"/>
            </w:pPr>
            <w:r>
              <w:rPr>
                <w:rFonts w:ascii="仿宋_GB2312" w:hAnsi="仿宋_GB2312" w:cs="仿宋_GB2312" w:eastAsia="仿宋_GB2312"/>
                <w:sz w:val="24"/>
              </w:rPr>
              <w:t>餐饮劳务服务标准及菜品配置</w:t>
            </w:r>
          </w:p>
          <w:p>
            <w:pPr>
              <w:pStyle w:val="null3"/>
              <w:spacing w:before="120"/>
              <w:ind w:left="105" w:right="210" w:firstLine="13"/>
            </w:pPr>
            <w:r>
              <w:rPr>
                <w:rFonts w:ascii="仿宋_GB2312" w:hAnsi="仿宋_GB2312" w:cs="仿宋_GB2312" w:eastAsia="仿宋_GB2312"/>
                <w:sz w:val="24"/>
              </w:rPr>
              <w:t>(一)供餐时间</w:t>
            </w:r>
          </w:p>
          <w:p>
            <w:pPr>
              <w:pStyle w:val="null3"/>
              <w:spacing w:before="120"/>
              <w:ind w:left="420"/>
              <w:jc w:val="left"/>
            </w:pPr>
            <w:r>
              <w:rPr>
                <w:rFonts w:ascii="仿宋_GB2312" w:hAnsi="仿宋_GB2312" w:cs="仿宋_GB2312" w:eastAsia="仿宋_GB2312"/>
                <w:sz w:val="24"/>
                <w:color w:val="000000"/>
              </w:rPr>
              <w:t>服</w:t>
            </w:r>
            <w:r>
              <w:rPr>
                <w:rFonts w:ascii="仿宋_GB2312" w:hAnsi="仿宋_GB2312" w:cs="仿宋_GB2312" w:eastAsia="仿宋_GB2312"/>
                <w:sz w:val="24"/>
                <w:color w:val="000000"/>
              </w:rPr>
              <w:t>务全校师生</w:t>
            </w:r>
            <w:r>
              <w:rPr>
                <w:rFonts w:ascii="仿宋_GB2312" w:hAnsi="仿宋_GB2312" w:cs="仿宋_GB2312" w:eastAsia="仿宋_GB2312"/>
                <w:sz w:val="24"/>
                <w:color w:val="000000"/>
              </w:rPr>
              <w:t>3500</w:t>
            </w:r>
            <w:r>
              <w:rPr>
                <w:rFonts w:ascii="仿宋_GB2312" w:hAnsi="仿宋_GB2312" w:cs="仿宋_GB2312" w:eastAsia="仿宋_GB2312"/>
                <w:sz w:val="24"/>
                <w:color w:val="000000"/>
              </w:rPr>
              <w:t>人左右</w:t>
            </w:r>
            <w:r>
              <w:rPr>
                <w:rFonts w:ascii="仿宋_GB2312" w:hAnsi="仿宋_GB2312" w:cs="仿宋_GB2312" w:eastAsia="仿宋_GB2312"/>
                <w:sz w:val="24"/>
                <w:color w:val="000000"/>
              </w:rPr>
              <w:t>，</w:t>
            </w:r>
            <w:r>
              <w:rPr>
                <w:rFonts w:ascii="仿宋_GB2312" w:hAnsi="仿宋_GB2312" w:cs="仿宋_GB2312" w:eastAsia="仿宋_GB2312"/>
                <w:sz w:val="24"/>
                <w:color w:val="000000"/>
              </w:rPr>
              <w:t>供餐天数约</w:t>
            </w:r>
            <w:r>
              <w:rPr>
                <w:rFonts w:ascii="仿宋_GB2312" w:hAnsi="仿宋_GB2312" w:cs="仿宋_GB2312" w:eastAsia="仿宋_GB2312"/>
                <w:sz w:val="24"/>
                <w:color w:val="000000"/>
              </w:rPr>
              <w:t>220天，具体根据学校实际安排确定</w:t>
            </w:r>
            <w:r>
              <w:rPr>
                <w:rFonts w:ascii="仿宋_GB2312" w:hAnsi="仿宋_GB2312" w:cs="仿宋_GB2312" w:eastAsia="仿宋_GB2312"/>
                <w:sz w:val="24"/>
                <w:color w:val="000000"/>
              </w:rPr>
              <w:t>。无教工餐厅，师生同灶同餐同价</w:t>
            </w:r>
            <w:r>
              <w:rPr>
                <w:rFonts w:ascii="仿宋_GB2312" w:hAnsi="仿宋_GB2312" w:cs="仿宋_GB2312" w:eastAsia="仿宋_GB2312"/>
                <w:sz w:val="24"/>
                <w:color w:val="000000"/>
              </w:rPr>
              <w:t>，</w:t>
            </w:r>
            <w:r>
              <w:rPr>
                <w:rFonts w:ascii="仿宋_GB2312" w:hAnsi="仿宋_GB2312" w:cs="仿宋_GB2312" w:eastAsia="仿宋_GB2312"/>
                <w:sz w:val="24"/>
                <w:color w:val="000000"/>
              </w:rPr>
              <w:t>售餐窗口和就餐区域师生共享，满足学校在校师生供餐需求</w:t>
            </w:r>
            <w:r>
              <w:rPr>
                <w:rFonts w:ascii="仿宋_GB2312" w:hAnsi="仿宋_GB2312" w:cs="仿宋_GB2312" w:eastAsia="仿宋_GB2312"/>
                <w:sz w:val="24"/>
                <w:color w:val="000000"/>
              </w:rPr>
              <w:t>。</w:t>
            </w:r>
          </w:p>
          <w:p>
            <w:pPr>
              <w:pStyle w:val="null3"/>
              <w:spacing w:before="120"/>
              <w:ind w:left="420"/>
              <w:jc w:val="left"/>
            </w:pPr>
            <w:r>
              <w:rPr>
                <w:rFonts w:ascii="仿宋_GB2312" w:hAnsi="仿宋_GB2312" w:cs="仿宋_GB2312" w:eastAsia="仿宋_GB2312"/>
                <w:sz w:val="24"/>
                <w:color w:val="000000"/>
              </w:rPr>
              <w:t>全年按照学校教学作息、节假日安排正常供餐，开学、放假、考试、集训等特殊时段严格按照学校临时通知调整供餐时间，保障师生全天候就餐需求。每日</w:t>
            </w:r>
            <w:r>
              <w:rPr>
                <w:rFonts w:ascii="仿宋_GB2312" w:hAnsi="仿宋_GB2312" w:cs="仿宋_GB2312" w:eastAsia="仿宋_GB2312"/>
                <w:sz w:val="24"/>
                <w:color w:val="000000"/>
              </w:rPr>
              <w:t>暂定</w:t>
            </w:r>
            <w:r>
              <w:rPr>
                <w:rFonts w:ascii="仿宋_GB2312" w:hAnsi="仿宋_GB2312" w:cs="仿宋_GB2312" w:eastAsia="仿宋_GB2312"/>
                <w:sz w:val="24"/>
                <w:color w:val="000000"/>
              </w:rPr>
              <w:t>供应早餐</w:t>
            </w:r>
            <w:r>
              <w:rPr>
                <w:rFonts w:ascii="仿宋_GB2312" w:hAnsi="仿宋_GB2312" w:cs="仿宋_GB2312" w:eastAsia="仿宋_GB2312"/>
                <w:sz w:val="24"/>
                <w:color w:val="000000"/>
              </w:rPr>
              <w:t>6:30至8:10、午餐11:30至12:30、下午餐17:30至18:40、晚餐21:50至22:30四餐</w:t>
            </w:r>
            <w:r>
              <w:rPr>
                <w:rFonts w:ascii="仿宋_GB2312" w:hAnsi="仿宋_GB2312" w:cs="仿宋_GB2312" w:eastAsia="仿宋_GB2312"/>
                <w:sz w:val="24"/>
                <w:color w:val="000000"/>
              </w:rPr>
              <w:t>，</w:t>
            </w:r>
            <w:r>
              <w:rPr>
                <w:rFonts w:ascii="仿宋_GB2312" w:hAnsi="仿宋_GB2312" w:cs="仿宋_GB2312" w:eastAsia="仿宋_GB2312"/>
                <w:sz w:val="24"/>
                <w:color w:val="000000"/>
              </w:rPr>
              <w:t>具体情况根据学校实际安排确定</w:t>
            </w:r>
            <w:r>
              <w:rPr>
                <w:rFonts w:ascii="仿宋_GB2312" w:hAnsi="仿宋_GB2312" w:cs="仿宋_GB2312" w:eastAsia="仿宋_GB2312"/>
                <w:sz w:val="24"/>
                <w:color w:val="000000"/>
              </w:rPr>
              <w:t>。</w:t>
            </w:r>
          </w:p>
          <w:p>
            <w:pPr>
              <w:pStyle w:val="null3"/>
              <w:spacing w:before="120"/>
              <w:ind w:left="105" w:right="210" w:firstLine="13"/>
            </w:pPr>
            <w:r>
              <w:rPr>
                <w:rFonts w:ascii="仿宋_GB2312" w:hAnsi="仿宋_GB2312" w:cs="仿宋_GB2312" w:eastAsia="仿宋_GB2312"/>
                <w:sz w:val="24"/>
              </w:rPr>
              <w:t>(二)菜品品类配置</w:t>
            </w:r>
          </w:p>
          <w:p>
            <w:pPr>
              <w:pStyle w:val="null3"/>
              <w:spacing w:before="120"/>
              <w:ind w:left="105" w:right="210" w:firstLine="13"/>
            </w:pPr>
            <w:r>
              <w:rPr>
                <w:rFonts w:ascii="仿宋_GB2312" w:hAnsi="仿宋_GB2312" w:cs="仿宋_GB2312" w:eastAsia="仿宋_GB2312"/>
                <w:sz w:val="24"/>
              </w:rPr>
              <w:t>严格遵循安全卫生、营养可口、经济实惠的原则，提前一周公布菜单，固定菜谱、每日微调品类的供餐制度，常态化轮换特色品类，杜绝菜品单一、长期重复问题。</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1.早餐:常态化供应面皮、稀饭、馒头、包子、水煮鸡蛋、花卷等家常品类，每日保证4种以上早餐品类，清淡养胃、营养适配师生晨间饮食需求。</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2.午餐、下午餐:以标准化米饭炒菜套餐、特色面条为主，套餐分为荤素搭配多种规格，满足不同师生就餐需求，菜品荤素配比合理、少油少盐、新鲜健康，每日更新菜品，杜绝连续重复同款菜品。</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3.晚餐:常态化供应面皮、杂粮饼、家常饼、面包、粥品等清淡易消化品类，适配师生晚间饮食需求。</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4.特色轮换品类:饺子、馄饨、米线、米粉等特色餐品穿插轮换供应，每周至少轮换2-3次，丰富师生就餐选择，提升餐饮劳务服务体验。</w:t>
            </w:r>
          </w:p>
          <w:p>
            <w:pPr>
              <w:pStyle w:val="null3"/>
              <w:spacing w:before="120"/>
              <w:ind w:left="105" w:right="210" w:firstLine="13"/>
            </w:pPr>
            <w:r>
              <w:rPr>
                <w:rFonts w:ascii="仿宋_GB2312" w:hAnsi="仿宋_GB2312" w:cs="仿宋_GB2312" w:eastAsia="仿宋_GB2312"/>
                <w:sz w:val="24"/>
              </w:rPr>
              <w:t>(三)服务要求</w:t>
            </w:r>
          </w:p>
          <w:p>
            <w:pPr>
              <w:pStyle w:val="null3"/>
              <w:spacing w:before="120"/>
              <w:ind w:left="105" w:right="210" w:firstLine="13"/>
            </w:pPr>
            <w:r>
              <w:rPr>
                <w:rFonts w:ascii="仿宋_GB2312" w:hAnsi="仿宋_GB2312" w:cs="仿宋_GB2312" w:eastAsia="仿宋_GB2312"/>
                <w:sz w:val="24"/>
              </w:rPr>
              <w:t>严格</w:t>
            </w:r>
            <w:r>
              <w:rPr>
                <w:rFonts w:ascii="仿宋_GB2312" w:hAnsi="仿宋_GB2312" w:cs="仿宋_GB2312" w:eastAsia="仿宋_GB2312"/>
                <w:sz w:val="24"/>
              </w:rPr>
              <w:t>执行《陕西省中小学</w:t>
            </w:r>
            <w:r>
              <w:rPr>
                <w:rFonts w:ascii="仿宋_GB2312" w:hAnsi="仿宋_GB2312" w:cs="仿宋_GB2312" w:eastAsia="仿宋_GB2312"/>
                <w:sz w:val="24"/>
              </w:rPr>
              <w:t>(幼儿园)食堂食品安全“十统一六到位”标准》(汉市监发〔</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36号)</w:t>
            </w:r>
            <w:r>
              <w:rPr>
                <w:rFonts w:ascii="仿宋_GB2312" w:hAnsi="仿宋_GB2312" w:cs="仿宋_GB2312" w:eastAsia="仿宋_GB2312"/>
                <w:sz w:val="24"/>
              </w:rPr>
              <w:t>文件、</w:t>
            </w:r>
            <w:r>
              <w:rPr>
                <w:rFonts w:ascii="仿宋_GB2312" w:hAnsi="仿宋_GB2312" w:cs="仿宋_GB2312" w:eastAsia="仿宋_GB2312"/>
                <w:sz w:val="24"/>
              </w:rPr>
              <w:t>《关于加强中小学校园食品安全和膳食经费管理监督的实施办法》</w:t>
            </w:r>
            <w:r>
              <w:rPr>
                <w:rFonts w:ascii="仿宋_GB2312" w:hAnsi="仿宋_GB2312" w:cs="仿宋_GB2312" w:eastAsia="仿宋_GB2312"/>
                <w:sz w:val="24"/>
              </w:rPr>
              <w:t>(汉纪发〔</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1号)，《汉中市中小学幼儿园膳食经费管理细则(试行)》(汉教发〔2025</w:t>
            </w:r>
            <w:r>
              <w:rPr>
                <w:rFonts w:ascii="仿宋_GB2312" w:hAnsi="仿宋_GB2312" w:cs="仿宋_GB2312" w:eastAsia="仿宋_GB2312"/>
                <w:sz w:val="24"/>
              </w:rPr>
              <w:t>〕</w:t>
            </w:r>
            <w:r>
              <w:rPr>
                <w:rFonts w:ascii="仿宋_GB2312" w:hAnsi="仿宋_GB2312" w:cs="仿宋_GB2312" w:eastAsia="仿宋_GB2312"/>
                <w:sz w:val="24"/>
              </w:rPr>
              <w:t>115号)，遵循安全卫生、营养可口、经济实惠的原则</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共同验收原材料</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食材入库</w:t>
            </w:r>
            <w:r>
              <w:rPr>
                <w:rFonts w:ascii="仿宋_GB2312" w:hAnsi="仿宋_GB2312" w:cs="仿宋_GB2312" w:eastAsia="仿宋_GB2312"/>
                <w:sz w:val="24"/>
                <w:color w:val="000000"/>
              </w:rPr>
              <w:t>、出库</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清洗切配</w:t>
            </w:r>
          </w:p>
          <w:p>
            <w:pPr>
              <w:pStyle w:val="null3"/>
              <w:jc w:val="left"/>
            </w:pPr>
            <w:r>
              <w:rPr>
                <w:rFonts w:ascii="仿宋_GB2312" w:hAnsi="仿宋_GB2312" w:cs="仿宋_GB2312" w:eastAsia="仿宋_GB2312"/>
                <w:sz w:val="24"/>
                <w:color w:val="000000"/>
              </w:rPr>
              <w:t>(4).烹饪制作</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配餐售卖，协助留样</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操作间</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就餐区的清洁卫生</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餐具的回收清洗消杀</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卫生垃圾处理</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所有从业人员的培训</w:t>
            </w:r>
            <w:r>
              <w:rPr>
                <w:rFonts w:ascii="仿宋_GB2312" w:hAnsi="仿宋_GB2312" w:cs="仿宋_GB2312" w:eastAsia="仿宋_GB2312"/>
                <w:sz w:val="24"/>
                <w:color w:val="000000"/>
              </w:rPr>
              <w:t>、</w:t>
            </w:r>
            <w:r>
              <w:rPr>
                <w:rFonts w:ascii="仿宋_GB2312" w:hAnsi="仿宋_GB2312" w:cs="仿宋_GB2312" w:eastAsia="仿宋_GB2312"/>
                <w:sz w:val="24"/>
                <w:color w:val="000000"/>
              </w:rPr>
              <w:t>考核</w:t>
            </w:r>
            <w:r>
              <w:rPr>
                <w:rFonts w:ascii="仿宋_GB2312" w:hAnsi="仿宋_GB2312" w:cs="仿宋_GB2312" w:eastAsia="仿宋_GB2312"/>
                <w:sz w:val="24"/>
                <w:color w:val="000000"/>
              </w:rPr>
              <w:t>、</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、健康</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人员的工资社会强制性保险及绩效考核，购买劳务服务的人员不与学校发生劳动关系</w:t>
            </w:r>
            <w:r>
              <w:rPr>
                <w:rFonts w:ascii="仿宋_GB2312" w:hAnsi="仿宋_GB2312" w:cs="仿宋_GB2312" w:eastAsia="仿宋_GB2312"/>
                <w:sz w:val="24"/>
                <w:color w:val="000000"/>
              </w:rPr>
              <w:t>和劳动合同关系，</w:t>
            </w:r>
            <w:r>
              <w:rPr>
                <w:rFonts w:ascii="仿宋_GB2312" w:hAnsi="仿宋_GB2312" w:cs="仿宋_GB2312" w:eastAsia="仿宋_GB2312"/>
                <w:sz w:val="24"/>
                <w:color w:val="000000"/>
              </w:rPr>
              <w:t>工作人员无学校从业限制，</w:t>
            </w:r>
            <w:r>
              <w:rPr>
                <w:rFonts w:ascii="仿宋_GB2312" w:hAnsi="仿宋_GB2312" w:cs="仿宋_GB2312" w:eastAsia="仿宋_GB2312"/>
                <w:sz w:val="24"/>
                <w:color w:val="000000"/>
              </w:rPr>
              <w:t>无违法犯罪记录，</w:t>
            </w:r>
            <w:r>
              <w:rPr>
                <w:rFonts w:ascii="仿宋_GB2312" w:hAnsi="仿宋_GB2312" w:cs="仿宋_GB2312" w:eastAsia="仿宋_GB2312"/>
                <w:sz w:val="24"/>
                <w:color w:val="000000"/>
              </w:rPr>
              <w:t>劳务服务的机构不参与食材采购，不参与</w:t>
            </w:r>
            <w:r>
              <w:rPr>
                <w:rFonts w:ascii="仿宋_GB2312" w:hAnsi="仿宋_GB2312" w:cs="仿宋_GB2312" w:eastAsia="仿宋_GB2312"/>
                <w:sz w:val="24"/>
                <w:color w:val="000000"/>
              </w:rPr>
              <w:t>校园餐资金</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按照全校</w:t>
            </w:r>
            <w:r>
              <w:rPr>
                <w:rFonts w:ascii="仿宋_GB2312" w:hAnsi="仿宋_GB2312" w:cs="仿宋_GB2312" w:eastAsia="仿宋_GB2312"/>
                <w:sz w:val="24"/>
                <w:color w:val="000000"/>
              </w:rPr>
              <w:t>3500</w:t>
            </w:r>
            <w:r>
              <w:rPr>
                <w:rFonts w:ascii="仿宋_GB2312" w:hAnsi="仿宋_GB2312" w:cs="仿宋_GB2312" w:eastAsia="仿宋_GB2312"/>
                <w:sz w:val="24"/>
                <w:color w:val="000000"/>
              </w:rPr>
              <w:t>人左右</w:t>
            </w:r>
            <w:r>
              <w:rPr>
                <w:rFonts w:ascii="仿宋_GB2312" w:hAnsi="仿宋_GB2312" w:cs="仿宋_GB2312" w:eastAsia="仿宋_GB2312"/>
                <w:sz w:val="24"/>
                <w:color w:val="000000"/>
              </w:rPr>
              <w:t>师生就餐规模</w:t>
            </w:r>
            <w:r>
              <w:rPr>
                <w:rFonts w:ascii="仿宋_GB2312" w:hAnsi="仿宋_GB2312" w:cs="仿宋_GB2312" w:eastAsia="仿宋_GB2312"/>
                <w:sz w:val="24"/>
                <w:color w:val="000000"/>
              </w:rPr>
              <w:t>和日均就餐人次情况</w:t>
            </w:r>
            <w:r>
              <w:rPr>
                <w:rFonts w:ascii="仿宋_GB2312" w:hAnsi="仿宋_GB2312" w:cs="仿宋_GB2312" w:eastAsia="仿宋_GB2312"/>
                <w:sz w:val="24"/>
                <w:color w:val="000000"/>
              </w:rPr>
              <w:t>，派驻工作人员数量足额配置，不得缺岗、少岗、空岗，根据就餐峰值、季节变化、节假日供餐需求动态调整人员，保障食堂高效运转。有详细的组织架构</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学校食堂自主经营购买劳务服务坚持公益性原则，</w:t>
            </w:r>
            <w:r>
              <w:rPr>
                <w:rFonts w:ascii="仿宋_GB2312" w:hAnsi="仿宋_GB2312" w:cs="仿宋_GB2312" w:eastAsia="仿宋_GB2312"/>
                <w:sz w:val="24"/>
                <w:color w:val="000000"/>
              </w:rPr>
              <w:t>营业额收入</w:t>
            </w:r>
            <w:r>
              <w:rPr>
                <w:rFonts w:ascii="仿宋_GB2312" w:hAnsi="仿宋_GB2312" w:cs="仿宋_GB2312" w:eastAsia="仿宋_GB2312"/>
                <w:sz w:val="24"/>
                <w:color w:val="000000"/>
              </w:rPr>
              <w:t>全部用于食材采购、购买劳务服务费用及水电气费用，其中食材占比不低于</w:t>
            </w:r>
            <w:r>
              <w:rPr>
                <w:rFonts w:ascii="仿宋_GB2312" w:hAnsi="仿宋_GB2312" w:cs="仿宋_GB2312" w:eastAsia="仿宋_GB2312"/>
                <w:sz w:val="24"/>
                <w:color w:val="000000"/>
              </w:rPr>
              <w:t>70%，购买劳务部分不高于28%。</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食堂的收支按照《汉中市中小学幼儿园膳食经费管理细则</w:t>
            </w:r>
            <w:r>
              <w:rPr>
                <w:rFonts w:ascii="仿宋_GB2312" w:hAnsi="仿宋_GB2312" w:cs="仿宋_GB2312" w:eastAsia="仿宋_GB2312"/>
                <w:sz w:val="24"/>
                <w:color w:val="000000"/>
              </w:rPr>
              <w:t>(试行)》(汉教发〔2025〕115号)执行。</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)固定岗位配置</w:t>
            </w:r>
          </w:p>
          <w:p>
            <w:pPr>
              <w:pStyle w:val="null3"/>
              <w:spacing w:before="120"/>
              <w:ind w:left="105" w:right="210" w:firstLine="13"/>
            </w:pPr>
            <w:r>
              <w:rPr>
                <w:rFonts w:ascii="仿宋_GB2312" w:hAnsi="仿宋_GB2312" w:cs="仿宋_GB2312" w:eastAsia="仿宋_GB2312"/>
                <w:sz w:val="24"/>
              </w:rPr>
              <w:t>1.食堂管理人员</w:t>
            </w:r>
            <w:r>
              <w:rPr>
                <w:rFonts w:ascii="仿宋_GB2312" w:hAnsi="仿宋_GB2312" w:cs="仿宋_GB2312" w:eastAsia="仿宋_GB2312"/>
                <w:sz w:val="24"/>
              </w:rPr>
              <w:t>（含食品安全总监）</w:t>
            </w:r>
            <w:r>
              <w:rPr>
                <w:rFonts w:ascii="仿宋_GB2312" w:hAnsi="仿宋_GB2312" w:cs="仿宋_GB2312" w:eastAsia="仿宋_GB2312"/>
                <w:sz w:val="24"/>
              </w:rPr>
              <w:t>2名:协助学校开展食堂日常运营管理、人员调度、服务监督、制度落实、日常对接工作，熟悉校园食堂管理流程，具备餐饮劳务服务管理经验。</w:t>
            </w:r>
          </w:p>
          <w:p>
            <w:pPr>
              <w:pStyle w:val="null3"/>
              <w:spacing w:before="120"/>
              <w:ind w:left="105" w:right="210" w:firstLine="13"/>
            </w:pPr>
            <w:r>
              <w:rPr>
                <w:rFonts w:ascii="仿宋_GB2312" w:hAnsi="仿宋_GB2312" w:cs="仿宋_GB2312" w:eastAsia="仿宋_GB2312"/>
                <w:sz w:val="24"/>
              </w:rPr>
              <w:t>2.库管1名:配合学校工作人员共同开展原材料入库验收、分类存放、出库登记、库存盘点、食材台账记录工作，严格把控食材仓储安全，杜绝食材浪费、过期、霉变问题。</w:t>
            </w:r>
          </w:p>
          <w:p>
            <w:pPr>
              <w:pStyle w:val="null3"/>
              <w:spacing w:before="120"/>
              <w:ind w:left="105" w:right="210" w:firstLine="13"/>
            </w:pPr>
            <w:r>
              <w:rPr>
                <w:rFonts w:ascii="仿宋_GB2312" w:hAnsi="仿宋_GB2312" w:cs="仿宋_GB2312" w:eastAsia="仿宋_GB2312"/>
                <w:sz w:val="24"/>
              </w:rPr>
              <w:t>3.食品安全</w:t>
            </w:r>
            <w:r>
              <w:rPr>
                <w:rFonts w:ascii="仿宋_GB2312" w:hAnsi="仿宋_GB2312" w:cs="仿宋_GB2312" w:eastAsia="仿宋_GB2312"/>
                <w:sz w:val="24"/>
              </w:rPr>
              <w:t>员</w:t>
            </w:r>
            <w:r>
              <w:rPr>
                <w:rFonts w:ascii="仿宋_GB2312" w:hAnsi="仿宋_GB2312" w:cs="仿宋_GB2312" w:eastAsia="仿宋_GB2312"/>
                <w:sz w:val="24"/>
              </w:rPr>
              <w:t>1名:</w:t>
            </w:r>
            <w:r>
              <w:rPr>
                <w:rFonts w:ascii="仿宋_GB2312" w:hAnsi="仿宋_GB2312" w:cs="仿宋_GB2312" w:eastAsia="仿宋_GB2312"/>
                <w:sz w:val="24"/>
              </w:rPr>
              <w:t>协助学校派驻的食品安全员做好后厨食品安全管控、操作规范监督、食材查验、留样管理、消杀监督、隐患排查、台账整理，每日提交食品安全巡查记录。</w:t>
            </w:r>
          </w:p>
          <w:p>
            <w:pPr>
              <w:pStyle w:val="null3"/>
              <w:spacing w:before="120"/>
              <w:ind w:left="105" w:right="210" w:firstLine="13"/>
            </w:pPr>
            <w:r>
              <w:rPr>
                <w:rFonts w:ascii="仿宋_GB2312" w:hAnsi="仿宋_GB2312" w:cs="仿宋_GB2312" w:eastAsia="仿宋_GB2312"/>
                <w:sz w:val="24"/>
              </w:rPr>
              <w:t>4.成本核算员1名:配合学校财务、食堂管理人员做好每日食材消耗、耗材使用、人工成本统计，协助完善成本台账，配合学校完成月度、学期成本核算工作。</w:t>
            </w:r>
          </w:p>
          <w:p>
            <w:pPr>
              <w:pStyle w:val="null3"/>
              <w:spacing w:before="120"/>
              <w:ind w:left="105" w:right="210" w:firstLine="13"/>
            </w:pPr>
            <w:r>
              <w:rPr>
                <w:rFonts w:ascii="仿宋_GB2312" w:hAnsi="仿宋_GB2312" w:cs="仿宋_GB2312" w:eastAsia="仿宋_GB2312"/>
                <w:sz w:val="24"/>
              </w:rPr>
              <w:t>5.留样员1名:配合学校食品安全员做好留样工作。</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)基础岗位配置</w:t>
            </w:r>
          </w:p>
          <w:p>
            <w:pPr>
              <w:pStyle w:val="null3"/>
              <w:spacing w:before="120"/>
              <w:ind w:left="105" w:right="210" w:firstLine="13"/>
            </w:pPr>
            <w:r>
              <w:rPr>
                <w:rFonts w:ascii="仿宋_GB2312" w:hAnsi="仿宋_GB2312" w:cs="仿宋_GB2312" w:eastAsia="仿宋_GB2312"/>
                <w:sz w:val="24"/>
              </w:rPr>
              <w:t>厨师、切配工、洗消工、售卖员、保洁员等一线工作人员，由投标单位根据食堂运营实际需求自主合理配置，保障</w:t>
            </w:r>
            <w:r>
              <w:rPr>
                <w:rFonts w:ascii="仿宋_GB2312" w:hAnsi="仿宋_GB2312" w:cs="仿宋_GB2312" w:eastAsia="仿宋_GB2312"/>
                <w:sz w:val="24"/>
              </w:rPr>
              <w:t>供</w:t>
            </w:r>
            <w:r>
              <w:rPr>
                <w:rFonts w:ascii="仿宋_GB2312" w:hAnsi="仿宋_GB2312" w:cs="仿宋_GB2312" w:eastAsia="仿宋_GB2312"/>
                <w:sz w:val="24"/>
              </w:rPr>
              <w:t>餐正常制作、售卖、清洁等工作，确保各岗位分工明确、高效履职。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20"/>
              <w:ind w:left="105" w:right="210" w:firstLine="13"/>
            </w:pPr>
            <w:r>
              <w:rPr>
                <w:rFonts w:ascii="仿宋_GB2312" w:hAnsi="仿宋_GB2312" w:cs="仿宋_GB2312" w:eastAsia="仿宋_GB2312"/>
                <w:sz w:val="24"/>
              </w:rPr>
              <w:t>餐饮劳务公司职责</w:t>
            </w:r>
          </w:p>
          <w:p>
            <w:pPr>
              <w:pStyle w:val="null3"/>
              <w:spacing w:before="120"/>
              <w:ind w:left="105" w:right="210" w:firstLine="13"/>
            </w:pPr>
            <w:r>
              <w:rPr>
                <w:rFonts w:ascii="仿宋_GB2312" w:hAnsi="仿宋_GB2312" w:cs="仿宋_GB2312" w:eastAsia="仿宋_GB2312"/>
                <w:sz w:val="24"/>
              </w:rPr>
              <w:t>1.人员管理职责:负责所有派驻人员的招聘、培训、管理、薪资社保发放、人员调度、岗位考核，承担全部用工法律责任，保障人员稳定在岗。餐饮劳务公司所用员工与学校无任何劳动关系、劳动合同关系或劳务关系。劳务公司应保证员工稳定，不影响寒暑假后学校正常开餐。</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2.食品安全职责:严格遵守《食品安全法》《学校食堂和学生集体用餐卫生管理规定》，落实食材加工、烹饪、留样、消杀、储存全流程规范，每日做好食品安全自查，杜绝食品安全事故。</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3.卫生消杀职责:负责食堂操作区、烹饪区、售卖区、就餐区、后厨通道、仓储区的日常清洁、深度消杀、垃圾分类清运、常态化虫害防控，保持食堂全域干净整洁、无异味、无蚊虫、无卫生死角。</w:t>
            </w:r>
          </w:p>
          <w:p>
            <w:pPr>
              <w:pStyle w:val="null3"/>
              <w:spacing w:before="120"/>
              <w:ind w:left="105" w:right="210" w:firstLine="13"/>
            </w:pPr>
            <w:r>
              <w:rPr>
                <w:rFonts w:ascii="仿宋_GB2312" w:hAnsi="仿宋_GB2312" w:cs="仿宋_GB2312" w:eastAsia="仿宋_GB2312"/>
                <w:sz w:val="24"/>
              </w:rPr>
              <w:t>▲</w:t>
            </w:r>
            <w:r>
              <w:rPr>
                <w:rFonts w:ascii="仿宋_GB2312" w:hAnsi="仿宋_GB2312" w:cs="仿宋_GB2312" w:eastAsia="仿宋_GB2312"/>
                <w:sz w:val="24"/>
              </w:rPr>
              <w:t>4.耗材运维职责:</w:t>
            </w:r>
            <w:r>
              <w:rPr>
                <w:rFonts w:ascii="仿宋_GB2312" w:hAnsi="仿宋_GB2312" w:cs="仿宋_GB2312" w:eastAsia="仿宋_GB2312"/>
                <w:sz w:val="24"/>
              </w:rPr>
              <w:t>根据就餐人数和就餐情况及时调整供餐数量，节约成本，杜绝食材浪费；</w:t>
            </w:r>
            <w:r>
              <w:rPr>
                <w:rFonts w:ascii="仿宋_GB2312" w:hAnsi="仿宋_GB2312" w:cs="仿宋_GB2312" w:eastAsia="仿宋_GB2312"/>
                <w:sz w:val="24"/>
              </w:rPr>
              <w:t>保障厨具、设备日常清洁维护，发现设备故障第一时间</w:t>
            </w:r>
            <w:r>
              <w:rPr>
                <w:rFonts w:ascii="仿宋_GB2312" w:hAnsi="仿宋_GB2312" w:cs="仿宋_GB2312" w:eastAsia="仿宋_GB2312"/>
                <w:sz w:val="24"/>
              </w:rPr>
              <w:t>报告</w:t>
            </w:r>
            <w:r>
              <w:rPr>
                <w:rFonts w:ascii="仿宋_GB2312" w:hAnsi="仿宋_GB2312" w:cs="仿宋_GB2312" w:eastAsia="仿宋_GB2312"/>
                <w:sz w:val="24"/>
              </w:rPr>
              <w:t>学校。</w:t>
            </w:r>
          </w:p>
          <w:p>
            <w:pPr>
              <w:pStyle w:val="null3"/>
              <w:spacing w:before="120"/>
              <w:ind w:left="105" w:right="210" w:firstLine="13"/>
            </w:pPr>
            <w:r>
              <w:rPr>
                <w:rFonts w:ascii="仿宋_GB2312" w:hAnsi="仿宋_GB2312" w:cs="仿宋_GB2312" w:eastAsia="仿宋_GB2312"/>
                <w:sz w:val="24"/>
              </w:rPr>
              <w:t>5.台账管理职责:规范建立并完善食品安全台账、清洁消杀台账、餐具消毒台账、食材出入库辅助台账、留样台账、人员考勤台账等，做到每日记录、每月归档，随时接受学校及监管部门检查。</w:t>
            </w:r>
          </w:p>
          <w:p>
            <w:pPr>
              <w:pStyle w:val="null3"/>
              <w:spacing w:before="120"/>
              <w:ind w:left="105" w:right="210" w:firstLine="13"/>
            </w:pPr>
            <w:r>
              <w:rPr>
                <w:rFonts w:ascii="仿宋_GB2312" w:hAnsi="仿宋_GB2312" w:cs="仿宋_GB2312" w:eastAsia="仿宋_GB2312"/>
                <w:sz w:val="24"/>
              </w:rPr>
              <w:t>6.服务保障职责:严格按照审核通过的菜谱供餐，保障菜品温热、新鲜、足量、多样，耐心对接师生就餐需求，及时整改师生反馈问题，提升服务质量。</w:t>
            </w:r>
          </w:p>
          <w:p>
            <w:pPr>
              <w:pStyle w:val="null3"/>
              <w:spacing w:before="120"/>
              <w:ind w:left="105" w:right="210" w:firstLine="13"/>
            </w:pPr>
            <w:r>
              <w:rPr>
                <w:rFonts w:ascii="仿宋_GB2312" w:hAnsi="仿宋_GB2312" w:cs="仿宋_GB2312" w:eastAsia="仿宋_GB2312"/>
                <w:sz w:val="24"/>
              </w:rPr>
              <w:t>7.应急处置职责:遇突发食品安全问题、设备故障、就餐高峰、恶劣天气、社会性考试等特殊情况，无条件配合学校做好应急供餐、隐患整改、人员调配工作。</w:t>
            </w:r>
          </w:p>
          <w:p>
            <w:pPr>
              <w:pStyle w:val="null3"/>
              <w:spacing w:before="120"/>
              <w:ind w:left="105" w:right="210" w:firstLine="13"/>
            </w:pPr>
            <w:r>
              <w:rPr>
                <w:rFonts w:ascii="仿宋_GB2312" w:hAnsi="仿宋_GB2312" w:cs="仿宋_GB2312" w:eastAsia="仿宋_GB2312"/>
                <w:sz w:val="24"/>
              </w:rPr>
              <w:t>8.乙方需规范管理、合理使用甲方提供的食品原材料及厨具设备，要爱护设施设备，不得私自处置属学校所有的资产，</w:t>
            </w:r>
            <w:r>
              <w:rPr>
                <w:rFonts w:ascii="仿宋_GB2312" w:hAnsi="仿宋_GB2312" w:cs="仿宋_GB2312" w:eastAsia="仿宋_GB2312"/>
                <w:sz w:val="24"/>
              </w:rPr>
              <w:t>不得人为损坏，若人为损坏，需照价赔偿，</w:t>
            </w:r>
            <w:r>
              <w:rPr>
                <w:rFonts w:ascii="仿宋_GB2312" w:hAnsi="仿宋_GB2312" w:cs="仿宋_GB2312" w:eastAsia="仿宋_GB2312"/>
                <w:sz w:val="24"/>
              </w:rPr>
              <w:t>不得浪费</w:t>
            </w:r>
            <w:r>
              <w:rPr>
                <w:rFonts w:ascii="仿宋_GB2312" w:hAnsi="仿宋_GB2312" w:cs="仿宋_GB2312" w:eastAsia="仿宋_GB2312"/>
                <w:sz w:val="24"/>
              </w:rPr>
              <w:t>食材</w:t>
            </w:r>
            <w:r>
              <w:rPr>
                <w:rFonts w:ascii="仿宋_GB2312" w:hAnsi="仿宋_GB2312" w:cs="仿宋_GB2312" w:eastAsia="仿宋_GB2312"/>
                <w:sz w:val="24"/>
              </w:rPr>
              <w:t>。</w:t>
            </w:r>
          </w:p>
          <w:p>
            <w:pPr>
              <w:pStyle w:val="null3"/>
              <w:spacing w:before="120"/>
              <w:ind w:left="105" w:right="210" w:firstLine="13"/>
            </w:pPr>
            <w:r>
              <w:rPr>
                <w:rFonts w:ascii="仿宋_GB2312" w:hAnsi="仿宋_GB2312" w:cs="仿宋_GB2312" w:eastAsia="仿宋_GB2312"/>
                <w:sz w:val="24"/>
              </w:rPr>
              <w:t>9</w:t>
            </w:r>
            <w:r>
              <w:rPr>
                <w:rFonts w:ascii="仿宋_GB2312" w:hAnsi="仿宋_GB2312" w:cs="仿宋_GB2312" w:eastAsia="仿宋_GB2312"/>
                <w:sz w:val="24"/>
              </w:rPr>
              <w:t>.劳务公司工作人员在学校食堂就餐的应支付餐费，应和师生同灶同餐同价，不得侵占师生利益。</w:t>
            </w:r>
          </w:p>
          <w:p>
            <w:pPr>
              <w:pStyle w:val="null3"/>
            </w:pPr>
            <w:r>
              <w:rPr>
                <w:rFonts w:ascii="仿宋_GB2312" w:hAnsi="仿宋_GB2312" w:cs="仿宋_GB2312" w:eastAsia="仿宋_GB2312"/>
                <w:sz w:val="24"/>
              </w:rPr>
              <w:t>10.劳务公司进场前所有从业人员均须提供餐饮行业要求的健康证。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20"/>
              <w:ind w:left="105" w:right="210" w:firstLine="13"/>
            </w:pPr>
            <w:r>
              <w:rPr>
                <w:rFonts w:ascii="仿宋_GB2312" w:hAnsi="仿宋_GB2312" w:cs="仿宋_GB2312" w:eastAsia="仿宋_GB2312"/>
                <w:sz w:val="24"/>
              </w:rPr>
              <w:t>（一）费用包含范围</w:t>
            </w:r>
          </w:p>
          <w:p>
            <w:pPr>
              <w:pStyle w:val="null3"/>
              <w:spacing w:before="120"/>
              <w:ind w:left="105" w:right="210" w:firstLine="13"/>
            </w:pPr>
            <w:r>
              <w:rPr>
                <w:rFonts w:ascii="仿宋_GB2312" w:hAnsi="仿宋_GB2312" w:cs="仿宋_GB2312" w:eastAsia="仿宋_GB2312"/>
                <w:sz w:val="24"/>
              </w:rPr>
              <w:t>1.食堂购买餐饮劳务外包服务费用包含餐饮劳务公司劳务人员的工资、福利、强制社会保险等所有人员费用。</w:t>
            </w:r>
          </w:p>
          <w:p>
            <w:pPr>
              <w:pStyle w:val="null3"/>
              <w:spacing w:before="120"/>
              <w:ind w:left="105" w:right="210" w:firstLine="13"/>
            </w:pPr>
            <w:r>
              <w:rPr>
                <w:rFonts w:ascii="仿宋_GB2312" w:hAnsi="仿宋_GB2312" w:cs="仿宋_GB2312" w:eastAsia="仿宋_GB2312"/>
                <w:sz w:val="24"/>
              </w:rPr>
              <w:t>(二)费用核算办法</w:t>
            </w:r>
          </w:p>
          <w:p>
            <w:pPr>
              <w:pStyle w:val="null3"/>
              <w:spacing w:before="120"/>
              <w:ind w:left="105" w:right="210" w:firstLine="13"/>
            </w:pPr>
            <w:r>
              <w:rPr>
                <w:rFonts w:ascii="仿宋_GB2312" w:hAnsi="仿宋_GB2312" w:cs="仿宋_GB2312" w:eastAsia="仿宋_GB2312"/>
                <w:sz w:val="24"/>
              </w:rPr>
              <w:t>1.原材料投入金额不低于食堂营业额的70%，餐饮劳务服务费用</w:t>
            </w:r>
            <w:r>
              <w:rPr>
                <w:rFonts w:ascii="仿宋_GB2312" w:hAnsi="仿宋_GB2312" w:cs="仿宋_GB2312" w:eastAsia="仿宋_GB2312"/>
                <w:sz w:val="24"/>
              </w:rPr>
              <w:t>不超过</w:t>
            </w:r>
            <w:r>
              <w:rPr>
                <w:rFonts w:ascii="仿宋_GB2312" w:hAnsi="仿宋_GB2312" w:cs="仿宋_GB2312" w:eastAsia="仿宋_GB2312"/>
                <w:sz w:val="24"/>
              </w:rPr>
              <w:t>营业额收入</w:t>
            </w:r>
            <w:r>
              <w:rPr>
                <w:rFonts w:ascii="仿宋_GB2312" w:hAnsi="仿宋_GB2312" w:cs="仿宋_GB2312" w:eastAsia="仿宋_GB2312"/>
                <w:sz w:val="24"/>
              </w:rPr>
              <w:t>28%</w:t>
            </w:r>
            <w:r>
              <w:rPr>
                <w:rFonts w:ascii="仿宋_GB2312" w:hAnsi="仿宋_GB2312" w:cs="仿宋_GB2312" w:eastAsia="仿宋_GB2312"/>
                <w:sz w:val="24"/>
              </w:rPr>
              <w:t>。</w:t>
            </w:r>
          </w:p>
          <w:p>
            <w:pPr>
              <w:pStyle w:val="null3"/>
              <w:spacing w:before="120"/>
              <w:ind w:left="105" w:right="210" w:firstLine="13"/>
            </w:pPr>
            <w:r>
              <w:rPr>
                <w:rFonts w:ascii="仿宋_GB2312" w:hAnsi="仿宋_GB2312" w:cs="仿宋_GB2312" w:eastAsia="仿宋_GB2312"/>
                <w:sz w:val="24"/>
              </w:rPr>
              <w:t>2.餐饮劳务费用，按周对账、按月结算后支付，每月核算后，据实从食堂营业额校园餐专户中支出。</w:t>
            </w:r>
          </w:p>
          <w:p>
            <w:pPr>
              <w:pStyle w:val="null3"/>
              <w:spacing w:before="120"/>
              <w:ind w:left="105" w:right="210" w:firstLine="13"/>
            </w:pPr>
            <w:r>
              <w:rPr>
                <w:rFonts w:ascii="仿宋_GB2312" w:hAnsi="仿宋_GB2312" w:cs="仿宋_GB2312" w:eastAsia="仿宋_GB2312"/>
                <w:sz w:val="24"/>
              </w:rPr>
              <w:t>3.费用支付，劳务公司开具正式发票后，支付劳务费用。</w:t>
            </w:r>
          </w:p>
          <w:p>
            <w:pPr>
              <w:pStyle w:val="null3"/>
              <w:spacing w:before="120"/>
              <w:ind w:left="105" w:right="210" w:firstLine="13"/>
            </w:pPr>
            <w:r>
              <w:rPr>
                <w:rFonts w:ascii="仿宋_GB2312" w:hAnsi="仿宋_GB2312" w:cs="仿宋_GB2312" w:eastAsia="仿宋_GB2312"/>
                <w:sz w:val="24"/>
              </w:rPr>
              <w:t>(三)费用说明</w:t>
            </w:r>
          </w:p>
          <w:p>
            <w:pPr>
              <w:pStyle w:val="null3"/>
            </w:pPr>
            <w:r>
              <w:rPr>
                <w:rFonts w:ascii="仿宋_GB2312" w:hAnsi="仿宋_GB2312" w:cs="仿宋_GB2312" w:eastAsia="仿宋_GB2312"/>
                <w:sz w:val="24"/>
              </w:rPr>
              <w:t>本项目无预付款、无固定包干总价，实行营业额比例核算，餐饮劳务公司不干预、不代收任何餐费。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20"/>
              <w:ind w:left="105" w:right="210" w:firstLine="13"/>
            </w:pPr>
            <w:r>
              <w:rPr>
                <w:rFonts w:ascii="仿宋_GB2312" w:hAnsi="仿宋_GB2312" w:cs="仿宋_GB2312" w:eastAsia="仿宋_GB2312"/>
                <w:sz w:val="24"/>
              </w:rPr>
              <w:t>报价要求</w:t>
            </w:r>
          </w:p>
          <w:p>
            <w:pPr>
              <w:pStyle w:val="null3"/>
              <w:spacing w:before="120"/>
              <w:ind w:left="105" w:right="210" w:firstLine="13"/>
            </w:pPr>
            <w:r>
              <w:rPr>
                <w:rFonts w:ascii="仿宋_GB2312" w:hAnsi="仿宋_GB2312" w:cs="仿宋_GB2312" w:eastAsia="仿宋_GB2312"/>
                <w:sz w:val="24"/>
              </w:rPr>
              <w:t>项目报价应综合考虑人员工资、管理费、培训费、税金、利润、以及依法缴纳社会保险，员工上下班交通等为完成本次招投标项目所发生的一切费用。同时应综合考虑合同期内政策性费用调整的风险。供应商应考虑汉中市最低工资标准及社保上调等因素，服务期限内不得以最低工资标准上调以及物价指数上涨等理由增加费用。</w:t>
            </w:r>
          </w:p>
          <w:p>
            <w:pPr>
              <w:pStyle w:val="null3"/>
            </w:pPr>
            <w:r>
              <w:rPr>
                <w:rFonts w:ascii="仿宋_GB2312" w:hAnsi="仿宋_GB2312" w:cs="仿宋_GB2312" w:eastAsia="仿宋_GB2312"/>
                <w:sz w:val="24"/>
              </w:rPr>
              <w:t>学校结合供应商投标时的下浮率报价，按食堂营业额的</w:t>
            </w:r>
            <w:r>
              <w:rPr>
                <w:rFonts w:ascii="仿宋_GB2312" w:hAnsi="仿宋_GB2312" w:cs="仿宋_GB2312" w:eastAsia="仿宋_GB2312"/>
                <w:sz w:val="24"/>
              </w:rPr>
              <w:t>28%×(1-下浮率)作为成交供货商的结算价格，成交供应商与学校每周核对，按月结算。投标报价为下浮率。例如：供应商报价为下浮率3%，餐饮劳务服务费结算价=食堂营业额的28%×（1-3%）</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厨师、切配工、洗消工、售卖员、保洁员等一线工作人员，由投标单位根据食堂运营实际需求自主合理配置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供应商在采购人提供的设施设备基础上，根据现有条件进行服务，如需补充添置必要的设备须征得采购人同意。</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1.服务范围：满足陕西省汉中中学在校师生供餐需求。 2.服务要求、服务标准：满足采购人要求，提供优质服务。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合同期限为3年， 实行一年一考核，1+1+1模式</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学校按照“十统一、六到位”要求和“日管控、周排查、月调度”制度落实情况、食品安全落实情况、师生家长反馈情况和有关部门检查情况等对餐饮劳务服务情况进行考核，每学年结束，进行综合考核，根据满意度调查情况决定是否续签第二年、第三年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进度款，第一个月（2026年8月），达到付款条件起15个工作日内，支付合同总金额的10.0%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进度款，第二个月（2026年9月-2026年10月），达到付款条件起15个工作日内，支付合同总金额的10.0%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进度款，第三个月（2026年10月-2026年11月），达到付款条件起15个工作日内，支付合同总金额的10.0%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进度款，第四个月（2026年11月-2026年12月），达到付款条件起15个工作日内，支付合同总金额的10.0%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进度款，第五个月（2026年12月-2027年1月），达到付款条件起15个工作日内，支付合同总金额的10.0%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第六个月（2027年1月-2027年2月），达到付款条件起15个工作日内，支付合同总金额的10.0%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第七个月（2027年3月-2027年4月），达到付款条件起15个工作日内，支付合同总金额的10.0%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进度款，第八个月（2027年4月-2027年5月），达到付款条件起15个工作日内，支付合同总金额的10.0%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第九个月（2027年5月-2027年6月），达到付款条件起15个工作日内，支付合同总金额的10.0%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第十个月（2026年6月-2026年7月），达到付款条件起15个工作日内，支付合同总金额的10.0%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服务期内出现重大食品安全事故、生产事故等造成师生、工作人员身体生命损伤、重大投诉影响学校声誉、多次整改无效、考核不合格、违规转包分包、触碰禁止条款等情况或上级政策变更致使合同无法继续履行的，学校有权无条件单方面终止合同，不承担任何违约责任，不承担任何补偿、赔偿责任。②因本合同及合同有关事项发⽣的争议，由甲⼄双⽅友好协商解决。协商不成时，可以向有关组织申请调解。合同⼀⽅或双⽅不愿调解或调解不成的，可以通过仲裁或诉讼的⽅式解决争议。</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在编制投标文件时，如系统格式需要在《标的清单-分项报价表》填写单价总价时，单价、总价均应填写为采购预算2850000元。2.特别注意:为顺利推进政府采购电子化交易平台应用工作，供应商需要在线提交所有通过电子化交易平台实施的政府采购项目的投标响应文件。各供应商应在递交截止时间前将响应文件上传至平台，如未按时提交响应文件或电子响应文件因供应商自身原因导致无法导入或解密，由此导致的结果由供应商自行承担。3.评审时因供应商提供文件材料不清晰导致无法辨认的，或隐瞒相关不良信息的，造成资格不通过的后果自负。4.成交供应商在采购结果发布后3个工作日内向代理机构提交纸质版响应文件以便于存档，响应文件正本1份，副本1份，电子版文件1份(U盘)。纸质响应文件均须A4纸双面打印，分别装订成册并编制目录和页码。线下递交响应文件地点:汉中市汉台区和谐春天108号楼3楼。5.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供应商提供合法有效的营业执照或事业单位法人证书等国家规定的相关证明，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供应商应授权合法的人员参加开标过程</w:t>
            </w:r>
          </w:p>
        </w:tc>
        <w:tc>
          <w:tcPr>
            <w:tcW w:type="dxa" w:w="3322"/>
          </w:tcPr>
          <w:p>
            <w:pPr>
              <w:pStyle w:val="null3"/>
            </w:pPr>
            <w:r>
              <w:rPr>
                <w:rFonts w:ascii="仿宋_GB2312" w:hAnsi="仿宋_GB2312" w:cs="仿宋_GB2312" w:eastAsia="仿宋_GB2312"/>
              </w:rPr>
              <w:t>供应商应授权合法的人员参加开标全过程， 其中法定代表人直接参加开标的， 须出具加盖公章的法定代表人证明书， 并与营业执照上信息一致；授权代表参加开标的， 须出具加盖公章的法定代表人授权委托书。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供应商不得列入“信用中国-中国执行信息公开网”网站（www.creditchina.gov.cn） 中失信被执行人和重大税收违法失信主体名单， 不得为中国政府采购网（www.ccgp.gov.cn）政府采购严重违法失信行为记录名单中被财政部门禁止参加政府采购活动的供应商。提供《汉中市政府采购供应商资格承诺函》。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供应商应具有合法有效的《食品经营许可证》</w:t>
            </w:r>
          </w:p>
        </w:tc>
        <w:tc>
          <w:tcPr>
            <w:tcW w:type="dxa" w:w="3322"/>
          </w:tcPr>
          <w:p>
            <w:pPr>
              <w:pStyle w:val="null3"/>
            </w:pPr>
            <w:r>
              <w:rPr>
                <w:rFonts w:ascii="仿宋_GB2312" w:hAnsi="仿宋_GB2312" w:cs="仿宋_GB2312" w:eastAsia="仿宋_GB2312"/>
              </w:rPr>
              <w:t>供应商应具有合法有效的《食品经营许可证》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本项目不接受联合体投标。供应商需提供加盖公章的非联合体投标承诺。</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(3)《陕西省财政厅关于进一步加大政府采购支持中小企业力度的通知》(陕财办采〔2022〕5号)； (4)《财政部 司法部关于政府采购支持监狱企业发展有关问题的通知》(财库〔2014〕68号)； (5)《三部门联合发布关于促进残疾人就业政府采购政策的通知》(财库〔2017〕41号)； (6)市场监管总局关于发布参与实施政府采购节能产品、环境标志产品认证机构名录的公告（2019年第16号）、关于印发节能产品政府采购品目清单的通知（财库〔2019〕19号）、关于印发环境标志产品政府采购品目清单的通知（财库〔2019〕18号）、关于调整优化节能产品、环境标志产品政府采购执行机制的通知（财库〔2019〕9号）、国务院办公厅关于建立政府强制采购节能产品制度的通知（国办发〔2007〕51号）； (7)《陕西省财政厅关于进一步加强政府绿色采购有关问题的通知》(陕财办采〔2021〕29号)； (8)陕西省财政厅关于印发《陕西省中小企业政府采购信用融资办法》(陕财办采〔2018〕23号)； (9)陕西省财政厅《关于加快推进我省中小企业政府采购信用融资工作的通知》(陕财办采〔2020〕15号)； （10）如有最新颁布的政府采购政策，按最新的文件执行。</w:t>
            </w:r>
          </w:p>
        </w:tc>
        <w:tc>
          <w:tcPr>
            <w:tcW w:type="dxa" w:w="1661"/>
          </w:tcPr>
          <w:p>
            <w:pPr>
              <w:pStyle w:val="null3"/>
            </w:pPr>
            <w:r>
              <w:rPr>
                <w:rFonts w:ascii="仿宋_GB2312" w:hAnsi="仿宋_GB2312" w:cs="仿宋_GB2312" w:eastAsia="仿宋_GB2312"/>
              </w:rPr>
              <w:t>开标一览表 商务响应文件 资格证明文件 投标函 供应商业绩情况表 技术响应文件 中小企业声明函 残疾人福利性单位声明函 标的清单 投标文件封面 技术商务要求偏离表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合同履行期限(实质性要求)</w:t>
            </w:r>
          </w:p>
        </w:tc>
        <w:tc>
          <w:tcPr>
            <w:tcW w:type="dxa" w:w="3322"/>
          </w:tcPr>
          <w:p>
            <w:pPr>
              <w:pStyle w:val="null3"/>
            </w:pPr>
            <w:r>
              <w:rPr>
                <w:rFonts w:ascii="仿宋_GB2312" w:hAnsi="仿宋_GB2312" w:cs="仿宋_GB2312" w:eastAsia="仿宋_GB2312"/>
              </w:rPr>
              <w:t>合同期限为3年， 实行一年一考核，1+1+1模式</w:t>
            </w:r>
          </w:p>
        </w:tc>
        <w:tc>
          <w:tcPr>
            <w:tcW w:type="dxa" w:w="1661"/>
          </w:tcPr>
          <w:p>
            <w:pPr>
              <w:pStyle w:val="null3"/>
            </w:pPr>
            <w:r>
              <w:rPr>
                <w:rFonts w:ascii="仿宋_GB2312" w:hAnsi="仿宋_GB2312" w:cs="仿宋_GB2312" w:eastAsia="仿宋_GB2312"/>
              </w:rPr>
              <w:t>标的清单 技术商务要求偏离表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投标有效期(实质性要求)</w:t>
            </w:r>
          </w:p>
        </w:tc>
        <w:tc>
          <w:tcPr>
            <w:tcW w:type="dxa" w:w="3322"/>
          </w:tcPr>
          <w:p>
            <w:pPr>
              <w:pStyle w:val="null3"/>
            </w:pPr>
            <w:r>
              <w:rPr>
                <w:rFonts w:ascii="仿宋_GB2312" w:hAnsi="仿宋_GB2312" w:cs="仿宋_GB2312" w:eastAsia="仿宋_GB2312"/>
              </w:rPr>
              <w:t>提交投标文件截止之日起90日历天。</w:t>
            </w:r>
          </w:p>
        </w:tc>
        <w:tc>
          <w:tcPr>
            <w:tcW w:type="dxa" w:w="1661"/>
          </w:tcPr>
          <w:p>
            <w:pPr>
              <w:pStyle w:val="null3"/>
            </w:pPr>
            <w:r>
              <w:rPr>
                <w:rFonts w:ascii="仿宋_GB2312" w:hAnsi="仿宋_GB2312" w:cs="仿宋_GB2312" w:eastAsia="仿宋_GB2312"/>
              </w:rPr>
              <w:t>商务响应文件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投标文件上指定位置处法定代表人或其授权委托人的签字盖章齐全。</w:t>
            </w:r>
          </w:p>
        </w:tc>
        <w:tc>
          <w:tcPr>
            <w:tcW w:type="dxa" w:w="1661"/>
          </w:tcPr>
          <w:p>
            <w:pPr>
              <w:pStyle w:val="null3"/>
            </w:pPr>
            <w:r>
              <w:rPr>
                <w:rFonts w:ascii="仿宋_GB2312" w:hAnsi="仿宋_GB2312" w:cs="仿宋_GB2312" w:eastAsia="仿宋_GB2312"/>
              </w:rPr>
              <w:t>开标一览表 商务响应文件 资格证明文件 投标函 供应商业绩情况表 技术响应文件 中小企业声明函 残疾人福利性单位声明函 标的清单 投标文件封面 技术商务要求偏离表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供应商应按照招标文件要求足额缴纳投标保证金，并提供相关凭证。</w:t>
            </w:r>
          </w:p>
        </w:tc>
        <w:tc>
          <w:tcPr>
            <w:tcW w:type="dxa" w:w="1661"/>
          </w:tcPr>
          <w:p>
            <w:pPr>
              <w:pStyle w:val="null3"/>
            </w:pPr>
            <w:r>
              <w:rPr>
                <w:rFonts w:ascii="仿宋_GB2312" w:hAnsi="仿宋_GB2312" w:cs="仿宋_GB2312" w:eastAsia="仿宋_GB2312"/>
              </w:rPr>
              <w:t>商务响应文件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供应商提供自2023年1月1日起至投标文件递交截止时间止完成的类似项目业绩， 每提供一个得2.5分,最高5分。业绩证明材料：须提供清晰合同复印件并加盖供应商公章。时间以合同签订时间为准。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供应商业绩情况表</w:t>
            </w:r>
          </w:p>
        </w:tc>
      </w:tr>
      <w:tr>
        <w:tc>
          <w:tcPr>
            <w:tcW w:type="dxa" w:w="831"/>
            <w:vMerge/>
          </w:tcPr>
          <w:p/>
        </w:tc>
        <w:tc>
          <w:tcPr>
            <w:tcW w:type="dxa" w:w="1661"/>
          </w:tcPr>
          <w:p>
            <w:pPr>
              <w:pStyle w:val="null3"/>
            </w:pPr>
            <w:r>
              <w:rPr>
                <w:rFonts w:ascii="仿宋_GB2312" w:hAnsi="仿宋_GB2312" w:cs="仿宋_GB2312" w:eastAsia="仿宋_GB2312"/>
              </w:rPr>
              <w:t>技术服务要求</w:t>
            </w:r>
          </w:p>
        </w:tc>
        <w:tc>
          <w:tcPr>
            <w:tcW w:type="dxa" w:w="2492"/>
          </w:tcPr>
          <w:p>
            <w:pPr>
              <w:pStyle w:val="null3"/>
            </w:pPr>
            <w:r>
              <w:rPr>
                <w:rFonts w:ascii="仿宋_GB2312" w:hAnsi="仿宋_GB2312" w:cs="仿宋_GB2312" w:eastAsia="仿宋_GB2312"/>
              </w:rPr>
              <w:t>供应商根据招标文件采购需求及服务要求的内容进行响应:技术指标和性能带"▲”号参数完全响应得8分;其中带"▲”号参数每负偏离一项扣1分，扣完为止（以供应商加盖公章的承诺书或方案印证）。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供应商针对本项目提供整体实施方案，包括但不限于：①总体工作思路及工作计划；②具体工作目标及内容；③服务实施细则。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p>
            <w:pPr>
              <w:pStyle w:val="null3"/>
            </w:pPr>
            <w:r>
              <w:rPr>
                <w:rFonts w:ascii="仿宋_GB2312" w:hAnsi="仿宋_GB2312" w:cs="仿宋_GB2312" w:eastAsia="仿宋_GB2312"/>
              </w:rPr>
              <w:t>技术商务要求偏离表</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一、评审内容：供应商针对本项目提供食品安全管理方案，包括但不限于：①食品安全管理体系及常态化管控方案；②消防安全检查计划及管理措施；③厨房设备安全使用管理。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p>
            <w:pPr>
              <w:pStyle w:val="null3"/>
            </w:pPr>
            <w:r>
              <w:rPr>
                <w:rFonts w:ascii="仿宋_GB2312" w:hAnsi="仿宋_GB2312" w:cs="仿宋_GB2312" w:eastAsia="仿宋_GB2312"/>
              </w:rPr>
              <w:t>技术商务要求偏离表</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一、评审内容：供应商针对本项目提供具体的食堂卫生管理方案，包括但不限于：①卫生清洁管理制度；②各区域（包括餐厅、厨房、库房等）卫生清洁服务内容及保障措施；③餐具消毒管理及餐厨废弃物处置措施。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台账管理方案</w:t>
            </w:r>
          </w:p>
        </w:tc>
        <w:tc>
          <w:tcPr>
            <w:tcW w:type="dxa" w:w="2492"/>
          </w:tcPr>
          <w:p>
            <w:pPr>
              <w:pStyle w:val="null3"/>
            </w:pPr>
            <w:r>
              <w:rPr>
                <w:rFonts w:ascii="仿宋_GB2312" w:hAnsi="仿宋_GB2312" w:cs="仿宋_GB2312" w:eastAsia="仿宋_GB2312"/>
              </w:rPr>
              <w:t>一、评审内容：供应商针对本项目提供具体的食堂台账管理方案，包括但不限于：①食堂内部相关台账档案分类及收集；②食堂内部相关管理档案保管和移交措施。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p>
            <w:pPr>
              <w:pStyle w:val="null3"/>
            </w:pPr>
            <w:r>
              <w:rPr>
                <w:rFonts w:ascii="仿宋_GB2312" w:hAnsi="仿宋_GB2312" w:cs="仿宋_GB2312" w:eastAsia="仿宋_GB2312"/>
              </w:rPr>
              <w:t>技术商务要求偏离表</w:t>
            </w:r>
          </w:p>
        </w:tc>
      </w:tr>
      <w:tr>
        <w:tc>
          <w:tcPr>
            <w:tcW w:type="dxa" w:w="831"/>
            <w:vMerge/>
          </w:tcPr>
          <w:p/>
        </w:tc>
        <w:tc>
          <w:tcPr>
            <w:tcW w:type="dxa" w:w="1661"/>
          </w:tcPr>
          <w:p>
            <w:pPr>
              <w:pStyle w:val="null3"/>
            </w:pPr>
            <w:r>
              <w:rPr>
                <w:rFonts w:ascii="仿宋_GB2312" w:hAnsi="仿宋_GB2312" w:cs="仿宋_GB2312" w:eastAsia="仿宋_GB2312"/>
              </w:rPr>
              <w:t>菜品供应方案</w:t>
            </w:r>
          </w:p>
        </w:tc>
        <w:tc>
          <w:tcPr>
            <w:tcW w:type="dxa" w:w="2492"/>
          </w:tcPr>
          <w:p>
            <w:pPr>
              <w:pStyle w:val="null3"/>
            </w:pPr>
            <w:r>
              <w:rPr>
                <w:rFonts w:ascii="仿宋_GB2312" w:hAnsi="仿宋_GB2312" w:cs="仿宋_GB2312" w:eastAsia="仿宋_GB2312"/>
              </w:rPr>
              <w:t>一、评审内容：供应商针对本项目提供具体的菜品供应方案，包括但不限于：①菜品种类、常态化轮转及特色种类供应方案；②菜品烹饪及食品安全操作规范方案；③师生饮食需求与健康管理适配方案。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岗位人员管理方案</w:t>
            </w:r>
          </w:p>
        </w:tc>
        <w:tc>
          <w:tcPr>
            <w:tcW w:type="dxa" w:w="2492"/>
          </w:tcPr>
          <w:p>
            <w:pPr>
              <w:pStyle w:val="null3"/>
            </w:pPr>
            <w:r>
              <w:rPr>
                <w:rFonts w:ascii="仿宋_GB2312" w:hAnsi="仿宋_GB2312" w:cs="仿宋_GB2312" w:eastAsia="仿宋_GB2312"/>
              </w:rPr>
              <w:t>一、评审内容：供应商针对本项目提供岗位人员管理方案，包括但不限于：①岗位职责及操作规范；②员工日常考核管理办法。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一、评审内容：供应商针对本项目提供具体的培训方案，包括但不限于：①核心培训目标与原则；②培训内容与培训方式。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p>
            <w:pPr>
              <w:pStyle w:val="null3"/>
            </w:pPr>
            <w:r>
              <w:rPr>
                <w:rFonts w:ascii="仿宋_GB2312" w:hAnsi="仿宋_GB2312" w:cs="仿宋_GB2312" w:eastAsia="仿宋_GB2312"/>
              </w:rPr>
              <w:t>技术商务要求偏离表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一、评审内容：供应商针对本项目提供具体的应急预案，包括但不限于：①停水、停电、停气、消防安全突发事件应急预案；②食物中毒应急预案及舆论管控应急预案；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服务承诺，包括但不限于：①经营场地、大型厨具设备人为损坏照价赔偿的承诺；②不私自向师生收取饭卡工本费、不接触任何食材采购资金、不代收/截留师生餐费的承诺；③不私自采购食材、替换学校指定采购渠道食材；不使用三无食材、过期变质食材的承诺；④不擅自调整、提高、变相更改学校核定菜品价格的承诺；⑤严格配合学校及教育主管部门、市场监管部门各项检查、督查、整改工作的承诺；⑥供应商负责所有人员的工资发放、社保缴纳、岗前培训、在岗安全教育、职业道德培训。承担全部用工风险、劳动纠纷、工伤责任的承诺。 二、评审标准：每具有一项详细承诺得1分，最高得6分，未提供不得分。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商务响应文件</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无经营违规的承诺</w:t>
            </w:r>
          </w:p>
        </w:tc>
        <w:tc>
          <w:tcPr>
            <w:tcW w:type="dxa" w:w="2492"/>
          </w:tcPr>
          <w:p>
            <w:pPr>
              <w:pStyle w:val="null3"/>
            </w:pPr>
            <w:r>
              <w:rPr>
                <w:rFonts w:ascii="仿宋_GB2312" w:hAnsi="仿宋_GB2312" w:cs="仿宋_GB2312" w:eastAsia="仿宋_GB2312"/>
              </w:rPr>
              <w:t>近 3 年内没有出现由于食品安全所引发的事故，且没有接受过食药监局的任何处罚，无经营违规行为的承诺书。提供以上内容承诺得2分，未提供不得分。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商务响应文件</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团队稳定性承诺</w:t>
            </w:r>
          </w:p>
        </w:tc>
        <w:tc>
          <w:tcPr>
            <w:tcW w:type="dxa" w:w="2492"/>
          </w:tcPr>
          <w:p>
            <w:pPr>
              <w:pStyle w:val="null3"/>
            </w:pPr>
            <w:r>
              <w:rPr>
                <w:rFonts w:ascii="仿宋_GB2312" w:hAnsi="仿宋_GB2312" w:cs="仿宋_GB2312" w:eastAsia="仿宋_GB2312"/>
              </w:rPr>
              <w:t>承诺若中标后派驻团队人员的稳定性，未经采购人许可不随意更换人员，或经采购人同意后提供详细的人员更换及顶岗储备人员承诺。提供以上内容承诺得2分，未提供不得分。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拟派主要专业人员</w:t>
            </w:r>
          </w:p>
        </w:tc>
        <w:tc>
          <w:tcPr>
            <w:tcW w:type="dxa" w:w="2492"/>
          </w:tcPr>
          <w:p>
            <w:pPr>
              <w:pStyle w:val="null3"/>
            </w:pPr>
            <w:r>
              <w:rPr>
                <w:rFonts w:ascii="仿宋_GB2312" w:hAnsi="仿宋_GB2312" w:cs="仿宋_GB2312" w:eastAsia="仿宋_GB2312"/>
              </w:rPr>
              <w:t>一、评审内容：依据《汉中市中小学幼儿园膳食经费管理细则（试行）》（汉教发〔2025〕115号）文件要求，供应商应按比例足额配备食堂工作人员。要求配备：食堂管理人员（含食品安全总监）2名、成本核算人员1名、食品安全员1名、库管1名、留样员1名、红白案厨师22名、帮厨切配工20名、餐具洗消工9名、勤杂保洁工8名。 二、评审标准：1.提供人员配备情况表；2.成本核算人员须具备初级及以上会计专业技术资格，提供会计专业技术资格证书；3.食品安全员提供专业证书。 以上证明材料提供不全或未提供的不得分。完全满足上述条件并提供了相关证明材料的得基本分9分，上述九类人员，种类每缺一类扣1分，每类人员数量不全扣1分，扣完为止。 上述九类人员种类数量满足评审内容的情况下，除管理人员外每增加1名可加1分，最高可加9分。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获得食品安全管理体系认证、质量管理体系认证、环境管理体系认证、职业健康安全管理体系认证，每提供一个证书状态有效的体系认证得1分，合计最高得4分。（供应商提供全国认证认可信息公共服务平台https://cx.cnca.cn/CertECloud/index/index/page查询结果网页截图，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技术商务要求偏离表</w:t>
            </w:r>
          </w:p>
          <w:p>
            <w:pPr>
              <w:pStyle w:val="null3"/>
            </w:pPr>
            <w:r>
              <w:rPr>
                <w:rFonts w:ascii="仿宋_GB2312" w:hAnsi="仿宋_GB2312" w:cs="仿宋_GB2312" w:eastAsia="仿宋_GB2312"/>
              </w:rPr>
              <w:t>商务响应文件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[1-投标报价(下浮率)]最低的为评审基准价，其价格分为满分。其他投标人的价格分统一按照下列公式计算:投标报价得分=[评审基准价/(1-投标下浮率)]x15。投标报价为下浮率。例如：供应商报价为下浮率3%，餐饮劳务服务费结算价=食堂营业额的28%×（1-3%）</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详见附件：供应商业绩情况表</w:t>
      </w:r>
    </w:p>
    <w:p>
      <w:pPr>
        <w:pStyle w:val="null3"/>
        <w:ind w:firstLine="960"/>
      </w:pPr>
      <w:r>
        <w:rPr>
          <w:rFonts w:ascii="仿宋_GB2312" w:hAnsi="仿宋_GB2312" w:cs="仿宋_GB2312" w:eastAsia="仿宋_GB2312"/>
        </w:rPr>
        <w:t>详见附件：技术商务要求偏离表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详见附件：商务响应文件</w:t>
      </w:r>
    </w:p>
    <w:p>
      <w:pPr>
        <w:pStyle w:val="null3"/>
        <w:ind w:firstLine="960"/>
      </w:pPr>
      <w:r>
        <w:rPr>
          <w:rFonts w:ascii="仿宋_GB2312" w:hAnsi="仿宋_GB2312" w:cs="仿宋_GB2312" w:eastAsia="仿宋_GB2312"/>
        </w:rPr>
        <w:t>详见附件：技术响应文件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详见附件：《委托合同（示范文本）》（GF—2025—1001）.docx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