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版本号：0617-2622FZ083220260430001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信息系统网络安全服务项目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0617-2622FZ0832</w:t>
      </w:r>
      <w:r>
        <w:br/>
      </w:r>
      <w:r>
        <w:br/>
      </w:r>
      <w:r>
        <w:br/>
      </w:r>
    </w:p>
    <w:p>
      <w:pPr>
        <w:pStyle w:val="null3"/>
        <w:jc w:val="center"/>
        <w:outlineLvl w:val="2"/>
      </w:pPr>
      <w:r>
        <w:rPr>
          <w:rFonts w:ascii="仿宋_GB2312" w:hAnsi="仿宋_GB2312" w:cs="仿宋_GB2312" w:eastAsia="仿宋_GB2312"/>
          <w:sz w:val="28"/>
          <w:b/>
        </w:rPr>
        <w:t>陕西省道路运输事业发展中心</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陕西省道路运输事业发展中心</w:t>
      </w:r>
      <w:r>
        <w:rPr>
          <w:rFonts w:ascii="仿宋_GB2312" w:hAnsi="仿宋_GB2312" w:cs="仿宋_GB2312" w:eastAsia="仿宋_GB2312"/>
        </w:rPr>
        <w:t>委托，拟对</w:t>
      </w:r>
      <w:r>
        <w:rPr>
          <w:rFonts w:ascii="仿宋_GB2312" w:hAnsi="仿宋_GB2312" w:cs="仿宋_GB2312" w:eastAsia="仿宋_GB2312"/>
        </w:rPr>
        <w:t>信息系统网络安全服务项目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0617-2622FZ0832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信息系统网络安全服务项目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 xml:space="preserve"> 信息系统网络安全服务，具体内容详见服务要求。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记录：供应商不得为“信用中国”网站（www.creditchina.gov.cn）列入失信被执行人、严重失信主体名单、重大税收违法失信主体供应商，不得为“中国政府采购网”（www.ccgp.gov.cn）政府采购严重违法失信行为记录中的供应商。</w:t>
      </w:r>
    </w:p>
    <w:p>
      <w:pPr>
        <w:pStyle w:val="null3"/>
      </w:pPr>
      <w:r>
        <w:rPr>
          <w:rFonts w:ascii="仿宋_GB2312" w:hAnsi="仿宋_GB2312" w:cs="仿宋_GB2312" w:eastAsia="仿宋_GB2312"/>
        </w:rPr>
        <w:t>2、法定代表人授权书及本单位证明：法定代表人参加磋商的，须出示身份证；法定代表人授权他人参加磋商的，须提供法定代表人授权委托书、被授权人身份证及被授权人本单位证明 (近开标时间连续六个月社保缴纳证明)（入职未满6个月，按实际入职时间提供社会保险缴纳证明；若入职时间短未缴纳社会保险，需提供劳动合同）。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陕西省道路运输事业发展中心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西安市药王洞18号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029-87325913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程佳（项目负责人）、杨凡、张勃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029-85592868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说明：合同签订前，乙方需向甲方缴纳合同总价款5%履约保证金。供应商自主选择以支票、汇票、本票、保函等非现金形式缴纳或提交履约保证金。 履约保证金在运维服务期满后，经甲方验收合格且乙方提供《××政府采购项目绩效目标表》、合同、验收资料（附件1）后一次无息退回。若乙方违约或产生额外费用（包括但不限于违约金、赔偿金及应急服务费用），甲方有权从履约保证金中直接扣减相应金额。</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的收费标准下浮30%，不足5000元按照5000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陕西省道路运输事业发展中心</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陕西省道路运输事业发展中心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陕西省道路运输事业发展中心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联系人：西北（陕西）国际招标有限公司综合监督处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信息系统网络安全服务，具体内容详见服务要求。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520,000.00</w:t>
      </w:r>
    </w:p>
    <w:p>
      <w:pPr>
        <w:pStyle w:val="null3"/>
      </w:pPr>
      <w:r>
        <w:rPr>
          <w:rFonts w:ascii="仿宋_GB2312" w:hAnsi="仿宋_GB2312" w:cs="仿宋_GB2312" w:eastAsia="仿宋_GB2312"/>
        </w:rPr>
        <w:t>采购包最高限价（元）: 520,000.00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信息系统网络安全服务项目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标的名称：信息系统网络安全服务项目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0"/>
            </w:pPr>
            <w:r>
              <w:rPr>
                <w:rFonts w:ascii="仿宋_GB2312" w:hAnsi="仿宋_GB2312" w:cs="仿宋_GB2312" w:eastAsia="仿宋_GB2312"/>
                <w:sz w:val="21"/>
                <w:b/>
              </w:rPr>
              <w:t>一、项目技术参数</w:t>
            </w:r>
          </w:p>
          <w:p>
            <w:pPr>
              <w:pStyle w:val="null3"/>
              <w:ind w:firstLine="480"/>
              <w:jc w:val="both"/>
            </w:pPr>
            <w:r>
              <w:rPr>
                <w:rFonts w:ascii="仿宋_GB2312" w:hAnsi="仿宋_GB2312" w:cs="仿宋_GB2312" w:eastAsia="仿宋_GB2312"/>
                <w:sz w:val="21"/>
              </w:rPr>
              <w:t>2026年中心信息系统网络安全服务计划如下：</w:t>
            </w:r>
          </w:p>
          <w:p>
            <w:pPr>
              <w:pStyle w:val="null3"/>
              <w:jc w:val="both"/>
              <w:outlineLvl w:val="1"/>
            </w:pPr>
            <w:r>
              <w:rPr>
                <w:rFonts w:ascii="仿宋_GB2312" w:hAnsi="仿宋_GB2312" w:cs="仿宋_GB2312" w:eastAsia="仿宋_GB2312"/>
                <w:sz w:val="21"/>
                <w:b/>
              </w:rPr>
              <w:t>1.1服务范围</w:t>
            </w:r>
          </w:p>
          <w:p>
            <w:pPr>
              <w:pStyle w:val="null3"/>
              <w:ind w:firstLine="480"/>
              <w:jc w:val="both"/>
            </w:pPr>
            <w:r>
              <w:rPr>
                <w:rFonts w:ascii="仿宋_GB2312" w:hAnsi="仿宋_GB2312" w:cs="仿宋_GB2312" w:eastAsia="仿宋_GB2312"/>
                <w:sz w:val="21"/>
              </w:rPr>
              <w:t>1.重要信息系统网络安全运维服务</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1）对中心现有业务系统进行专业安全检测和排查整改。</w:t>
            </w:r>
          </w:p>
          <w:tbl>
            <w:tblPr>
              <w:tblInd w:type="dxa" w:w="120"/>
              <w:tblBorders>
                <w:top w:val="none" w:color="000000" w:sz="4"/>
                <w:left w:val="none" w:color="000000" w:sz="4"/>
                <w:bottom w:val="none" w:color="000000" w:sz="4"/>
                <w:right w:val="none" w:color="000000" w:sz="4"/>
                <w:insideH w:val="none"/>
                <w:insideV w:val="none"/>
              </w:tblBorders>
            </w:tblPr>
            <w:tblGrid>
              <w:gridCol w:w="310"/>
              <w:gridCol w:w="1786"/>
              <w:gridCol w:w="456"/>
            </w:tblGrid>
            <w:tr>
              <w:tc>
                <w:tcPr>
                  <w:tcW w:type="dxa" w:w="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7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系统名称</w:t>
                  </w:r>
                </w:p>
              </w:tc>
              <w:tc>
                <w:tcPr>
                  <w:tcW w:type="dxa" w:w="4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陕西省道路运输管理信息系统</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陕西省道路运输车辆公共服务平台</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陕西省包车客运管理信息系统</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陕西省节假日和春节期间道路旅客运输情况报送系统</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陕西省道路客运售票联网系统</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陕西省运政治超信息管理平台</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陕西省网络货运信息监测系统</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陕西省危险货物道路运输电子运单系统</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陕西省道路运输车辆综合性能检测联网系统</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陕西省驾驶员培训监管服务平台</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陕西省道路普通货运驾驶员免费继续教育系统</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陕西省汽车维修电子健康档案系统</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2）对中心机房系统的安全设备进行日常安全运维服务。</w:t>
            </w:r>
          </w:p>
          <w:p>
            <w:pPr>
              <w:pStyle w:val="null3"/>
              <w:ind w:firstLine="480"/>
              <w:jc w:val="both"/>
            </w:pPr>
            <w:r>
              <w:rPr>
                <w:rFonts w:ascii="仿宋_GB2312" w:hAnsi="仿宋_GB2312" w:cs="仿宋_GB2312" w:eastAsia="仿宋_GB2312"/>
                <w:sz w:val="21"/>
              </w:rPr>
              <w:t>2.安全设备特征库升级服务。对中心机房安全设备进行1年授权升级，确保安全设备特征库更新至最新版本。</w:t>
            </w:r>
          </w:p>
          <w:p>
            <w:pPr>
              <w:pStyle w:val="null3"/>
              <w:ind w:firstLine="480"/>
              <w:jc w:val="both"/>
            </w:pPr>
            <w:r>
              <w:rPr>
                <w:rFonts w:ascii="仿宋_GB2312" w:hAnsi="仿宋_GB2312" w:cs="仿宋_GB2312" w:eastAsia="仿宋_GB2312"/>
                <w:sz w:val="21"/>
              </w:rPr>
              <w:t>3.中心业务系统数据备份服务。对中心所有业务数据进行备份，确保系统遭受攻击或损坏时，能尽快恢复数据，保障我省道路运输行业数据安全。</w:t>
            </w:r>
          </w:p>
          <w:p>
            <w:pPr>
              <w:pStyle w:val="null3"/>
              <w:jc w:val="both"/>
              <w:outlineLvl w:val="1"/>
            </w:pPr>
            <w:r>
              <w:rPr>
                <w:rFonts w:ascii="仿宋_GB2312" w:hAnsi="仿宋_GB2312" w:cs="仿宋_GB2312" w:eastAsia="仿宋_GB2312"/>
                <w:sz w:val="21"/>
                <w:b/>
              </w:rPr>
              <w:t>1.2服务内容</w:t>
            </w:r>
          </w:p>
          <w:p>
            <w:pPr>
              <w:pStyle w:val="null3"/>
              <w:jc w:val="left"/>
              <w:outlineLvl w:val="2"/>
            </w:pPr>
            <w:r>
              <w:rPr>
                <w:rFonts w:ascii="仿宋_GB2312" w:hAnsi="仿宋_GB2312" w:cs="仿宋_GB2312" w:eastAsia="仿宋_GB2312"/>
                <w:sz w:val="21"/>
                <w:b/>
              </w:rPr>
              <w:t>1.2.1网络安全运维服务</w:t>
            </w:r>
          </w:p>
          <w:p>
            <w:pPr>
              <w:pStyle w:val="null3"/>
              <w:ind w:firstLine="480"/>
              <w:jc w:val="both"/>
            </w:pPr>
            <w:r>
              <w:rPr>
                <w:rFonts w:ascii="仿宋_GB2312" w:hAnsi="仿宋_GB2312" w:cs="仿宋_GB2312" w:eastAsia="仿宋_GB2312"/>
                <w:sz w:val="21"/>
              </w:rPr>
              <w:t>按照国家信息安全等级保护制度要求，依据部、省相关信息安全政策、技术标准及安全文件要求，结合系统业务实际情况及安全现状，对省道路中心重要信息系统提供安全运维服务。</w:t>
            </w:r>
          </w:p>
          <w:p>
            <w:pPr>
              <w:pStyle w:val="null3"/>
              <w:ind w:firstLine="480"/>
              <w:jc w:val="both"/>
            </w:pPr>
            <w:r>
              <w:rPr>
                <w:rFonts w:ascii="仿宋_GB2312" w:hAnsi="仿宋_GB2312" w:cs="仿宋_GB2312" w:eastAsia="仿宋_GB2312"/>
                <w:sz w:val="21"/>
              </w:rPr>
              <w:t>1.专业安全服务</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1）漏洞扫描</w:t>
            </w:r>
          </w:p>
          <w:p>
            <w:pPr>
              <w:pStyle w:val="null3"/>
              <w:ind w:firstLine="480"/>
              <w:jc w:val="both"/>
            </w:pPr>
            <w:r>
              <w:rPr>
                <w:rFonts w:ascii="仿宋_GB2312" w:hAnsi="仿宋_GB2312" w:cs="仿宋_GB2312" w:eastAsia="仿宋_GB2312"/>
                <w:sz w:val="21"/>
              </w:rPr>
              <w:t>每季度定期采用漏洞扫描工具，完成对系统的网络设备、安全设备、服务器、虚拟化主机、终端设备等资产的安全扫描工作，并根据扫描结果形成漏洞跟进表，协助省中心完成安全漏洞整改，并根据扫描结果进行分析，每月提供一份系统安全扫描报告。</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2）渗透测试</w:t>
            </w:r>
          </w:p>
          <w:p>
            <w:pPr>
              <w:pStyle w:val="null3"/>
              <w:ind w:firstLine="480"/>
              <w:jc w:val="both"/>
            </w:pPr>
            <w:r>
              <w:rPr>
                <w:rFonts w:ascii="仿宋_GB2312" w:hAnsi="仿宋_GB2312" w:cs="仿宋_GB2312" w:eastAsia="仿宋_GB2312"/>
                <w:sz w:val="21"/>
              </w:rPr>
              <w:t>应通过现场结合远程的方式，每月开展一次模拟黑客从外网、内网对系统渗透测试工作，测试完毕生成详细的渗透测试报告，并提供改进建议。实施人员需熟练掌握渗透测试技能，具备丰富的渗透测试经验，渗透测试过程中不得进行影响业务系统稳定运行的操作。</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3）应急响应（含重要活动护网工作）</w:t>
            </w:r>
          </w:p>
          <w:p>
            <w:pPr>
              <w:pStyle w:val="null3"/>
              <w:ind w:firstLine="480"/>
              <w:jc w:val="both"/>
            </w:pPr>
            <w:r>
              <w:rPr>
                <w:rFonts w:ascii="仿宋_GB2312" w:hAnsi="仿宋_GB2312" w:cs="仿宋_GB2312" w:eastAsia="仿宋_GB2312"/>
                <w:sz w:val="21"/>
              </w:rPr>
              <w:t>应针对系统制定应急响应快速服务流程，包括设备故障响应和安全事件响应。日常故障或一般事件</w:t>
            </w:r>
            <w:r>
              <w:rPr>
                <w:rFonts w:ascii="仿宋_GB2312" w:hAnsi="仿宋_GB2312" w:cs="仿宋_GB2312" w:eastAsia="仿宋_GB2312"/>
                <w:sz w:val="21"/>
              </w:rPr>
              <w:t>4小时内响应处置，重大故障或重大事件以上2小时响应处置。在发生安全事件时，应提供安全技术团队对事件进行分析研判，采取应急措施保障业务正常运行，并协助省中心快速协调相关厂家解决设备故障问题。</w:t>
            </w:r>
          </w:p>
          <w:p>
            <w:pPr>
              <w:pStyle w:val="null3"/>
              <w:ind w:firstLine="480"/>
              <w:jc w:val="both"/>
            </w:pPr>
            <w:r>
              <w:rPr>
                <w:rFonts w:ascii="仿宋_GB2312" w:hAnsi="仿宋_GB2312" w:cs="仿宋_GB2312" w:eastAsia="仿宋_GB2312"/>
                <w:sz w:val="21"/>
              </w:rPr>
              <w:t>重要节假日、重大活动（国家、公安、省厅、部中心等护网行动），应加强值班值守，严格落实一线在岗值班值守制度，安排不少于</w:t>
            </w:r>
            <w:r>
              <w:rPr>
                <w:rFonts w:ascii="仿宋_GB2312" w:hAnsi="仿宋_GB2312" w:cs="仿宋_GB2312" w:eastAsia="仿宋_GB2312"/>
                <w:sz w:val="21"/>
              </w:rPr>
              <w:t>3人的现场护网值守，日常驻场人员一名，提供7*24小时应急响应服务，确保系统安全稳定运行。</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4）其他服务</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1）系统上线安全检测</w:t>
            </w:r>
          </w:p>
          <w:p>
            <w:pPr>
              <w:pStyle w:val="null3"/>
              <w:ind w:firstLine="480"/>
              <w:jc w:val="both"/>
            </w:pPr>
            <w:r>
              <w:rPr>
                <w:rFonts w:ascii="仿宋_GB2312" w:hAnsi="仿宋_GB2312" w:cs="仿宋_GB2312" w:eastAsia="仿宋_GB2312"/>
                <w:sz w:val="21"/>
              </w:rPr>
              <w:t>服务系统若有增加、升级新的业务功能等，应在功能上线前进行安全检测，检测内容包括漏洞扫描、人工核查等，出具相应上线安全检测报告，并协助完成整改。</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2）网络安全检测及加固</w:t>
            </w:r>
          </w:p>
          <w:p>
            <w:pPr>
              <w:pStyle w:val="null3"/>
              <w:ind w:firstLine="480"/>
              <w:jc w:val="both"/>
            </w:pPr>
            <w:r>
              <w:rPr>
                <w:rFonts w:ascii="仿宋_GB2312" w:hAnsi="仿宋_GB2312" w:cs="仿宋_GB2312" w:eastAsia="仿宋_GB2312"/>
                <w:sz w:val="21"/>
              </w:rPr>
              <w:t>通过配置检查工具或人工的方式对系统安全设备、服务器、终端电脑等设备的安全配置进行检测（检查）。同时，定期检查系统的安全配置，应及时发现不合理、不安全的安全配置并及时进行修复。协助省中心完成网络安全配置优化及系统安全加固，落实网络分区分域管理措施，合理划分系统网络安全区域，通过有效技术措施对安全区域进行隔离，确保安全控制策略有效、安全风险影响范围最小。</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3）安全检查</w:t>
            </w:r>
          </w:p>
          <w:p>
            <w:pPr>
              <w:pStyle w:val="null3"/>
              <w:ind w:firstLine="480"/>
              <w:jc w:val="both"/>
            </w:pPr>
            <w:r>
              <w:rPr>
                <w:rFonts w:ascii="仿宋_GB2312" w:hAnsi="仿宋_GB2312" w:cs="仿宋_GB2312" w:eastAsia="仿宋_GB2312"/>
                <w:sz w:val="21"/>
              </w:rPr>
              <w:t>供应商应配合省中心每月最少进行</w:t>
            </w:r>
            <w:r>
              <w:rPr>
                <w:rFonts w:ascii="仿宋_GB2312" w:hAnsi="仿宋_GB2312" w:cs="仿宋_GB2312" w:eastAsia="仿宋_GB2312"/>
                <w:sz w:val="21"/>
              </w:rPr>
              <w:t>1次的安全巡检，并出具检查报告。以及时发现系统安全管理落实及安全技术实施中存在的不足及风险，检查内容包括但不限于：安全管理制度及执行情况、防病毒系统的版本升级情况、终端用户的安全合规情况、安全设备的系统性能情况、系统开放服务及安全策略检查、系统漏洞等，并出具安全检查报告，对检查中发现的安全问题，应给出合理的安全整改建议。</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4）安全培训</w:t>
            </w:r>
          </w:p>
          <w:p>
            <w:pPr>
              <w:pStyle w:val="null3"/>
              <w:ind w:firstLine="480"/>
              <w:jc w:val="both"/>
            </w:pPr>
            <w:r>
              <w:rPr>
                <w:rFonts w:ascii="仿宋_GB2312" w:hAnsi="仿宋_GB2312" w:cs="仿宋_GB2312" w:eastAsia="仿宋_GB2312"/>
                <w:sz w:val="21"/>
              </w:rPr>
              <w:t>对系统安全运维人员和安全管理人员进行信息安全政策、法规、技术标准内容的安全培训工作，完成信息安全政策的宣贯、提高相关工作人员的信息安全意识、信息安全技能。培训内容包括但不限于：信息安全意识培训、法律法规和安全标准体系培训、系统网络安全运行保障培训。</w:t>
            </w:r>
          </w:p>
          <w:p>
            <w:pPr>
              <w:pStyle w:val="null3"/>
              <w:ind w:firstLine="480"/>
              <w:jc w:val="both"/>
            </w:pPr>
            <w:r>
              <w:rPr>
                <w:rFonts w:ascii="仿宋_GB2312" w:hAnsi="仿宋_GB2312" w:cs="仿宋_GB2312" w:eastAsia="仿宋_GB2312"/>
                <w:sz w:val="21"/>
              </w:rPr>
              <w:t>安全培训总时间半天，应制定有针对性的信息安全培训教材，明确培训课程，讲授安排，并聘请国内信息安全技术专家担任讲师，提供实际操作体验。</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5）网络拓扑优化</w:t>
            </w:r>
          </w:p>
          <w:p>
            <w:pPr>
              <w:pStyle w:val="null3"/>
              <w:ind w:firstLine="480"/>
              <w:jc w:val="both"/>
            </w:pPr>
            <w:r>
              <w:rPr>
                <w:rFonts w:ascii="仿宋_GB2312" w:hAnsi="仿宋_GB2312" w:cs="仿宋_GB2312" w:eastAsia="仿宋_GB2312"/>
                <w:sz w:val="21"/>
              </w:rPr>
              <w:t>按照数据中心管理模式对中心机房网络以及安全设备进行优化。</w:t>
            </w:r>
          </w:p>
          <w:p>
            <w:pPr>
              <w:pStyle w:val="null3"/>
              <w:ind w:firstLine="480"/>
              <w:jc w:val="both"/>
            </w:pPr>
            <w:r>
              <w:rPr>
                <w:rFonts w:ascii="仿宋_GB2312" w:hAnsi="仿宋_GB2312" w:cs="仿宋_GB2312" w:eastAsia="仿宋_GB2312"/>
                <w:sz w:val="21"/>
              </w:rPr>
              <w:t>2.日常安全运维服务</w:t>
            </w:r>
          </w:p>
          <w:p>
            <w:pPr>
              <w:pStyle w:val="null3"/>
              <w:ind w:firstLine="480"/>
              <w:jc w:val="both"/>
            </w:pPr>
            <w:r>
              <w:rPr>
                <w:rFonts w:ascii="仿宋_GB2312" w:hAnsi="仿宋_GB2312" w:cs="仿宋_GB2312" w:eastAsia="仿宋_GB2312"/>
                <w:sz w:val="21"/>
              </w:rPr>
              <w:t>日常安全维护工作主要包括以下</w:t>
            </w:r>
            <w:r>
              <w:rPr>
                <w:rFonts w:ascii="仿宋_GB2312" w:hAnsi="仿宋_GB2312" w:cs="仿宋_GB2312" w:eastAsia="仿宋_GB2312"/>
                <w:sz w:val="21"/>
              </w:rPr>
              <w:t>4个方面：</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1）安全巡检</w:t>
            </w:r>
          </w:p>
          <w:p>
            <w:pPr>
              <w:pStyle w:val="null3"/>
              <w:ind w:firstLine="480"/>
              <w:jc w:val="both"/>
            </w:pPr>
            <w:r>
              <w:rPr>
                <w:rFonts w:ascii="仿宋_GB2312" w:hAnsi="仿宋_GB2312" w:cs="仿宋_GB2312" w:eastAsia="仿宋_GB2312"/>
                <w:sz w:val="21"/>
              </w:rPr>
              <w:t>对系统安全设备进行现场安全巡检，及时了解安全设备运行情况，观察各个安全节点的可靠性。线上巡检每日</w:t>
            </w:r>
            <w:r>
              <w:rPr>
                <w:rFonts w:ascii="仿宋_GB2312" w:hAnsi="仿宋_GB2312" w:cs="仿宋_GB2312" w:eastAsia="仿宋_GB2312"/>
                <w:sz w:val="21"/>
              </w:rPr>
              <w:t>1次（即设备管理平台状态检查），遇重要活动或会议期间应加大巡检频率，并提供巡检日报。对巡检中发现的安全问题或异常情况，应及时报告省中心人员，不得擅自处理，并协助省中心对问题进行整改。</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2）信息资产台账维护</w:t>
            </w:r>
          </w:p>
          <w:p>
            <w:pPr>
              <w:pStyle w:val="null3"/>
              <w:ind w:firstLine="480"/>
              <w:jc w:val="both"/>
            </w:pPr>
            <w:r>
              <w:rPr>
                <w:rFonts w:ascii="仿宋_GB2312" w:hAnsi="仿宋_GB2312" w:cs="仿宋_GB2312" w:eastAsia="仿宋_GB2312"/>
                <w:sz w:val="21"/>
              </w:rPr>
              <w:t>定期维护更新安全设备资产台账，包括资产类别、型号、用途、位置、端口使用状态、责任归属等。并重点记录资产在遭受泄密、中断、损害等破坏时所遭受的影响，以及后续状态。</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3）安全运行监测</w:t>
            </w:r>
          </w:p>
          <w:p>
            <w:pPr>
              <w:pStyle w:val="null3"/>
              <w:ind w:firstLine="480"/>
              <w:jc w:val="both"/>
            </w:pPr>
            <w:r>
              <w:rPr>
                <w:rFonts w:ascii="仿宋_GB2312" w:hAnsi="仿宋_GB2312" w:cs="仿宋_GB2312" w:eastAsia="仿宋_GB2312"/>
                <w:sz w:val="21"/>
              </w:rPr>
              <w:t>充分利用现有安全运行监测平台或借助第三方运行监测平台，对省中心部署的防火墙、网闸、日志审计系统、堡垒机、漏洞扫描、防病毒系统等安全设备（软件）运行状况进行监测，及时发现安全异常情况。对服务期限内新增的系统安全设备，也应做好安全运行监测工作。</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4）其它安全信息服务</w:t>
            </w:r>
          </w:p>
          <w:p>
            <w:pPr>
              <w:pStyle w:val="null3"/>
              <w:ind w:firstLine="480"/>
              <w:jc w:val="both"/>
            </w:pPr>
            <w:r>
              <w:rPr>
                <w:rFonts w:ascii="仿宋_GB2312" w:hAnsi="仿宋_GB2312" w:cs="仿宋_GB2312" w:eastAsia="仿宋_GB2312"/>
                <w:sz w:val="21"/>
              </w:rPr>
              <w:t>应在安全技术团队保障的基础上，协助编制（修订）全省和省中心相关网络安全管理制度、安全检查（通报）、安全技术要求、专项方案等相关文件。应梳理现有网络安全配置策略，针对服务中出现的问题，提交本年度安全运行分析报告，提出安全管理及技术方面需要完善的意见建议，包括但不限于整体系统架构的可靠性、冗余性、安全性、可扩展性方面，同时规划下一年度的安全完善计划。</w:t>
            </w:r>
          </w:p>
          <w:p>
            <w:pPr>
              <w:pStyle w:val="null3"/>
              <w:ind w:firstLine="480"/>
              <w:jc w:val="both"/>
            </w:pPr>
            <w:r>
              <w:rPr>
                <w:rFonts w:ascii="仿宋_GB2312" w:hAnsi="仿宋_GB2312" w:cs="仿宋_GB2312" w:eastAsia="仿宋_GB2312"/>
                <w:sz w:val="21"/>
              </w:rPr>
              <w:t>3.服务报告要求</w:t>
            </w:r>
          </w:p>
          <w:p>
            <w:pPr>
              <w:pStyle w:val="null3"/>
              <w:ind w:firstLine="480"/>
              <w:jc w:val="both"/>
            </w:pPr>
            <w:r>
              <w:rPr>
                <w:rFonts w:ascii="仿宋_GB2312" w:hAnsi="仿宋_GB2312" w:cs="仿宋_GB2312" w:eastAsia="仿宋_GB2312"/>
                <w:sz w:val="21"/>
              </w:rPr>
              <w:t>本服务项目的交付物包含但不限于以下内容：</w:t>
            </w:r>
          </w:p>
          <w:p>
            <w:pPr>
              <w:pStyle w:val="null3"/>
              <w:ind w:firstLine="480"/>
              <w:jc w:val="both"/>
            </w:pPr>
            <w:r>
              <w:rPr>
                <w:rFonts w:ascii="仿宋_GB2312" w:hAnsi="仿宋_GB2312" w:cs="仿宋_GB2312" w:eastAsia="仿宋_GB2312"/>
                <w:sz w:val="21"/>
              </w:rPr>
              <w:t>《日巡检安全报告》</w:t>
            </w:r>
          </w:p>
          <w:p>
            <w:pPr>
              <w:pStyle w:val="null3"/>
              <w:ind w:firstLine="480"/>
              <w:jc w:val="both"/>
            </w:pPr>
            <w:r>
              <w:rPr>
                <w:rFonts w:ascii="仿宋_GB2312" w:hAnsi="仿宋_GB2312" w:cs="仿宋_GB2312" w:eastAsia="仿宋_GB2312"/>
                <w:sz w:val="21"/>
              </w:rPr>
              <w:t>《月度风险分析报告》</w:t>
            </w:r>
          </w:p>
          <w:p>
            <w:pPr>
              <w:pStyle w:val="null3"/>
              <w:ind w:firstLine="480"/>
              <w:jc w:val="both"/>
            </w:pPr>
            <w:r>
              <w:rPr>
                <w:rFonts w:ascii="仿宋_GB2312" w:hAnsi="仿宋_GB2312" w:cs="仿宋_GB2312" w:eastAsia="仿宋_GB2312"/>
                <w:sz w:val="21"/>
              </w:rPr>
              <w:t>《季度漏洞扫描报告》</w:t>
            </w:r>
          </w:p>
          <w:p>
            <w:pPr>
              <w:pStyle w:val="null3"/>
              <w:ind w:firstLine="480"/>
              <w:jc w:val="both"/>
            </w:pPr>
            <w:r>
              <w:rPr>
                <w:rFonts w:ascii="仿宋_GB2312" w:hAnsi="仿宋_GB2312" w:cs="仿宋_GB2312" w:eastAsia="仿宋_GB2312"/>
                <w:sz w:val="21"/>
              </w:rPr>
              <w:t>《重要时段护网总结报告》</w:t>
            </w:r>
          </w:p>
          <w:p>
            <w:pPr>
              <w:pStyle w:val="null3"/>
              <w:ind w:firstLine="480"/>
              <w:jc w:val="both"/>
            </w:pPr>
            <w:r>
              <w:rPr>
                <w:rFonts w:ascii="仿宋_GB2312" w:hAnsi="仿宋_GB2312" w:cs="仿宋_GB2312" w:eastAsia="仿宋_GB2312"/>
                <w:sz w:val="21"/>
              </w:rPr>
              <w:t>《渗透测试报告》</w:t>
            </w:r>
          </w:p>
          <w:p>
            <w:pPr>
              <w:pStyle w:val="null3"/>
              <w:ind w:firstLine="480"/>
              <w:jc w:val="both"/>
            </w:pPr>
            <w:r>
              <w:rPr>
                <w:rFonts w:ascii="仿宋_GB2312" w:hAnsi="仿宋_GB2312" w:cs="仿宋_GB2312" w:eastAsia="仿宋_GB2312"/>
                <w:sz w:val="21"/>
              </w:rPr>
              <w:t>《安全演练报告》</w:t>
            </w:r>
          </w:p>
          <w:p>
            <w:pPr>
              <w:pStyle w:val="null3"/>
              <w:ind w:firstLine="480"/>
              <w:jc w:val="both"/>
            </w:pPr>
            <w:r>
              <w:rPr>
                <w:rFonts w:ascii="仿宋_GB2312" w:hAnsi="仿宋_GB2312" w:cs="仿宋_GB2312" w:eastAsia="仿宋_GB2312"/>
                <w:sz w:val="21"/>
              </w:rPr>
              <w:t>《安全检查报告》</w:t>
            </w:r>
          </w:p>
          <w:p>
            <w:pPr>
              <w:pStyle w:val="null3"/>
              <w:ind w:firstLine="480"/>
              <w:jc w:val="both"/>
            </w:pPr>
            <w:r>
              <w:rPr>
                <w:rFonts w:ascii="仿宋_GB2312" w:hAnsi="仿宋_GB2312" w:cs="仿宋_GB2312" w:eastAsia="仿宋_GB2312"/>
                <w:sz w:val="21"/>
              </w:rPr>
              <w:t>《安全培训报告》</w:t>
            </w:r>
          </w:p>
          <w:p>
            <w:pPr>
              <w:pStyle w:val="null3"/>
              <w:ind w:firstLine="480"/>
              <w:jc w:val="both"/>
            </w:pPr>
            <w:r>
              <w:rPr>
                <w:rFonts w:ascii="仿宋_GB2312" w:hAnsi="仿宋_GB2312" w:cs="仿宋_GB2312" w:eastAsia="仿宋_GB2312"/>
                <w:sz w:val="21"/>
              </w:rPr>
              <w:t>《年度安全运行分析报告》</w:t>
            </w:r>
          </w:p>
          <w:p>
            <w:pPr>
              <w:pStyle w:val="null3"/>
              <w:ind w:firstLine="480"/>
              <w:jc w:val="both"/>
            </w:pPr>
            <w:r>
              <w:rPr>
                <w:rFonts w:ascii="仿宋_GB2312" w:hAnsi="仿宋_GB2312" w:cs="仿宋_GB2312" w:eastAsia="仿宋_GB2312"/>
                <w:sz w:val="21"/>
              </w:rPr>
              <w:t>其他需要的报告或者材料。</w:t>
            </w:r>
          </w:p>
          <w:p>
            <w:pPr>
              <w:pStyle w:val="null3"/>
              <w:jc w:val="left"/>
              <w:outlineLvl w:val="2"/>
            </w:pPr>
            <w:r>
              <w:rPr>
                <w:rFonts w:ascii="仿宋_GB2312" w:hAnsi="仿宋_GB2312" w:cs="仿宋_GB2312" w:eastAsia="仿宋_GB2312"/>
                <w:sz w:val="21"/>
                <w:b/>
              </w:rPr>
              <w:t>1.2.2安全设备特征库升级服务</w:t>
            </w:r>
          </w:p>
          <w:p>
            <w:pPr>
              <w:pStyle w:val="null3"/>
              <w:ind w:firstLine="480"/>
              <w:jc w:val="both"/>
            </w:pPr>
            <w:r>
              <w:rPr>
                <w:rFonts w:ascii="仿宋_GB2312" w:hAnsi="仿宋_GB2312" w:cs="仿宋_GB2312" w:eastAsia="仿宋_GB2312"/>
                <w:sz w:val="21"/>
              </w:rPr>
              <w:t>按照国家信息安全等级保护制度要求，依据部、省相关信息安全政策、技术标准及安全文件要求，结合系统业务实际情况及安全现状，对中心机房安全设备购买</w:t>
            </w:r>
            <w:r>
              <w:rPr>
                <w:rFonts w:ascii="仿宋_GB2312" w:hAnsi="仿宋_GB2312" w:cs="仿宋_GB2312" w:eastAsia="仿宋_GB2312"/>
                <w:sz w:val="21"/>
              </w:rPr>
              <w:t>1年升级授权服务。</w:t>
            </w:r>
          </w:p>
          <w:p>
            <w:pPr>
              <w:pStyle w:val="null3"/>
              <w:ind w:firstLine="480"/>
              <w:jc w:val="both"/>
            </w:pPr>
            <w:r>
              <w:rPr>
                <w:rFonts w:ascii="仿宋_GB2312" w:hAnsi="仿宋_GB2312" w:cs="仿宋_GB2312" w:eastAsia="仿宋_GB2312"/>
                <w:sz w:val="21"/>
              </w:rPr>
              <w:t>1.服务要求</w:t>
            </w:r>
          </w:p>
          <w:p>
            <w:pPr>
              <w:pStyle w:val="null3"/>
              <w:ind w:firstLine="480"/>
              <w:jc w:val="both"/>
            </w:pPr>
            <w:r>
              <w:rPr>
                <w:rFonts w:ascii="仿宋_GB2312" w:hAnsi="仿宋_GB2312" w:cs="仿宋_GB2312" w:eastAsia="仿宋_GB2312"/>
                <w:sz w:val="21"/>
              </w:rPr>
              <w:t>服务期内需每周进行防病毒系统升级，其余安全设备特征库需每月进行设备特征库升级，如遇重要时段（重要节假日、重大活动等）或当有新型蠕虫、病毒、漏洞等范围性安全事件发生时，也需及时进行设备特征库升级，确保及时更新至最新版本，安全策略有效，期间不能收取任何费用。本次安全设备特征库升级服务清单如下：</w:t>
            </w:r>
          </w:p>
          <w:tbl>
            <w:tblPr>
              <w:tblInd w:type="dxa" w:w="120"/>
              <w:tblBorders>
                <w:top w:val="none" w:color="000000" w:sz="4"/>
                <w:left w:val="none" w:color="000000" w:sz="4"/>
                <w:bottom w:val="none" w:color="000000" w:sz="4"/>
                <w:right w:val="none" w:color="000000" w:sz="4"/>
                <w:insideH w:val="none"/>
                <w:insideV w:val="none"/>
              </w:tblBorders>
            </w:tblPr>
            <w:tblGrid>
              <w:gridCol w:w="207"/>
              <w:gridCol w:w="705"/>
              <w:gridCol w:w="875"/>
              <w:gridCol w:w="208"/>
              <w:gridCol w:w="350"/>
              <w:gridCol w:w="208"/>
            </w:tblGrid>
            <w:tr>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序号</w:t>
                  </w:r>
                </w:p>
                <w:p>
                  <w:pPr>
                    <w:pStyle w:val="null3"/>
                  </w:pPr>
                  <w:r>
                    <w:rPr>
                      <w:rFonts w:ascii="仿宋_GB2312" w:hAnsi="仿宋_GB2312" w:cs="仿宋_GB2312" w:eastAsia="仿宋_GB2312"/>
                      <w:sz w:val="21"/>
                    </w:rPr>
                    <w:t xml:space="preserve"> </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8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品牌型号</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续服年限</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深信服负载均衡</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AD-1000 c620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一年</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深信服数据库审计</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DAS1000 A620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一年</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深信服外网防火墙</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AF-1000E420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一年</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深信服专网防火墙</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AF-1000E420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一年</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深信服</w:t>
                  </w:r>
                  <w:r>
                    <w:rPr>
                      <w:rFonts w:ascii="仿宋_GB2312" w:hAnsi="仿宋_GB2312" w:cs="仿宋_GB2312" w:eastAsia="仿宋_GB2312"/>
                      <w:sz w:val="21"/>
                    </w:rPr>
                    <w:t>IPS</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AF-1000FA40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一年</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深信服上网行为管理</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AC-1000 D420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一年</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机关</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统一身份管控中间件</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令信通软件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一年</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w:t>
                  </w:r>
                </w:p>
              </w:tc>
            </w:tr>
          </w:tbl>
          <w:p>
            <w:pPr>
              <w:pStyle w:val="null3"/>
              <w:ind w:firstLine="480"/>
              <w:jc w:val="both"/>
            </w:pPr>
            <w:r>
              <w:rPr>
                <w:rFonts w:ascii="仿宋_GB2312" w:hAnsi="仿宋_GB2312" w:cs="仿宋_GB2312" w:eastAsia="仿宋_GB2312"/>
                <w:sz w:val="21"/>
              </w:rPr>
              <w:t>2.服务报告要求</w:t>
            </w:r>
          </w:p>
          <w:p>
            <w:pPr>
              <w:pStyle w:val="null3"/>
              <w:ind w:firstLine="480"/>
              <w:jc w:val="both"/>
            </w:pPr>
            <w:r>
              <w:rPr>
                <w:rFonts w:ascii="仿宋_GB2312" w:hAnsi="仿宋_GB2312" w:cs="仿宋_GB2312" w:eastAsia="仿宋_GB2312"/>
                <w:sz w:val="21"/>
              </w:rPr>
              <w:t>本服务项目的交付物包含但不限于以下内容：</w:t>
            </w:r>
          </w:p>
          <w:p>
            <w:pPr>
              <w:pStyle w:val="null3"/>
              <w:ind w:firstLine="480"/>
              <w:jc w:val="both"/>
            </w:pPr>
            <w:r>
              <w:rPr>
                <w:rFonts w:ascii="仿宋_GB2312" w:hAnsi="仿宋_GB2312" w:cs="仿宋_GB2312" w:eastAsia="仿宋_GB2312"/>
                <w:sz w:val="21"/>
              </w:rPr>
              <w:t>《授权升级报告》</w:t>
            </w:r>
          </w:p>
          <w:p>
            <w:pPr>
              <w:pStyle w:val="null3"/>
              <w:ind w:firstLine="480"/>
              <w:jc w:val="both"/>
            </w:pPr>
            <w:r>
              <w:rPr>
                <w:rFonts w:ascii="仿宋_GB2312" w:hAnsi="仿宋_GB2312" w:cs="仿宋_GB2312" w:eastAsia="仿宋_GB2312"/>
                <w:sz w:val="21"/>
              </w:rPr>
              <w:t>《月度升级服务报告》</w:t>
            </w:r>
          </w:p>
          <w:p>
            <w:pPr>
              <w:pStyle w:val="null3"/>
              <w:ind w:firstLine="480"/>
              <w:jc w:val="both"/>
            </w:pPr>
            <w:r>
              <w:rPr>
                <w:rFonts w:ascii="仿宋_GB2312" w:hAnsi="仿宋_GB2312" w:cs="仿宋_GB2312" w:eastAsia="仿宋_GB2312"/>
                <w:sz w:val="21"/>
              </w:rPr>
              <w:t>《年度升级服务报告》</w:t>
            </w:r>
          </w:p>
          <w:p>
            <w:pPr>
              <w:pStyle w:val="null3"/>
              <w:jc w:val="left"/>
              <w:outlineLvl w:val="2"/>
            </w:pPr>
            <w:r>
              <w:rPr>
                <w:rFonts w:ascii="仿宋_GB2312" w:hAnsi="仿宋_GB2312" w:cs="仿宋_GB2312" w:eastAsia="仿宋_GB2312"/>
                <w:sz w:val="21"/>
                <w:b/>
              </w:rPr>
              <w:t>1.2.3道路运输行业统一身份认证服务</w:t>
            </w:r>
          </w:p>
          <w:p>
            <w:pPr>
              <w:pStyle w:val="null3"/>
              <w:ind w:firstLine="480"/>
              <w:jc w:val="both"/>
            </w:pPr>
            <w:r>
              <w:rPr>
                <w:rFonts w:ascii="仿宋_GB2312" w:hAnsi="仿宋_GB2312" w:cs="仿宋_GB2312" w:eastAsia="仿宋_GB2312"/>
                <w:sz w:val="21"/>
              </w:rPr>
              <w:t>2025年，为了能够保障中心各类业务信息系统符合《中华人民共和国网络安全法》相关法规的要求，保护用户数据的安全和隐私，中心各类系统接入了统一身份管控认证服务IAM中间件，逐步落实了与解决账号密码管理困难、用户权限管理不便、用户数据难以打通、安全访问控制等问题，从而提高系统的安全性。本年度，需要对该中间件进行续服。</w:t>
            </w:r>
          </w:p>
          <w:p>
            <w:pPr>
              <w:pStyle w:val="null3"/>
              <w:ind w:firstLine="480"/>
              <w:jc w:val="both"/>
            </w:pPr>
            <w:r>
              <w:rPr>
                <w:rFonts w:ascii="仿宋_GB2312" w:hAnsi="仿宋_GB2312" w:cs="仿宋_GB2312" w:eastAsia="仿宋_GB2312"/>
                <w:sz w:val="21"/>
              </w:rPr>
              <w:t>在此基础上，推进中心在用系统的</w:t>
            </w:r>
            <w:r>
              <w:rPr>
                <w:rFonts w:ascii="仿宋_GB2312" w:hAnsi="仿宋_GB2312" w:cs="仿宋_GB2312" w:eastAsia="仿宋_GB2312"/>
                <w:sz w:val="21"/>
              </w:rPr>
              <w:t>SSO认证登录接入服务，对中心各类系统接入进行技术支持，满足用户统一管理。</w:t>
            </w:r>
          </w:p>
          <w:p>
            <w:pPr>
              <w:pStyle w:val="null3"/>
              <w:ind w:firstLine="480"/>
              <w:jc w:val="both"/>
            </w:pPr>
            <w:r>
              <w:rPr>
                <w:rFonts w:ascii="仿宋_GB2312" w:hAnsi="仿宋_GB2312" w:cs="仿宋_GB2312" w:eastAsia="仿宋_GB2312"/>
                <w:sz w:val="21"/>
              </w:rPr>
              <w:t>对接秦务员平台，实现涉企、涉群众业务事项通过秦务员进行一站式登录。</w:t>
            </w:r>
          </w:p>
          <w:p>
            <w:pPr>
              <w:pStyle w:val="null3"/>
              <w:ind w:firstLine="480"/>
              <w:jc w:val="both"/>
            </w:pPr>
            <w:r>
              <w:rPr>
                <w:rFonts w:ascii="仿宋_GB2312" w:hAnsi="仿宋_GB2312" w:cs="仿宋_GB2312" w:eastAsia="仿宋_GB2312"/>
                <w:sz w:val="21"/>
              </w:rPr>
              <w:t>开展中心</w:t>
            </w:r>
            <w:r>
              <w:rPr>
                <w:rFonts w:ascii="仿宋_GB2312" w:hAnsi="仿宋_GB2312" w:cs="仿宋_GB2312" w:eastAsia="仿宋_GB2312"/>
                <w:sz w:val="21"/>
              </w:rPr>
              <w:t>SSL OV证书续费，对sanqinchuxing.com域名的SSL OV证书续费2年。</w:t>
            </w:r>
          </w:p>
          <w:p>
            <w:pPr>
              <w:pStyle w:val="null3"/>
              <w:jc w:val="left"/>
              <w:outlineLvl w:val="2"/>
            </w:pPr>
            <w:r>
              <w:rPr>
                <w:rFonts w:ascii="仿宋_GB2312" w:hAnsi="仿宋_GB2312" w:cs="仿宋_GB2312" w:eastAsia="仿宋_GB2312"/>
                <w:sz w:val="21"/>
                <w:b/>
              </w:rPr>
              <w:t>1.2.4数据备份服务</w:t>
            </w:r>
          </w:p>
          <w:p>
            <w:pPr>
              <w:pStyle w:val="null3"/>
              <w:ind w:firstLine="480"/>
              <w:jc w:val="both"/>
            </w:pPr>
            <w:r>
              <w:rPr>
                <w:rFonts w:ascii="仿宋_GB2312" w:hAnsi="仿宋_GB2312" w:cs="仿宋_GB2312" w:eastAsia="仿宋_GB2312"/>
                <w:sz w:val="21"/>
              </w:rPr>
              <w:t>依托中心机房，做好中心所有业务系统数据备份管理工作。</w:t>
            </w:r>
          </w:p>
          <w:p>
            <w:pPr>
              <w:pStyle w:val="null3"/>
            </w:pPr>
            <w:r>
              <w:rPr>
                <w:rFonts w:ascii="仿宋_GB2312" w:hAnsi="仿宋_GB2312" w:cs="仿宋_GB2312" w:eastAsia="仿宋_GB2312"/>
                <w:sz w:val="21"/>
              </w:rPr>
              <w:t>★二、商务要求</w:t>
            </w:r>
          </w:p>
          <w:p>
            <w:pPr>
              <w:pStyle w:val="null3"/>
            </w:pPr>
            <w:r>
              <w:rPr>
                <w:rFonts w:ascii="仿宋_GB2312" w:hAnsi="仿宋_GB2312" w:cs="仿宋_GB2312" w:eastAsia="仿宋_GB2312"/>
                <w:sz w:val="21"/>
              </w:rPr>
              <w:t>1、服务期：1年</w:t>
            </w:r>
          </w:p>
          <w:p>
            <w:pPr>
              <w:pStyle w:val="null3"/>
            </w:pPr>
            <w:r>
              <w:rPr>
                <w:rFonts w:ascii="仿宋_GB2312" w:hAnsi="仿宋_GB2312" w:cs="仿宋_GB2312" w:eastAsia="仿宋_GB2312"/>
                <w:sz w:val="21"/>
              </w:rPr>
              <w:t>2、付款方式：</w:t>
            </w:r>
          </w:p>
          <w:p>
            <w:pPr>
              <w:pStyle w:val="null3"/>
              <w:ind w:firstLine="560"/>
              <w:jc w:val="both"/>
            </w:pPr>
            <w:r>
              <w:rPr>
                <w:rFonts w:ascii="仿宋_GB2312" w:hAnsi="仿宋_GB2312" w:cs="仿宋_GB2312" w:eastAsia="仿宋_GB2312"/>
                <w:sz w:val="18"/>
              </w:rPr>
              <w:t>合同签订前，乙方需向甲方缴纳合同总价款</w:t>
            </w:r>
            <w:r>
              <w:rPr>
                <w:rFonts w:ascii="仿宋_GB2312" w:hAnsi="仿宋_GB2312" w:cs="仿宋_GB2312" w:eastAsia="仿宋_GB2312"/>
                <w:sz w:val="18"/>
              </w:rPr>
              <w:t>5%履约保证金</w:t>
            </w:r>
            <w:r>
              <w:rPr>
                <w:rFonts w:ascii="仿宋_GB2312" w:hAnsi="仿宋_GB2312" w:cs="仿宋_GB2312" w:eastAsia="仿宋_GB2312"/>
                <w:sz w:val="18"/>
              </w:rPr>
              <w:t>。</w:t>
            </w:r>
            <w:r>
              <w:rPr>
                <w:rFonts w:ascii="仿宋_GB2312" w:hAnsi="仿宋_GB2312" w:cs="仿宋_GB2312" w:eastAsia="仿宋_GB2312"/>
                <w:sz w:val="18"/>
                <w:b/>
              </w:rPr>
              <w:t>供应商自主选择以支票、汇票、本票、保函等非现金形式缴纳或提交履约保证金。</w:t>
            </w:r>
            <w:r>
              <w:rPr>
                <w:rFonts w:ascii="仿宋_GB2312" w:hAnsi="仿宋_GB2312" w:cs="仿宋_GB2312" w:eastAsia="仿宋_GB2312"/>
                <w:sz w:val="18"/>
              </w:rPr>
              <w:t xml:space="preserve"> </w:t>
            </w:r>
            <w:r>
              <w:rPr>
                <w:rFonts w:ascii="仿宋_GB2312" w:hAnsi="仿宋_GB2312" w:cs="仿宋_GB2312" w:eastAsia="仿宋_GB2312"/>
                <w:sz w:val="18"/>
              </w:rPr>
              <w:t>履约保证金在运维服务期满后，经甲方验收合格且乙方提供《</w:t>
            </w:r>
            <w:r>
              <w:rPr>
                <w:rFonts w:ascii="仿宋_GB2312" w:hAnsi="仿宋_GB2312" w:cs="仿宋_GB2312" w:eastAsia="仿宋_GB2312"/>
                <w:sz w:val="18"/>
              </w:rPr>
              <w:t>××政府采购项目绩效目标表》、合同、验收资料后一次无息退回。若乙方违约或产生额外费用（包括但不限于违约金、赔偿金及应急服务费用），甲方有权从履约保证金中直接扣减相应金额。</w:t>
            </w:r>
          </w:p>
          <w:p>
            <w:pPr>
              <w:pStyle w:val="null3"/>
              <w:ind w:firstLine="560"/>
              <w:jc w:val="both"/>
            </w:pPr>
            <w:r>
              <w:rPr>
                <w:rFonts w:ascii="仿宋_GB2312" w:hAnsi="仿宋_GB2312" w:cs="仿宋_GB2312" w:eastAsia="仿宋_GB2312"/>
                <w:sz w:val="18"/>
              </w:rPr>
              <w:t>服务费支付方式：</w:t>
            </w:r>
          </w:p>
          <w:p>
            <w:pPr>
              <w:pStyle w:val="null3"/>
              <w:ind w:firstLine="560"/>
              <w:jc w:val="both"/>
            </w:pPr>
            <w:r>
              <w:rPr>
                <w:rFonts w:ascii="仿宋_GB2312" w:hAnsi="仿宋_GB2312" w:cs="仿宋_GB2312" w:eastAsia="仿宋_GB2312"/>
                <w:sz w:val="18"/>
              </w:rPr>
              <w:t>（</w:t>
            </w:r>
            <w:r>
              <w:rPr>
                <w:rFonts w:ascii="仿宋_GB2312" w:hAnsi="仿宋_GB2312" w:cs="仿宋_GB2312" w:eastAsia="仿宋_GB2312"/>
                <w:sz w:val="18"/>
              </w:rPr>
              <w:t>1）合同签订后，达到付款条件起30日内，支付合同总金额的60.00%；</w:t>
            </w:r>
          </w:p>
          <w:p>
            <w:pPr>
              <w:pStyle w:val="null3"/>
              <w:ind w:firstLine="560"/>
              <w:jc w:val="both"/>
            </w:pPr>
            <w:r>
              <w:rPr>
                <w:rFonts w:ascii="仿宋_GB2312" w:hAnsi="仿宋_GB2312" w:cs="仿宋_GB2312" w:eastAsia="仿宋_GB2312"/>
                <w:sz w:val="18"/>
              </w:rPr>
              <w:t>（</w:t>
            </w:r>
            <w:r>
              <w:rPr>
                <w:rFonts w:ascii="仿宋_GB2312" w:hAnsi="仿宋_GB2312" w:cs="仿宋_GB2312" w:eastAsia="仿宋_GB2312"/>
                <w:sz w:val="18"/>
              </w:rPr>
              <w:t>2）在财政预算执行时限内，乙方向甲方提交符合合同约定标准的阶段性工作报告及书面付款申请并经甲方审核通过后，支付合同总金额的40.00%。</w:t>
            </w:r>
          </w:p>
          <w:p>
            <w:pPr>
              <w:pStyle w:val="null3"/>
              <w:ind w:firstLine="560"/>
              <w:jc w:val="both"/>
            </w:pPr>
            <w:r>
              <w:rPr>
                <w:rFonts w:ascii="仿宋_GB2312" w:hAnsi="仿宋_GB2312" w:cs="仿宋_GB2312" w:eastAsia="仿宋_GB2312"/>
                <w:sz w:val="18"/>
              </w:rPr>
              <w:t>（</w:t>
            </w:r>
            <w:r>
              <w:rPr>
                <w:rFonts w:ascii="仿宋_GB2312" w:hAnsi="仿宋_GB2312" w:cs="仿宋_GB2312" w:eastAsia="仿宋_GB2312"/>
                <w:sz w:val="18"/>
              </w:rPr>
              <w:t>3）</w:t>
            </w:r>
            <w:r>
              <w:rPr>
                <w:rFonts w:ascii="仿宋_GB2312" w:hAnsi="仿宋_GB2312" w:cs="仿宋_GB2312" w:eastAsia="仿宋_GB2312"/>
                <w:sz w:val="18"/>
              </w:rPr>
              <w:t>付款条件说明：</w:t>
            </w:r>
            <w:r>
              <w:rPr>
                <w:rFonts w:ascii="仿宋_GB2312" w:hAnsi="仿宋_GB2312" w:cs="仿宋_GB2312" w:eastAsia="仿宋_GB2312"/>
                <w:sz w:val="18"/>
              </w:rPr>
              <w:t>乙方在甲方办理以上各期付款的支付手续前，应至少提前</w:t>
            </w:r>
            <w:r>
              <w:rPr>
                <w:rFonts w:ascii="仿宋_GB2312" w:hAnsi="仿宋_GB2312" w:cs="仿宋_GB2312" w:eastAsia="仿宋_GB2312"/>
                <w:sz w:val="18"/>
              </w:rPr>
              <w:t>5个工作日向甲方出具等额的符合国家规定的发票；因乙方未按时向甲方提供等额发票，导致甲方延期付款时，甲方不承担任何违约责任。</w:t>
            </w:r>
          </w:p>
          <w:p>
            <w:pPr>
              <w:pStyle w:val="null3"/>
              <w:ind w:firstLine="560"/>
              <w:jc w:val="both"/>
            </w:pPr>
            <w:r>
              <w:rPr>
                <w:rFonts w:ascii="仿宋_GB2312" w:hAnsi="仿宋_GB2312" w:cs="仿宋_GB2312" w:eastAsia="仿宋_GB2312"/>
                <w:sz w:val="18"/>
              </w:rPr>
              <w:t>（</w:t>
            </w:r>
            <w:r>
              <w:rPr>
                <w:rFonts w:ascii="仿宋_GB2312" w:hAnsi="仿宋_GB2312" w:cs="仿宋_GB2312" w:eastAsia="仿宋_GB2312"/>
                <w:sz w:val="18"/>
              </w:rPr>
              <w:t>4）上述时间不包括甲方正常办理支付报批手续的时间。</w:t>
            </w:r>
          </w:p>
          <w:p>
            <w:pPr>
              <w:pStyle w:val="null3"/>
              <w:ind w:firstLine="560"/>
              <w:jc w:val="both"/>
            </w:pPr>
            <w:r>
              <w:rPr>
                <w:rFonts w:ascii="仿宋_GB2312" w:hAnsi="仿宋_GB2312" w:cs="仿宋_GB2312" w:eastAsia="仿宋_GB2312"/>
                <w:sz w:val="18"/>
              </w:rPr>
              <w:t>（</w:t>
            </w:r>
            <w:r>
              <w:rPr>
                <w:rFonts w:ascii="仿宋_GB2312" w:hAnsi="仿宋_GB2312" w:cs="仿宋_GB2312" w:eastAsia="仿宋_GB2312"/>
                <w:sz w:val="18"/>
              </w:rPr>
              <w:t>5）</w:t>
            </w:r>
            <w:r>
              <w:rPr>
                <w:rFonts w:ascii="仿宋_GB2312" w:hAnsi="仿宋_GB2312" w:cs="仿宋_GB2312" w:eastAsia="仿宋_GB2312"/>
                <w:sz w:val="18"/>
              </w:rPr>
              <w:t>执行过程中，合同总金额如遇财政预算核减，财政核减后金额低于成交总金额的，按财政核减后金额执行。</w:t>
            </w:r>
          </w:p>
          <w:p>
            <w:pPr>
              <w:pStyle w:val="null3"/>
              <w:ind w:firstLine="560"/>
              <w:jc w:val="both"/>
            </w:pPr>
            <w:r>
              <w:rPr>
                <w:rFonts w:ascii="仿宋_GB2312" w:hAnsi="仿宋_GB2312" w:cs="仿宋_GB2312" w:eastAsia="仿宋_GB2312"/>
                <w:sz w:val="18"/>
              </w:rPr>
              <w:t>（</w:t>
            </w:r>
            <w:r>
              <w:rPr>
                <w:rFonts w:ascii="仿宋_GB2312" w:hAnsi="仿宋_GB2312" w:cs="仿宋_GB2312" w:eastAsia="仿宋_GB2312"/>
                <w:sz w:val="18"/>
              </w:rPr>
              <w:t>6）如果由于甲方因国家政策的要求进行单位变更、机构改革等其他原因导致合同无法履行，甲方可解除合同，不承担任何责任。甲方预付的合同款项供应商应予退还。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合同签订后，达到付款条件起30日内，支付合同总金额的60.00%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在财政预算执行时限内，乙方向甲方提交符合合同约定标准的阶段性工作报告及书面付款申请并经甲方审核通过后，支付合同总金额的40.00%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本项目属于非专门面向中小企业采购。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（一）提供注册登记凭证（营业执照、其他组织经营的合法凭证，自然人的提供身份证明文件）。 （二）具有良好的商业信誉和健全的财务会计制度。提供2024年或2025年经审计的具有注册会计师行业统一监管平台出具赋码的财务报告（包括四表一注，即资产负债表、利润表、现金流量表、所有者权益变动表及其附注），且无反对意见；事业法人提供部门决算报告；/或在磋商日期前六个月内其基本开户银行出具的资信证明（附基本存款账户信息等证明材料）； /或专业担保机构出具的磋商担保函；/或表明具有良好的商业信誉和健全的财务会计制度的诚信声明；/或供应商基本资格条件承诺函；以上四种形式的资料提供任何一种即可。 （三）具有履行合同所必需的设备和专业技术能力。提供诚信承诺。 （四）具有依法缴纳税收的良好记录。提供缴费所属日期为投标截止时间前12个月内任一月份（磋商截止时间当月不计入）的缴费凭据或税务机关出具的完税证明或（在法规范围内不需提供的应出具书面说明和证明文件）；/或具有依法缴纳税收的诚信声明；/或供应商基本资格条件承诺函；以上形式的资料提供任何一种即可。 （五）具有依法缴纳社会保障资金的良好记录。提供缴费所属日期为磋商时间前12个月内任一月份（磋商截止时间当月不计入）的缴费凭据或社保机关出具的缴费证明/在法规范围内不需提供的应出具书面说明和证明文件/或具有依法缴纳社会保障资金的缴纳记录的诚信承诺。 （六）参加政府采购活动前3年内在经营活动中没有重大违法记录的书面声明。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信用查询记录</w:t>
            </w:r>
          </w:p>
        </w:tc>
        <w:tc>
          <w:tcPr>
            <w:tcW w:type="dxa" w:w="3322"/>
          </w:tcPr>
          <w:p>
            <w:pPr>
              <w:pStyle w:val="null3"/>
            </w:pPr>
            <w:r>
              <w:rPr>
                <w:rFonts w:ascii="仿宋_GB2312" w:hAnsi="仿宋_GB2312" w:cs="仿宋_GB2312" w:eastAsia="仿宋_GB2312"/>
              </w:rPr>
              <w:t>供应商不得为“信用中国”网站（www.creditchina.gov.cn）列入失信被执行人、严重失信主体名单、重大税收违法失信主体供应商，不得为“中国政府采购网”（www.ccgp.gov.cn）政府采购严重违法失信行为记录中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法定代表人授权书及本单位证明</w:t>
            </w:r>
          </w:p>
        </w:tc>
        <w:tc>
          <w:tcPr>
            <w:tcW w:type="dxa" w:w="3322"/>
          </w:tcPr>
          <w:p>
            <w:pPr>
              <w:pStyle w:val="null3"/>
            </w:pPr>
            <w:r>
              <w:rPr>
                <w:rFonts w:ascii="仿宋_GB2312" w:hAnsi="仿宋_GB2312" w:cs="仿宋_GB2312" w:eastAsia="仿宋_GB2312"/>
              </w:rPr>
              <w:t>法定代表人参加磋商的，须出示身份证；法定代表人授权他人参加磋商的，须提供法定代表人授权委托书、被授权人身份证及被授权人本单位证明 (近开标时间连续六个月社保缴纳证明)（入职未满6个月，按实际入职时间提供社会保险缴纳证明；若入职时间短未缴纳社会保险，需提供劳动合同）。</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（一）评审中出现下列情形之一的，评审委员会应当启动异常低价响应审查程序：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二）评审委员会启动异常低价响应审查后，属于前述第1项至第4项情形的，应当要求相关供应商在评审现场规定的时间内对响应价格作出解释，提供项目具体成本测算等与报价合理性相关的书面说明及必要的证明材料，包括但不限于原材料成本、人工成本、制造费用等。其中，属于第3项情形，供应商已随响应文件一并提交相关书面说明及必要的证明材料的，在评审现场可不再重复提交。 评审委员会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评审委员会应当将其作为无效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磋商响应文件的完整性、有效性、响应性审查</w:t>
            </w:r>
          </w:p>
        </w:tc>
        <w:tc>
          <w:tcPr>
            <w:tcW w:type="dxa" w:w="3322"/>
          </w:tcPr>
          <w:p>
            <w:pPr>
              <w:pStyle w:val="null3"/>
            </w:pPr>
            <w:r>
              <w:rPr>
                <w:rFonts w:ascii="仿宋_GB2312" w:hAnsi="仿宋_GB2312" w:cs="仿宋_GB2312" w:eastAsia="仿宋_GB2312"/>
              </w:rPr>
              <w:t>响应文件是否按照磋商文件要求的格式编写。响应文件的签署、加盖印章是否有效。响应报价是否未超过最高限价；响应报价有效期是否符合磋商文件的要求；是否满足磋商文件的实质性要求。</w:t>
            </w:r>
          </w:p>
        </w:tc>
        <w:tc>
          <w:tcPr>
            <w:tcW w:type="dxa" w:w="1661"/>
          </w:tcPr>
          <w:p>
            <w:pPr>
              <w:pStyle w:val="null3"/>
            </w:pPr>
            <w:r>
              <w:rPr>
                <w:rFonts w:ascii="仿宋_GB2312" w:hAnsi="仿宋_GB2312" w:cs="仿宋_GB2312" w:eastAsia="仿宋_GB2312"/>
              </w:rPr>
              <w:t>响应文件封面 响应方案说明书.docx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总体安全运维服务方案</w:t>
            </w:r>
          </w:p>
        </w:tc>
        <w:tc>
          <w:tcPr>
            <w:tcW w:type="dxa" w:w="2492"/>
          </w:tcPr>
          <w:p>
            <w:pPr>
              <w:pStyle w:val="null3"/>
            </w:pPr>
            <w:r>
              <w:rPr>
                <w:rFonts w:ascii="仿宋_GB2312" w:hAnsi="仿宋_GB2312" w:cs="仿宋_GB2312" w:eastAsia="仿宋_GB2312"/>
              </w:rPr>
              <w:t>一、评审内容 供应商依照采购人要求，结合工作实际情况，制订总体安全运维服务方案，包括①互联网资产发现、识别、监测、稽核等服务②安全漏洞检查、WEB漏洞检查方案③安全配置检查方案④安全加固方案。 二、评审标准 1、完整性：方案须全面，对评审内容中的各项要求有详细描述； 2、可实施性：切合本项目实际情况，实施步骤清晰、合理； 3、针对性：方案能够紧扣本项目所采购服务的实际情况，内容科学合理。 三、赋分依据（满分20分） 上述评审内容全部满足评审标准得20分；每有一个评审内容缺项扣5分，扣完为止；每有一项对应的评审标准存在缺陷的，扣1分。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供应商根据采购人的要求提供具体应急方案，包括①安全应急演练服务方案②安全通告服务内容③重大活动或重点时段应急及突发状况处置④突发安全事件应急处理⑤故障事件处理及恢复方案。 二、评审标准 1、完整性：方案须全面，对评审内容中的各项要求有详细描述； 2、可实施性：切合本项目实际情况，实施步骤清晰、合理； 3、针对性：方案能够紧扣本项目所采购服务的实际情况，内容科学合理。 三、赋分依据（满分20分） 上述评审内容全部满足评审标准得20分；每有一个评审内容缺项扣4分，扣完为止；每有一项对应的评审标准存在缺陷的，扣1分。。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供应商针对本项目提供质量保证措施，包括①网络入侵排查方案②安全监测设备信息的整理、分析和处理方案③安全质量保障整体服务措施④安全保障实施过程中的评估报告、改进建议内容、总结输出报告。 二、评审标准 1、完整性：方案须全面，对评审内容中的各项要求有详细描述； 2、可实施性：切合本项目实际情况，实施步骤清晰、合理； 3、针对性：方案能够紧扣本项目所采购服务的实际情况，内容科学合理。 三、赋分依据（满分16分） 上述评审内容全部满足评审标准得16分；每有一个评审内容缺项扣4分，扣完为止；每有一项对应的评审标准存在缺陷的，扣1分。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1、具备信息安全服务证书（应急处理类）二级或以上得2分，其他级别得1分； 2、具备业务连续性管理体系认证证书（认证范围包括：信息系统安全检测、风险评估）得1分（满足一项得0.5分）； 3、具备信息安全服务证书（数据安全评估）得1分； 4、具备隐私管理体系认证证书（认证范围包括：信息安全风险评估、信息安全渗透测试、漏洞扫描服务）得3分。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团队配备方案</w:t>
            </w:r>
          </w:p>
        </w:tc>
        <w:tc>
          <w:tcPr>
            <w:tcW w:type="dxa" w:w="2492"/>
          </w:tcPr>
          <w:p>
            <w:pPr>
              <w:pStyle w:val="null3"/>
            </w:pPr>
            <w:r>
              <w:rPr>
                <w:rFonts w:ascii="仿宋_GB2312" w:hAnsi="仿宋_GB2312" w:cs="仿宋_GB2312" w:eastAsia="仿宋_GB2312"/>
              </w:rPr>
              <w:t>针对本次项目投入的服务支撑团队不少于6人，在此基础上提供以下证书 1. 网络安全等级测评证书（高级）； 2. 商用密码应用安全性评估从业人员考核合格证书； 3. CISAW信息安全保障人员（应急服务方向）证书； 4. CISAW信息安全保障人员（安全运维方向）证书； 5. CISAW信息安全保障人员（风险管理方向）； 每提供1份计1分，满分5分（少于6人此项不得分）。 注：团队人员需提供社保证明，社保缴纳证明须为递交响应文件截止之日前连续6个月的社会保险缴纳证明（入职未满6个月，按实际入职时间提供社会保险缴纳证明；若入职时间短未缴纳社会保险，需提供劳动合同），否则此项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驻场维保人员</w:t>
            </w:r>
          </w:p>
        </w:tc>
        <w:tc>
          <w:tcPr>
            <w:tcW w:type="dxa" w:w="2492"/>
          </w:tcPr>
          <w:p>
            <w:pPr>
              <w:pStyle w:val="null3"/>
            </w:pPr>
            <w:r>
              <w:rPr>
                <w:rFonts w:ascii="仿宋_GB2312" w:hAnsi="仿宋_GB2312" w:cs="仿宋_GB2312" w:eastAsia="仿宋_GB2312"/>
              </w:rPr>
              <w:t>具备CISP注册信息安全专业人员证书，得2分。 提供社保证明，社保缴纳证明须为递交响应文件截止之日前连续6个月的社会保险缴纳证明（入职未满6个月，按实际入职时间提供社会保险缴纳证明；若入职时间短未缴纳社会保险，需提供劳动合同），否则此项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后续跟踪服务方案</w:t>
            </w:r>
          </w:p>
        </w:tc>
        <w:tc>
          <w:tcPr>
            <w:tcW w:type="dxa" w:w="2492"/>
          </w:tcPr>
          <w:p>
            <w:pPr>
              <w:pStyle w:val="null3"/>
            </w:pPr>
            <w:r>
              <w:rPr>
                <w:rFonts w:ascii="仿宋_GB2312" w:hAnsi="仿宋_GB2312" w:cs="仿宋_GB2312" w:eastAsia="仿宋_GB2312"/>
              </w:rPr>
              <w:t>一、评审内容 供应商针对本项目提供后续跟踪服务方案，包括①后续服务承诺②后续跟踪服务技术支持方案。 二、评审标准 1、完整性：方案须全面，对评审内容中的各项要求有详细描述； 2、可实施性：切合本项目实际情况，实施步骤清晰、合理； 3、针对性：方案能够紧扣本项目所采购服务的实际情况，内容科学合理。 三、赋分依据（满分10分） 上述评审内容全部满足评审标准得10分；每有一个评审内容缺项扣5分，扣完为止；每有一项对应的评审标准存在缺陷的，扣1分。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供应商具有（2023年1月1日至今）类似项目业绩（时间以合同签订的日期为准），提供1份得2分，满分10分。 备注：以上证明材料须提供合同（复印件）并加盖供应商单位公章，否则不得分。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1.满足磋商文件实质性要求且最终报价最低的供应商的价格为磋商基准价，其价格分为满分10分。2.磋商总报价得分=(磋商基准价／最终磋商总报价)×10。注：计算分数时四舍五入取小数点后两位。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详见附件：响应方案说明书.docx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详见附件：网络安全合同文本.docx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