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9F7CF3">
      <w:pPr>
        <w:pStyle w:val="12"/>
        <w:ind w:firstLine="0"/>
        <w:jc w:val="center"/>
        <w:rPr>
          <w:rFonts w:ascii="仿宋" w:hAnsi="仿宋" w:eastAsia="仿宋" w:cs="仿宋"/>
          <w:b/>
          <w:color w:val="auto"/>
          <w:sz w:val="52"/>
          <w:szCs w:val="52"/>
        </w:rPr>
      </w:pPr>
      <w:r>
        <w:rPr>
          <w:rFonts w:hint="eastAsia" w:ascii="仿宋" w:hAnsi="仿宋" w:eastAsia="仿宋" w:cs="仿宋"/>
          <w:b/>
          <w:color w:val="auto"/>
          <w:sz w:val="56"/>
          <w:szCs w:val="56"/>
          <w:u w:val="single"/>
        </w:rPr>
        <w:t xml:space="preserve">               </w:t>
      </w:r>
      <w:r>
        <w:rPr>
          <w:rFonts w:hint="eastAsia" w:ascii="仿宋" w:hAnsi="仿宋" w:eastAsia="仿宋" w:cs="仿宋"/>
          <w:b/>
          <w:color w:val="auto"/>
          <w:sz w:val="56"/>
          <w:szCs w:val="56"/>
          <w:lang w:val="zh-CN"/>
        </w:rPr>
        <w:t>项目</w:t>
      </w:r>
    </w:p>
    <w:p w14:paraId="1D8E3FAF">
      <w:pPr>
        <w:rPr>
          <w:rFonts w:ascii="仿宋" w:hAnsi="仿宋" w:eastAsia="仿宋" w:cs="仿宋"/>
          <w:b/>
          <w:color w:val="auto"/>
          <w:kern w:val="0"/>
          <w:sz w:val="32"/>
          <w:szCs w:val="32"/>
        </w:rPr>
      </w:pPr>
    </w:p>
    <w:p w14:paraId="7F5A5FF5">
      <w:pPr>
        <w:pStyle w:val="4"/>
        <w:rPr>
          <w:rFonts w:hint="default"/>
          <w:color w:val="auto"/>
        </w:rPr>
      </w:pPr>
    </w:p>
    <w:p w14:paraId="1FD2213C">
      <w:pPr>
        <w:rPr>
          <w:color w:val="auto"/>
        </w:rPr>
      </w:pPr>
    </w:p>
    <w:p w14:paraId="727C813F">
      <w:pPr>
        <w:pStyle w:val="4"/>
        <w:rPr>
          <w:rFonts w:hint="default"/>
          <w:color w:val="auto"/>
        </w:rPr>
      </w:pPr>
    </w:p>
    <w:p w14:paraId="21E91E43">
      <w:pPr>
        <w:jc w:val="center"/>
        <w:rPr>
          <w:rFonts w:ascii="仿宋" w:hAnsi="仿宋" w:eastAsia="仿宋" w:cs="仿宋"/>
          <w:b/>
          <w:color w:val="auto"/>
          <w:kern w:val="0"/>
          <w:sz w:val="52"/>
          <w:szCs w:val="52"/>
        </w:rPr>
      </w:pPr>
      <w:r>
        <w:rPr>
          <w:rFonts w:hint="eastAsia" w:ascii="仿宋" w:hAnsi="仿宋" w:eastAsia="仿宋" w:cs="仿宋"/>
          <w:b/>
          <w:color w:val="auto"/>
          <w:kern w:val="0"/>
          <w:sz w:val="52"/>
          <w:szCs w:val="52"/>
        </w:rPr>
        <w:t>合 同 书</w:t>
      </w:r>
    </w:p>
    <w:p w14:paraId="29A25C3A">
      <w:pPr>
        <w:pStyle w:val="4"/>
        <w:rPr>
          <w:rFonts w:hint="default" w:ascii="仿宋" w:hAnsi="仿宋" w:cs="仿宋"/>
          <w:color w:val="auto"/>
        </w:rPr>
      </w:pPr>
    </w:p>
    <w:p w14:paraId="34229DB7">
      <w:pPr>
        <w:pStyle w:val="2"/>
        <w:rPr>
          <w:rFonts w:hint="default" w:ascii="仿宋" w:hAnsi="仿宋" w:cs="仿宋"/>
          <w:color w:val="auto"/>
        </w:rPr>
      </w:pPr>
    </w:p>
    <w:p w14:paraId="5EBF51D8">
      <w:pPr>
        <w:spacing w:line="560" w:lineRule="exact"/>
        <w:jc w:val="center"/>
        <w:rPr>
          <w:rFonts w:ascii="仿宋" w:hAnsi="仿宋" w:eastAsia="仿宋" w:cs="仿宋"/>
          <w:b/>
          <w:color w:val="auto"/>
          <w:kern w:val="0"/>
          <w:sz w:val="36"/>
          <w:szCs w:val="36"/>
        </w:rPr>
      </w:pPr>
    </w:p>
    <w:p w14:paraId="3C86D19B">
      <w:pPr>
        <w:pStyle w:val="2"/>
        <w:rPr>
          <w:rFonts w:hint="default" w:ascii="仿宋" w:hAnsi="仿宋" w:cs="仿宋"/>
          <w:color w:val="auto"/>
        </w:rPr>
      </w:pPr>
    </w:p>
    <w:p w14:paraId="1C6AE741">
      <w:pPr>
        <w:rPr>
          <w:rFonts w:ascii="仿宋" w:hAnsi="仿宋" w:eastAsia="仿宋" w:cs="仿宋"/>
          <w:color w:val="auto"/>
        </w:rPr>
      </w:pPr>
    </w:p>
    <w:p w14:paraId="486B7BFE">
      <w:pPr>
        <w:rPr>
          <w:rFonts w:ascii="仿宋" w:hAnsi="仿宋" w:eastAsia="仿宋" w:cs="仿宋"/>
          <w:color w:val="auto"/>
        </w:rPr>
      </w:pPr>
    </w:p>
    <w:p w14:paraId="0B1421EC">
      <w:pPr>
        <w:spacing w:line="560" w:lineRule="exact"/>
        <w:jc w:val="center"/>
        <w:rPr>
          <w:rFonts w:ascii="仿宋" w:hAnsi="仿宋" w:eastAsia="仿宋" w:cs="仿宋"/>
          <w:b/>
          <w:color w:val="auto"/>
          <w:kern w:val="0"/>
          <w:sz w:val="36"/>
          <w:szCs w:val="36"/>
        </w:rPr>
      </w:pPr>
      <w:r>
        <w:rPr>
          <w:rFonts w:hint="eastAsia" w:ascii="仿宋" w:hAnsi="仿宋" w:eastAsia="仿宋" w:cs="仿宋"/>
          <w:b/>
          <w:color w:val="auto"/>
          <w:kern w:val="0"/>
          <w:sz w:val="36"/>
          <w:szCs w:val="36"/>
        </w:rPr>
        <w:t>合同编号：XXXX</w:t>
      </w:r>
    </w:p>
    <w:p w14:paraId="3BE18B82">
      <w:pPr>
        <w:pStyle w:val="6"/>
        <w:ind w:left="0" w:leftChars="0"/>
        <w:rPr>
          <w:rFonts w:ascii="仿宋" w:hAnsi="仿宋" w:eastAsia="仿宋" w:cs="仿宋"/>
          <w:color w:val="auto"/>
        </w:rPr>
      </w:pPr>
    </w:p>
    <w:p w14:paraId="666CF065">
      <w:pPr>
        <w:rPr>
          <w:rFonts w:ascii="仿宋" w:hAnsi="仿宋" w:eastAsia="仿宋" w:cs="仿宋"/>
          <w:color w:val="auto"/>
        </w:rPr>
      </w:pPr>
    </w:p>
    <w:p w14:paraId="476BCCF1">
      <w:pPr>
        <w:pStyle w:val="8"/>
        <w:rPr>
          <w:rFonts w:hint="default" w:ascii="仿宋" w:hAnsi="仿宋" w:cs="仿宋"/>
          <w:color w:val="auto"/>
        </w:rPr>
      </w:pPr>
    </w:p>
    <w:p w14:paraId="797E155F">
      <w:pPr>
        <w:pStyle w:val="2"/>
        <w:rPr>
          <w:rFonts w:hint="default" w:ascii="仿宋" w:hAnsi="仿宋" w:cs="仿宋"/>
          <w:color w:val="auto"/>
        </w:rPr>
      </w:pPr>
    </w:p>
    <w:p w14:paraId="3252A88B">
      <w:pPr>
        <w:pStyle w:val="13"/>
        <w:rPr>
          <w:rFonts w:ascii="仿宋" w:hAnsi="仿宋" w:eastAsia="仿宋" w:cs="仿宋"/>
          <w:color w:val="auto"/>
        </w:rPr>
      </w:pPr>
    </w:p>
    <w:p w14:paraId="0011480B">
      <w:pPr>
        <w:rPr>
          <w:rFonts w:ascii="仿宋" w:hAnsi="仿宋" w:eastAsia="仿宋" w:cs="仿宋"/>
          <w:color w:val="auto"/>
        </w:rPr>
      </w:pPr>
    </w:p>
    <w:p w14:paraId="76F37ABA">
      <w:pPr>
        <w:pStyle w:val="4"/>
        <w:rPr>
          <w:rFonts w:hint="default" w:ascii="仿宋" w:hAnsi="仿宋" w:cs="仿宋"/>
          <w:color w:val="auto"/>
        </w:rPr>
      </w:pPr>
    </w:p>
    <w:p w14:paraId="0088D460">
      <w:pPr>
        <w:rPr>
          <w:rFonts w:ascii="仿宋" w:hAnsi="仿宋" w:eastAsia="仿宋" w:cs="仿宋"/>
          <w:color w:val="auto"/>
        </w:rPr>
      </w:pPr>
    </w:p>
    <w:p w14:paraId="559F6924">
      <w:pPr>
        <w:pStyle w:val="2"/>
        <w:rPr>
          <w:rFonts w:hint="default" w:ascii="仿宋" w:hAnsi="仿宋" w:cs="仿宋"/>
          <w:color w:val="auto"/>
        </w:rPr>
      </w:pPr>
    </w:p>
    <w:p w14:paraId="770EE32C">
      <w:pPr>
        <w:spacing w:line="560" w:lineRule="exact"/>
        <w:ind w:left="1469" w:hanging="1469" w:hangingChars="400"/>
        <w:rPr>
          <w:rFonts w:ascii="仿宋" w:hAnsi="仿宋" w:eastAsia="仿宋" w:cs="仿宋"/>
          <w:b/>
          <w:color w:val="auto"/>
          <w:spacing w:val="23"/>
          <w:sz w:val="32"/>
          <w:szCs w:val="32"/>
        </w:rPr>
      </w:pPr>
      <w:r>
        <w:rPr>
          <w:rFonts w:hint="eastAsia" w:ascii="仿宋" w:hAnsi="仿宋" w:eastAsia="仿宋" w:cs="仿宋"/>
          <w:b/>
          <w:color w:val="auto"/>
          <w:spacing w:val="23"/>
          <w:sz w:val="32"/>
          <w:szCs w:val="32"/>
          <w:lang w:bidi="ar"/>
        </w:rPr>
        <w:t xml:space="preserve">          甲方（</w:t>
      </w:r>
      <w:r>
        <w:rPr>
          <w:rFonts w:hint="eastAsia" w:ascii="仿宋" w:hAnsi="仿宋" w:eastAsia="仿宋" w:cs="仿宋"/>
          <w:b/>
          <w:color w:val="auto"/>
          <w:spacing w:val="23"/>
          <w:sz w:val="32"/>
          <w:szCs w:val="32"/>
          <w:lang w:bidi="ar"/>
        </w:rPr>
        <w:fldChar w:fldCharType="begin"/>
      </w:r>
      <w:r>
        <w:rPr>
          <w:rFonts w:hint="eastAsia" w:ascii="仿宋" w:hAnsi="仿宋" w:eastAsia="仿宋" w:cs="仿宋"/>
          <w:b/>
          <w:color w:val="auto"/>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32"/>
          <w:szCs w:val="32"/>
          <w:lang w:bidi="ar"/>
        </w:rPr>
        <w:fldChar w:fldCharType="separate"/>
      </w:r>
      <w:r>
        <w:rPr>
          <w:rStyle w:val="11"/>
          <w:rFonts w:hint="default" w:ascii="仿宋" w:hAnsi="仿宋" w:eastAsia="仿宋" w:cs="仿宋"/>
          <w:b/>
          <w:color w:val="auto"/>
          <w:spacing w:val="23"/>
          <w:sz w:val="32"/>
          <w:szCs w:val="32"/>
        </w:rPr>
        <w:t>采购人</w:t>
      </w:r>
      <w:r>
        <w:rPr>
          <w:rFonts w:hint="eastAsia" w:ascii="仿宋" w:hAnsi="仿宋" w:eastAsia="仿宋" w:cs="仿宋"/>
          <w:b/>
          <w:color w:val="auto"/>
          <w:spacing w:val="23"/>
          <w:sz w:val="32"/>
          <w:szCs w:val="32"/>
          <w:lang w:bidi="ar"/>
        </w:rPr>
        <w:fldChar w:fldCharType="end"/>
      </w:r>
      <w:r>
        <w:rPr>
          <w:rFonts w:hint="eastAsia" w:ascii="仿宋" w:hAnsi="仿宋" w:eastAsia="仿宋" w:cs="仿宋"/>
          <w:b/>
          <w:color w:val="auto"/>
          <w:spacing w:val="23"/>
          <w:sz w:val="32"/>
          <w:szCs w:val="32"/>
          <w:lang w:bidi="ar"/>
        </w:rPr>
        <w:t>）：</w:t>
      </w:r>
      <w:r>
        <w:rPr>
          <w:rFonts w:hint="eastAsia" w:ascii="仿宋" w:hAnsi="仿宋" w:eastAsia="仿宋" w:cs="仿宋"/>
          <w:b/>
          <w:color w:val="auto"/>
          <w:spacing w:val="23"/>
          <w:sz w:val="32"/>
          <w:szCs w:val="32"/>
          <w:u w:val="single"/>
          <w:lang w:bidi="ar"/>
        </w:rPr>
        <w:t xml:space="preserve">           .</w:t>
      </w:r>
    </w:p>
    <w:p w14:paraId="637C1C74">
      <w:pPr>
        <w:spacing w:line="560" w:lineRule="exact"/>
        <w:ind w:left="1469" w:hanging="1469" w:hangingChars="400"/>
        <w:rPr>
          <w:rFonts w:ascii="仿宋" w:hAnsi="仿宋" w:eastAsia="仿宋" w:cs="仿宋"/>
          <w:b/>
          <w:color w:val="auto"/>
          <w:spacing w:val="23"/>
          <w:sz w:val="32"/>
          <w:szCs w:val="32"/>
        </w:rPr>
      </w:pPr>
      <w:r>
        <w:rPr>
          <w:rFonts w:hint="eastAsia" w:ascii="仿宋" w:hAnsi="仿宋" w:eastAsia="仿宋" w:cs="仿宋"/>
          <w:b/>
          <w:color w:val="auto"/>
          <w:spacing w:val="23"/>
          <w:sz w:val="32"/>
          <w:szCs w:val="32"/>
          <w:lang w:bidi="ar"/>
        </w:rPr>
        <w:t xml:space="preserve">          </w:t>
      </w:r>
      <w:r>
        <w:rPr>
          <w:rFonts w:hint="eastAsia" w:ascii="仿宋" w:hAnsi="仿宋" w:eastAsia="仿宋" w:cs="仿宋"/>
          <w:b/>
          <w:color w:val="auto"/>
          <w:spacing w:val="23"/>
          <w:sz w:val="32"/>
          <w:szCs w:val="32"/>
          <w:lang w:bidi="ar"/>
        </w:rPr>
        <w:fldChar w:fldCharType="begin"/>
      </w:r>
      <w:r>
        <w:rPr>
          <w:rFonts w:hint="eastAsia" w:ascii="仿宋" w:hAnsi="仿宋" w:eastAsia="仿宋" w:cs="仿宋"/>
          <w:b/>
          <w:color w:val="auto"/>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32"/>
          <w:szCs w:val="32"/>
          <w:lang w:bidi="ar"/>
        </w:rPr>
        <w:fldChar w:fldCharType="separate"/>
      </w:r>
      <w:r>
        <w:rPr>
          <w:rStyle w:val="11"/>
          <w:rFonts w:hint="default" w:ascii="仿宋" w:hAnsi="仿宋" w:eastAsia="仿宋" w:cs="仿宋"/>
          <w:b/>
          <w:color w:val="auto"/>
          <w:spacing w:val="23"/>
          <w:sz w:val="32"/>
          <w:szCs w:val="32"/>
        </w:rPr>
        <w:t>乙方</w:t>
      </w:r>
      <w:r>
        <w:rPr>
          <w:rFonts w:hint="eastAsia" w:ascii="仿宋" w:hAnsi="仿宋" w:eastAsia="仿宋" w:cs="仿宋"/>
          <w:b/>
          <w:color w:val="auto"/>
          <w:spacing w:val="23"/>
          <w:sz w:val="32"/>
          <w:szCs w:val="32"/>
          <w:lang w:bidi="ar"/>
        </w:rPr>
        <w:fldChar w:fldCharType="end"/>
      </w:r>
      <w:r>
        <w:rPr>
          <w:rFonts w:hint="eastAsia" w:ascii="仿宋" w:hAnsi="仿宋" w:eastAsia="仿宋" w:cs="仿宋"/>
          <w:b/>
          <w:color w:val="auto"/>
          <w:spacing w:val="23"/>
          <w:sz w:val="32"/>
          <w:szCs w:val="32"/>
          <w:lang w:bidi="ar"/>
        </w:rPr>
        <w:t>（供应商）：</w:t>
      </w:r>
      <w:r>
        <w:rPr>
          <w:rFonts w:hint="eastAsia" w:ascii="仿宋" w:hAnsi="仿宋" w:eastAsia="仿宋" w:cs="仿宋"/>
          <w:b/>
          <w:color w:val="auto"/>
          <w:spacing w:val="23"/>
          <w:sz w:val="32"/>
          <w:szCs w:val="32"/>
          <w:u w:val="single"/>
          <w:lang w:bidi="ar"/>
        </w:rPr>
        <w:t xml:space="preserve">           .</w:t>
      </w:r>
    </w:p>
    <w:p w14:paraId="2D54A760">
      <w:pPr>
        <w:pStyle w:val="7"/>
        <w:adjustRightInd w:val="0"/>
        <w:spacing w:line="560" w:lineRule="exact"/>
        <w:rPr>
          <w:rFonts w:ascii="仿宋" w:hAnsi="仿宋" w:eastAsia="仿宋" w:cs="仿宋"/>
          <w:b/>
          <w:color w:val="auto"/>
          <w:spacing w:val="23"/>
          <w:kern w:val="0"/>
          <w:sz w:val="32"/>
          <w:szCs w:val="32"/>
          <w:lang w:bidi="ar"/>
        </w:rPr>
      </w:pPr>
      <w:r>
        <w:rPr>
          <w:rFonts w:hint="eastAsia" w:ascii="仿宋" w:hAnsi="仿宋" w:eastAsia="仿宋" w:cs="仿宋"/>
          <w:b/>
          <w:color w:val="auto"/>
          <w:spacing w:val="23"/>
          <w:kern w:val="0"/>
          <w:sz w:val="32"/>
          <w:szCs w:val="32"/>
          <w:lang w:bidi="ar"/>
        </w:rPr>
        <w:t xml:space="preserve">          签订时间：</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lang w:bidi="ar"/>
        </w:rPr>
        <w:t>年</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lang w:bidi="ar"/>
        </w:rPr>
        <w:t>月</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lang w:bidi="ar"/>
        </w:rPr>
        <w:t>日</w:t>
      </w:r>
    </w:p>
    <w:p w14:paraId="02C2F044">
      <w:pPr>
        <w:rPr>
          <w:rFonts w:ascii="仿宋" w:hAnsi="仿宋" w:eastAsia="仿宋" w:cs="仿宋"/>
          <w:b/>
          <w:color w:val="auto"/>
          <w:sz w:val="36"/>
          <w:szCs w:val="36"/>
          <w:lang w:bidi="ar"/>
        </w:rPr>
      </w:pPr>
      <w:r>
        <w:rPr>
          <w:rFonts w:hint="eastAsia" w:ascii="仿宋" w:hAnsi="仿宋" w:eastAsia="仿宋" w:cs="仿宋"/>
          <w:b/>
          <w:color w:val="auto"/>
          <w:sz w:val="36"/>
          <w:szCs w:val="36"/>
          <w:lang w:bidi="ar"/>
        </w:rPr>
        <w:br w:type="page"/>
      </w:r>
    </w:p>
    <w:p w14:paraId="336596CF">
      <w:pPr>
        <w:spacing w:line="500" w:lineRule="exact"/>
        <w:ind w:firstLine="723" w:firstLineChars="200"/>
        <w:jc w:val="center"/>
        <w:rPr>
          <w:rFonts w:ascii="仿宋" w:hAnsi="仿宋" w:eastAsia="仿宋" w:cs="仿宋"/>
          <w:b/>
          <w:color w:val="auto"/>
          <w:sz w:val="36"/>
          <w:szCs w:val="36"/>
          <w:lang w:bidi="ar"/>
        </w:rPr>
      </w:pPr>
      <w:r>
        <w:rPr>
          <w:rFonts w:hint="eastAsia" w:ascii="仿宋" w:hAnsi="仿宋" w:eastAsia="仿宋" w:cs="仿宋"/>
          <w:b/>
          <w:color w:val="auto"/>
          <w:sz w:val="36"/>
          <w:szCs w:val="36"/>
          <w:lang w:bidi="ar"/>
        </w:rPr>
        <w:t>合同范本</w:t>
      </w:r>
      <w:r>
        <w:rPr>
          <w:rFonts w:hint="eastAsia" w:ascii="仿宋" w:hAnsi="仿宋" w:eastAsia="仿宋" w:cs="仿宋"/>
          <w:b/>
          <w:color w:val="auto"/>
          <w:sz w:val="22"/>
          <w:szCs w:val="22"/>
          <w:lang w:bidi="ar"/>
        </w:rPr>
        <w:t>（仅供参考）</w:t>
      </w:r>
    </w:p>
    <w:p w14:paraId="570752A9">
      <w:pPr>
        <w:spacing w:line="500" w:lineRule="exact"/>
        <w:rPr>
          <w:rFonts w:ascii="仿宋" w:hAnsi="仿宋" w:eastAsia="仿宋" w:cs="仿宋"/>
          <w:b/>
          <w:color w:val="auto"/>
          <w:sz w:val="28"/>
          <w:szCs w:val="28"/>
        </w:rPr>
      </w:pPr>
    </w:p>
    <w:p w14:paraId="085B9FB9">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甲方（采购人）：</w:t>
      </w:r>
      <w:r>
        <w:rPr>
          <w:rFonts w:hint="eastAsia" w:ascii="仿宋" w:hAnsi="仿宋" w:eastAsia="仿宋" w:cs="仿宋"/>
          <w:b/>
          <w:color w:val="auto"/>
          <w:sz w:val="28"/>
          <w:szCs w:val="28"/>
          <w:u w:val="single"/>
        </w:rPr>
        <w:t>陕西省道路运输事业发展中心</w:t>
      </w:r>
    </w:p>
    <w:p w14:paraId="749BCEB2">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乙方（成交供应商）：</w:t>
      </w:r>
      <w:r>
        <w:rPr>
          <w:rFonts w:hint="eastAsia" w:ascii="仿宋" w:hAnsi="仿宋" w:eastAsia="仿宋" w:cs="仿宋"/>
          <w:color w:val="auto"/>
          <w:sz w:val="28"/>
          <w:szCs w:val="28"/>
          <w:u w:val="single"/>
        </w:rPr>
        <w:t xml:space="preserve"> </w:t>
      </w:r>
      <w:r>
        <w:rPr>
          <w:rFonts w:hint="eastAsia" w:ascii="仿宋" w:hAnsi="仿宋" w:eastAsia="仿宋" w:cs="仿宋"/>
          <w:b/>
          <w:bCs/>
          <w:color w:val="auto"/>
          <w:sz w:val="28"/>
          <w:szCs w:val="28"/>
          <w:u w:val="single"/>
        </w:rPr>
        <w:t>（成交供应商名称）</w:t>
      </w:r>
      <w:r>
        <w:rPr>
          <w:rFonts w:hint="eastAsia" w:ascii="仿宋" w:hAnsi="仿宋" w:eastAsia="仿宋" w:cs="仿宋"/>
          <w:b/>
          <w:color w:val="auto"/>
          <w:sz w:val="28"/>
          <w:szCs w:val="28"/>
          <w:u w:val="single"/>
        </w:rPr>
        <w:t xml:space="preserve">   </w:t>
      </w:r>
    </w:p>
    <w:p w14:paraId="49E4B9D3">
      <w:pPr>
        <w:pStyle w:val="5"/>
        <w:adjustRightInd w:val="0"/>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根据《中华人民共和国民法典》《中华人民共和国政府采购法》《中华人民共和国政府采购法实施条例》及国家有关法律和行政法规，遵循平等、自愿和诚实信用的原则，双方就</w:t>
      </w:r>
      <w:r>
        <w:rPr>
          <w:rFonts w:hint="eastAsia" w:ascii="仿宋" w:hAnsi="仿宋" w:eastAsia="仿宋" w:cs="仿宋"/>
          <w:b/>
          <w:bCs/>
          <w:color w:val="auto"/>
          <w:sz w:val="28"/>
          <w:szCs w:val="28"/>
        </w:rPr>
        <w:t>（</w:t>
      </w:r>
      <w:r>
        <w:rPr>
          <w:rFonts w:hint="eastAsia" w:ascii="仿宋" w:hAnsi="仿宋" w:eastAsia="仿宋" w:cs="仿宋"/>
          <w:b/>
          <w:bCs/>
          <w:color w:val="auto"/>
          <w:sz w:val="28"/>
          <w:szCs w:val="28"/>
          <w:u w:val="single"/>
        </w:rPr>
        <w:t xml:space="preserve">           项目）</w:t>
      </w:r>
      <w:r>
        <w:rPr>
          <w:rFonts w:hint="eastAsia" w:ascii="仿宋" w:hAnsi="仿宋" w:eastAsia="仿宋" w:cs="仿宋"/>
          <w:color w:val="auto"/>
          <w:sz w:val="28"/>
          <w:szCs w:val="28"/>
        </w:rPr>
        <w:t xml:space="preserve"> ，订立服务合同。</w:t>
      </w:r>
    </w:p>
    <w:p w14:paraId="060CA241">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1.合同含税总金额（</w:t>
      </w:r>
      <w:r>
        <w:rPr>
          <w:rFonts w:hint="eastAsia" w:ascii="仿宋" w:hAnsi="仿宋" w:eastAsia="仿宋" w:cs="仿宋"/>
          <w:bCs/>
          <w:color w:val="auto"/>
          <w:sz w:val="28"/>
          <w:szCs w:val="28"/>
        </w:rPr>
        <w:t>大写）：</w:t>
      </w:r>
      <w:r>
        <w:rPr>
          <w:rFonts w:hint="eastAsia" w:ascii="仿宋" w:hAnsi="仿宋" w:eastAsia="仿宋" w:cs="仿宋"/>
          <w:bCs/>
          <w:color w:val="auto"/>
          <w:sz w:val="28"/>
          <w:szCs w:val="28"/>
          <w:u w:val="single"/>
        </w:rPr>
        <w:t>人民币     元</w:t>
      </w:r>
      <w:r>
        <w:rPr>
          <w:rFonts w:hint="eastAsia" w:ascii="仿宋" w:hAnsi="仿宋" w:eastAsia="仿宋" w:cs="仿宋"/>
          <w:color w:val="auto"/>
          <w:sz w:val="28"/>
          <w:szCs w:val="28"/>
          <w:u w:val="single"/>
        </w:rPr>
        <w:t xml:space="preserve">（ </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w:t>
      </w:r>
      <w:r>
        <w:rPr>
          <w:rFonts w:hint="eastAsia" w:ascii="仿宋" w:hAnsi="仿宋" w:eastAsia="仿宋" w:cs="仿宋"/>
          <w:color w:val="auto"/>
          <w:sz w:val="28"/>
          <w:szCs w:val="28"/>
        </w:rPr>
        <w:t>。</w:t>
      </w:r>
      <w:r>
        <w:rPr>
          <w:rFonts w:hint="eastAsia" w:ascii="仿宋" w:hAnsi="仿宋" w:eastAsia="仿宋" w:cs="仿宋"/>
          <w:b/>
          <w:color w:val="auto"/>
          <w:sz w:val="28"/>
          <w:szCs w:val="28"/>
        </w:rPr>
        <w:t>合同总金额如遇财政预算核减，财政核减后金额低于成交总金额的，按财政预算核减后金额执行。</w:t>
      </w:r>
    </w:p>
    <w:p w14:paraId="3328C6C7">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2.服务内容：（即交付的服务与磋商响应文件所指明的服务内容及分项相一致，甲方可根据部、省最新政策要求对服务内容进行调整。）</w:t>
      </w:r>
    </w:p>
    <w:p w14:paraId="4340DF11">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3.知识产权：甲方对本合同履行期间产生的成果（包括乙方交付的全部成果以及本合同履行过程中产生的技术文件、系统改进方案等衍生成果）拥有全部权利，包括但不限于知识产权、所有权及相应利益。乙方保证甲方在使用合同服务时，不承担任何涉及知识产权法律诉讼的责任，并且乙方承诺未经甲方事先书面同意，不得将服务成果的知识产权转让或授权给任何第三方。乙方必须在服务期内或服务结束时向甲方交付所有衍生成果以及全部数据（包括但不限于项目所涉及的所有账号、密码、软件源代码等），以确保甲方能够完全掌控项目的所有成果。</w:t>
      </w:r>
    </w:p>
    <w:p w14:paraId="5B724981">
      <w:pPr>
        <w:spacing w:line="500" w:lineRule="exact"/>
        <w:ind w:firstLine="560" w:firstLineChars="200"/>
        <w:rPr>
          <w:rFonts w:ascii="仿宋" w:hAnsi="仿宋" w:eastAsia="仿宋" w:cs="仿宋"/>
          <w:b/>
          <w:bCs/>
          <w:color w:val="auto"/>
          <w:sz w:val="28"/>
          <w:szCs w:val="28"/>
          <w:u w:val="single"/>
        </w:rPr>
      </w:pPr>
      <w:r>
        <w:rPr>
          <w:rFonts w:hint="eastAsia" w:ascii="仿宋" w:hAnsi="仿宋" w:eastAsia="仿宋" w:cs="仿宋"/>
          <w:color w:val="auto"/>
          <w:sz w:val="28"/>
          <w:szCs w:val="28"/>
        </w:rPr>
        <w:t>4.服务期限：</w:t>
      </w:r>
      <w:r>
        <w:rPr>
          <w:rFonts w:hint="eastAsia" w:ascii="仿宋" w:hAnsi="仿宋" w:eastAsia="仿宋" w:cs="仿宋"/>
          <w:b/>
          <w:bCs/>
          <w:color w:val="auto"/>
          <w:sz w:val="28"/>
          <w:szCs w:val="28"/>
          <w:u w:val="single"/>
        </w:rPr>
        <w:t>自2026年10月14日起至2027年10月13日</w:t>
      </w:r>
    </w:p>
    <w:p w14:paraId="5F020347">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乙方未征得甲方书面同意和谅解而单方面延迟服务期，甲方有权终止合同，乙方应承担违约责任。乙方遇到可能妨碍按时提供服务的情况，应当及时以书面形式通知甲方，说明原由、拖延的期限等；甲方在收到通知后，尽快进行情况评估并确定是否通过修改合同，酌情延长服务时间或者通过协商加收误期赔偿金。</w:t>
      </w:r>
    </w:p>
    <w:p w14:paraId="74560921">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此外，如因发生下列情形导致合同履行困难的，甲方有权提前30日书面通知乙方终止合同，并不承担任何违约责任，乙方应积极配合并办理相关手续：1.国家法律、法规或行业政策发生重大调整（需提供官方文件）；2.政府主管部门的行政命令（需提供书面通知）。</w:t>
      </w:r>
    </w:p>
    <w:p w14:paraId="04EACC98">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5.服务地点：</w:t>
      </w:r>
      <w:r>
        <w:rPr>
          <w:rFonts w:hint="eastAsia" w:ascii="仿宋" w:hAnsi="仿宋" w:eastAsia="仿宋" w:cs="仿宋"/>
          <w:b/>
          <w:bCs/>
          <w:color w:val="auto"/>
          <w:sz w:val="28"/>
          <w:szCs w:val="28"/>
          <w:u w:val="single"/>
        </w:rPr>
        <w:t>陕西省道路运输事业发展中心指定地点</w:t>
      </w:r>
      <w:r>
        <w:rPr>
          <w:rFonts w:hint="eastAsia" w:ascii="仿宋" w:hAnsi="仿宋" w:eastAsia="仿宋" w:cs="仿宋"/>
          <w:color w:val="auto"/>
          <w:sz w:val="28"/>
          <w:szCs w:val="28"/>
        </w:rPr>
        <w:t>。</w:t>
      </w:r>
    </w:p>
    <w:p w14:paraId="6F6F58CE">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6.结算及付款方式</w:t>
      </w:r>
    </w:p>
    <w:p w14:paraId="16D436AD">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6.1付款方式：</w:t>
      </w:r>
    </w:p>
    <w:p w14:paraId="19D7E55E">
      <w:pPr>
        <w:pStyle w:val="14"/>
        <w:adjustRightInd/>
        <w:spacing w:line="500" w:lineRule="exact"/>
        <w:ind w:firstLine="560" w:firstLineChars="200"/>
        <w:rPr>
          <w:rFonts w:ascii="仿宋" w:hAnsi="仿宋" w:eastAsia="仿宋" w:cs="仿宋"/>
          <w:bCs/>
          <w:color w:val="auto"/>
          <w:szCs w:val="28"/>
        </w:rPr>
      </w:pPr>
      <w:r>
        <w:rPr>
          <w:rFonts w:hint="eastAsia" w:ascii="仿宋" w:hAnsi="仿宋" w:eastAsia="仿宋" w:cs="仿宋"/>
          <w:color w:val="auto"/>
          <w:szCs w:val="28"/>
          <w:shd w:val="clear" w:color="auto" w:fill="FFFFFF"/>
        </w:rPr>
        <w:t>合同含税</w:t>
      </w:r>
      <w:r>
        <w:rPr>
          <w:rFonts w:hint="eastAsia" w:ascii="仿宋" w:hAnsi="仿宋" w:eastAsia="仿宋" w:cs="仿宋"/>
          <w:color w:val="auto"/>
          <w:szCs w:val="28"/>
        </w:rPr>
        <w:t>金额（</w:t>
      </w:r>
      <w:r>
        <w:rPr>
          <w:rFonts w:hint="eastAsia" w:ascii="仿宋" w:hAnsi="仿宋" w:eastAsia="仿宋" w:cs="仿宋"/>
          <w:bCs/>
          <w:color w:val="auto"/>
          <w:szCs w:val="28"/>
        </w:rPr>
        <w:t>大写）：</w:t>
      </w:r>
      <w:r>
        <w:rPr>
          <w:rFonts w:hint="eastAsia" w:ascii="仿宋" w:hAnsi="仿宋" w:eastAsia="仿宋" w:cs="仿宋"/>
          <w:bCs/>
          <w:color w:val="auto"/>
          <w:szCs w:val="28"/>
          <w:u w:val="single"/>
        </w:rPr>
        <w:t>人民币     元</w:t>
      </w:r>
      <w:r>
        <w:rPr>
          <w:rFonts w:hint="eastAsia" w:ascii="仿宋" w:hAnsi="仿宋" w:eastAsia="仿宋" w:cs="仿宋"/>
          <w:color w:val="auto"/>
          <w:szCs w:val="28"/>
          <w:u w:val="single"/>
        </w:rPr>
        <w:t xml:space="preserve">（ </w:t>
      </w:r>
      <w:r>
        <w:rPr>
          <w:rFonts w:hint="eastAsia" w:ascii="仿宋" w:hAnsi="仿宋" w:eastAsia="仿宋" w:cs="仿宋"/>
          <w:bCs/>
          <w:color w:val="auto"/>
          <w:szCs w:val="28"/>
          <w:u w:val="single"/>
        </w:rPr>
        <w:t xml:space="preserve">¥      </w:t>
      </w:r>
      <w:r>
        <w:rPr>
          <w:rFonts w:hint="eastAsia" w:ascii="仿宋" w:hAnsi="仿宋" w:eastAsia="仿宋" w:cs="仿宋"/>
          <w:bCs/>
          <w:color w:val="auto"/>
          <w:szCs w:val="28"/>
        </w:rPr>
        <w:t>）；该费用为本合同向乙方应支付的全部价款，除此之外无需承担或支付其他任何费用。</w:t>
      </w:r>
    </w:p>
    <w:p w14:paraId="36DE0C4B">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合同签订前，乙方需向甲方缴纳合同总价款5%履约保证金即：(大写)</w:t>
      </w:r>
      <w:r>
        <w:rPr>
          <w:rFonts w:hint="eastAsia" w:ascii="仿宋" w:hAnsi="仿宋" w:eastAsia="仿宋" w:cs="仿宋"/>
          <w:color w:val="auto"/>
          <w:sz w:val="28"/>
          <w:szCs w:val="28"/>
          <w:u w:val="single"/>
        </w:rPr>
        <w:t xml:space="preserve">人民币      元（ </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w:t>
      </w:r>
      <w:r>
        <w:rPr>
          <w:rFonts w:hint="eastAsia" w:ascii="仿宋" w:hAnsi="仿宋" w:eastAsia="仿宋" w:cs="仿宋"/>
          <w:color w:val="auto"/>
          <w:sz w:val="28"/>
          <w:szCs w:val="28"/>
        </w:rPr>
        <w:t>。</w:t>
      </w:r>
      <w:r>
        <w:rPr>
          <w:rFonts w:hint="eastAsia" w:ascii="仿宋" w:hAnsi="仿宋" w:eastAsia="仿宋" w:cs="仿宋"/>
          <w:b/>
          <w:bCs w:val="0"/>
          <w:kern w:val="2"/>
          <w:sz w:val="24"/>
          <w:szCs w:val="24"/>
          <w:lang w:val="en-US" w:eastAsia="zh-CN" w:bidi="ar"/>
        </w:rPr>
        <w:t>供应商自主选择以支票、汇票、本票、保函等非现金形式缴纳或提交履约保证金。</w:t>
      </w:r>
      <w:r>
        <w:rPr>
          <w:rFonts w:ascii="宋体" w:hAnsi="宋体" w:eastAsia="宋体" w:cs="宋体"/>
          <w:sz w:val="24"/>
          <w:szCs w:val="24"/>
          <w:lang w:eastAsia="zh-CN"/>
        </w:rPr>
        <w:t xml:space="preserve"> </w:t>
      </w:r>
      <w:r>
        <w:rPr>
          <w:rFonts w:hint="eastAsia" w:ascii="仿宋" w:hAnsi="仿宋" w:eastAsia="仿宋" w:cs="仿宋"/>
          <w:color w:val="auto"/>
          <w:sz w:val="28"/>
          <w:szCs w:val="28"/>
        </w:rPr>
        <w:t>履约保证金在运维服务期满后，经甲方验收合格且乙方提供《××政府采购项目绩效目标表》、合同、验收资料（附件1）后一次无息退回。若乙方违约或产生额外费用（包括但不限于违约金、赔偿金及应急服务费用），甲方有权从履约保证金中直接扣减相应金额。</w:t>
      </w:r>
    </w:p>
    <w:p w14:paraId="6C9B5903">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服务费支付方式：</w:t>
      </w:r>
    </w:p>
    <w:p w14:paraId="7856200A">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（1）合同签订后，达到付款条件起30日内，支付合同总金额的60.00%；</w:t>
      </w:r>
    </w:p>
    <w:p w14:paraId="6597D3DB">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（2）在财政预算执行时限内，乙方向甲方提交符合合同约定标准的阶段性工作报告及书面付款申请并经甲方审核通过后，支付合同总金额的40.00%。</w:t>
      </w:r>
    </w:p>
    <w:p w14:paraId="1B9BCCAB">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（3）</w:t>
      </w:r>
      <w:r>
        <w:rPr>
          <w:rFonts w:hint="eastAsia" w:ascii="仿宋" w:hAnsi="仿宋" w:eastAsia="仿宋" w:cs="仿宋"/>
          <w:color w:val="auto"/>
          <w:sz w:val="28"/>
          <w:szCs w:val="28"/>
        </w:rPr>
        <w:t>付款条件说明：</w:t>
      </w:r>
      <w:r>
        <w:rPr>
          <w:rFonts w:hint="eastAsia" w:ascii="仿宋" w:hAnsi="仿宋" w:eastAsia="仿宋" w:cs="仿宋"/>
          <w:bCs/>
          <w:color w:val="auto"/>
          <w:sz w:val="28"/>
          <w:szCs w:val="28"/>
        </w:rPr>
        <w:t>乙方在甲方办理以上各期付款的支付手续前，应至少提前5个工作日向甲方出具等额的符合国家规定的发票；因乙方未按时向甲方提供等额发票，导致甲方延期付款时，甲方不承担任何违约责任。</w:t>
      </w:r>
    </w:p>
    <w:p w14:paraId="7A9B04BB">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（4）上述时间不包括甲方正常办理支付报批手续的时间。</w:t>
      </w:r>
    </w:p>
    <w:p w14:paraId="12C0586E">
      <w:pPr>
        <w:widowControl/>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（5）执行过程中，合同总金额如遇财政预算核减，财政核减后金额低于成交总金额的，按财政核减后金额执行。</w:t>
      </w:r>
    </w:p>
    <w:p w14:paraId="47645C2D">
      <w:pPr>
        <w:widowControl/>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（6）如果由于甲方因国家政策的要求进行单位变更、机构改革等其他原因导致合同无法履行，甲方可解除合同，不承担任何责任。甲方预付的合同款项供应商应予退还。</w:t>
      </w:r>
    </w:p>
    <w:p w14:paraId="08AA7824">
      <w:pPr>
        <w:spacing w:line="500" w:lineRule="exact"/>
        <w:ind w:left="479" w:leftChars="228"/>
        <w:rPr>
          <w:rFonts w:ascii="仿宋" w:hAnsi="仿宋" w:eastAsia="仿宋" w:cs="仿宋"/>
          <w:color w:val="auto"/>
          <w:sz w:val="28"/>
          <w:szCs w:val="28"/>
        </w:rPr>
      </w:pPr>
      <w:r>
        <w:rPr>
          <w:rFonts w:hint="eastAsia" w:ascii="仿宋" w:hAnsi="仿宋" w:eastAsia="仿宋" w:cs="仿宋"/>
          <w:color w:val="auto"/>
          <w:sz w:val="28"/>
          <w:szCs w:val="28"/>
        </w:rPr>
        <w:t>6.2结算方式：银行转账。</w:t>
      </w:r>
    </w:p>
    <w:p w14:paraId="3F7A10B6">
      <w:pPr>
        <w:spacing w:line="500" w:lineRule="exact"/>
        <w:ind w:firstLine="560" w:firstLineChars="200"/>
        <w:rPr>
          <w:rFonts w:ascii="仿宋" w:hAnsi="仿宋" w:eastAsia="仿宋" w:cs="仿宋"/>
          <w:bCs/>
          <w:color w:val="auto"/>
          <w:sz w:val="28"/>
          <w:szCs w:val="28"/>
          <w:lang w:val="zh-TW"/>
        </w:rPr>
      </w:pPr>
      <w:r>
        <w:rPr>
          <w:rFonts w:hint="eastAsia" w:ascii="仿宋" w:hAnsi="仿宋" w:eastAsia="仿宋" w:cs="仿宋"/>
          <w:bCs/>
          <w:color w:val="auto"/>
          <w:sz w:val="28"/>
          <w:szCs w:val="28"/>
        </w:rPr>
        <w:t>乙方</w:t>
      </w:r>
      <w:r>
        <w:rPr>
          <w:rFonts w:hint="eastAsia" w:ascii="仿宋" w:hAnsi="仿宋" w:eastAsia="仿宋" w:cs="仿宋"/>
          <w:bCs/>
          <w:color w:val="auto"/>
          <w:sz w:val="28"/>
          <w:szCs w:val="28"/>
          <w:lang w:val="zh-TW"/>
        </w:rPr>
        <w:t>对</w:t>
      </w:r>
      <w:r>
        <w:rPr>
          <w:rFonts w:hint="eastAsia" w:ascii="仿宋" w:hAnsi="仿宋" w:eastAsia="仿宋" w:cs="仿宋"/>
          <w:bCs/>
          <w:color w:val="auto"/>
          <w:sz w:val="28"/>
          <w:szCs w:val="28"/>
        </w:rPr>
        <w:t>其</w:t>
      </w:r>
      <w:r>
        <w:rPr>
          <w:rFonts w:hint="eastAsia" w:ascii="仿宋" w:hAnsi="仿宋" w:eastAsia="仿宋" w:cs="仿宋"/>
          <w:bCs/>
          <w:color w:val="auto"/>
          <w:sz w:val="28"/>
          <w:szCs w:val="28"/>
          <w:lang w:val="zh-TW"/>
        </w:rPr>
        <w:t>账户信息的准确性和可用性承担全部责任，若</w:t>
      </w:r>
      <w:r>
        <w:rPr>
          <w:rFonts w:hint="eastAsia" w:ascii="仿宋" w:hAnsi="仿宋" w:eastAsia="仿宋" w:cs="仿宋"/>
          <w:bCs/>
          <w:color w:val="auto"/>
          <w:sz w:val="28"/>
          <w:szCs w:val="28"/>
        </w:rPr>
        <w:t>其提供的</w:t>
      </w:r>
      <w:r>
        <w:rPr>
          <w:rFonts w:hint="eastAsia" w:ascii="仿宋" w:hAnsi="仿宋" w:eastAsia="仿宋" w:cs="仿宋"/>
          <w:bCs/>
          <w:color w:val="auto"/>
          <w:sz w:val="28"/>
          <w:szCs w:val="28"/>
          <w:lang w:val="zh-TW"/>
        </w:rPr>
        <w:t>账户信息发生任何变化，</w:t>
      </w:r>
      <w:r>
        <w:rPr>
          <w:rFonts w:hint="eastAsia" w:ascii="仿宋" w:hAnsi="仿宋" w:eastAsia="仿宋" w:cs="仿宋"/>
          <w:bCs/>
          <w:color w:val="auto"/>
          <w:sz w:val="28"/>
          <w:szCs w:val="28"/>
        </w:rPr>
        <w:t>乙方</w:t>
      </w:r>
      <w:r>
        <w:rPr>
          <w:rFonts w:hint="eastAsia" w:ascii="仿宋" w:hAnsi="仿宋" w:eastAsia="仿宋" w:cs="仿宋"/>
          <w:bCs/>
          <w:color w:val="auto"/>
          <w:sz w:val="28"/>
          <w:szCs w:val="28"/>
          <w:lang w:val="zh-TW"/>
        </w:rPr>
        <w:t>应提前5个工作日书面通知</w:t>
      </w:r>
      <w:r>
        <w:rPr>
          <w:rFonts w:hint="eastAsia" w:ascii="仿宋" w:hAnsi="仿宋" w:eastAsia="仿宋" w:cs="仿宋"/>
          <w:bCs/>
          <w:color w:val="auto"/>
          <w:sz w:val="28"/>
          <w:szCs w:val="28"/>
        </w:rPr>
        <w:t>甲方</w:t>
      </w:r>
      <w:r>
        <w:rPr>
          <w:rFonts w:hint="eastAsia" w:ascii="仿宋" w:hAnsi="仿宋" w:eastAsia="仿宋" w:cs="仿宋"/>
          <w:bCs/>
          <w:color w:val="auto"/>
          <w:sz w:val="28"/>
          <w:szCs w:val="28"/>
          <w:lang w:val="zh-TW"/>
        </w:rPr>
        <w:t>，否则</w:t>
      </w:r>
      <w:r>
        <w:rPr>
          <w:rFonts w:hint="eastAsia" w:ascii="仿宋" w:hAnsi="仿宋" w:eastAsia="仿宋" w:cs="仿宋"/>
          <w:bCs/>
          <w:color w:val="auto"/>
          <w:sz w:val="28"/>
          <w:szCs w:val="28"/>
        </w:rPr>
        <w:t>甲方</w:t>
      </w:r>
      <w:r>
        <w:rPr>
          <w:rFonts w:hint="eastAsia" w:ascii="仿宋" w:hAnsi="仿宋" w:eastAsia="仿宋" w:cs="仿宋"/>
          <w:bCs/>
          <w:color w:val="auto"/>
          <w:sz w:val="28"/>
          <w:szCs w:val="28"/>
          <w:lang w:val="zh-TW"/>
        </w:rPr>
        <w:t>不对</w:t>
      </w:r>
      <w:r>
        <w:rPr>
          <w:rFonts w:hint="eastAsia" w:ascii="仿宋" w:hAnsi="仿宋" w:eastAsia="仿宋" w:cs="仿宋"/>
          <w:bCs/>
          <w:color w:val="auto"/>
          <w:sz w:val="28"/>
          <w:szCs w:val="28"/>
        </w:rPr>
        <w:t>成交供应商</w:t>
      </w:r>
      <w:r>
        <w:rPr>
          <w:rFonts w:hint="eastAsia" w:ascii="仿宋" w:hAnsi="仿宋" w:eastAsia="仿宋" w:cs="仿宋"/>
          <w:bCs/>
          <w:color w:val="auto"/>
          <w:sz w:val="28"/>
          <w:szCs w:val="28"/>
          <w:lang w:val="zh-TW"/>
        </w:rPr>
        <w:t>未能收到或迟延收到任何款项承担责任。</w:t>
      </w:r>
    </w:p>
    <w:p w14:paraId="103DC684">
      <w:pPr>
        <w:spacing w:line="500" w:lineRule="exact"/>
        <w:ind w:firstLine="560" w:firstLineChars="200"/>
        <w:rPr>
          <w:rFonts w:ascii="仿宋" w:hAnsi="仿宋" w:eastAsia="仿宋" w:cs="仿宋"/>
          <w:bCs/>
          <w:color w:val="auto"/>
          <w:sz w:val="28"/>
          <w:szCs w:val="28"/>
          <w:lang w:val="zh-TW"/>
        </w:rPr>
      </w:pPr>
      <w:r>
        <w:rPr>
          <w:rFonts w:hint="eastAsia" w:ascii="仿宋" w:hAnsi="仿宋" w:eastAsia="仿宋" w:cs="仿宋"/>
          <w:bCs/>
          <w:color w:val="auto"/>
          <w:sz w:val="28"/>
          <w:szCs w:val="28"/>
          <w:lang w:val="zh-TW"/>
        </w:rPr>
        <w:t xml:space="preserve">乙方指定收款账号：                       </w:t>
      </w:r>
    </w:p>
    <w:p w14:paraId="648496E8">
      <w:pPr>
        <w:spacing w:line="500" w:lineRule="exact"/>
        <w:ind w:firstLine="560" w:firstLineChars="200"/>
        <w:rPr>
          <w:rFonts w:ascii="仿宋" w:hAnsi="仿宋" w:eastAsia="仿宋" w:cs="仿宋"/>
          <w:bCs/>
          <w:color w:val="auto"/>
          <w:sz w:val="28"/>
          <w:szCs w:val="28"/>
          <w:lang w:val="zh-TW"/>
        </w:rPr>
      </w:pPr>
      <w:r>
        <w:rPr>
          <w:rFonts w:hint="eastAsia" w:ascii="仿宋" w:hAnsi="仿宋" w:eastAsia="仿宋" w:cs="仿宋"/>
          <w:bCs/>
          <w:color w:val="auto"/>
          <w:sz w:val="28"/>
          <w:szCs w:val="28"/>
          <w:lang w:val="zh-TW"/>
        </w:rPr>
        <w:t xml:space="preserve">户名：                                   </w:t>
      </w:r>
    </w:p>
    <w:p w14:paraId="7B90D778">
      <w:pPr>
        <w:spacing w:line="500" w:lineRule="exact"/>
        <w:ind w:firstLine="560" w:firstLineChars="200"/>
        <w:rPr>
          <w:rFonts w:ascii="仿宋" w:hAnsi="仿宋" w:eastAsia="仿宋" w:cs="仿宋"/>
          <w:bCs/>
          <w:color w:val="auto"/>
          <w:sz w:val="28"/>
          <w:szCs w:val="28"/>
          <w:lang w:val="zh-TW"/>
        </w:rPr>
      </w:pPr>
      <w:r>
        <w:rPr>
          <w:rFonts w:hint="eastAsia" w:ascii="仿宋" w:hAnsi="仿宋" w:eastAsia="仿宋" w:cs="仿宋"/>
          <w:bCs/>
          <w:color w:val="auto"/>
          <w:sz w:val="28"/>
          <w:szCs w:val="28"/>
          <w:lang w:val="zh-TW"/>
        </w:rPr>
        <w:t xml:space="preserve">账  号：                                 </w:t>
      </w:r>
    </w:p>
    <w:p w14:paraId="0831530F">
      <w:pPr>
        <w:spacing w:line="50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lang w:val="zh-TW"/>
        </w:rPr>
        <w:t xml:space="preserve">开户行：                                 </w:t>
      </w:r>
    </w:p>
    <w:p w14:paraId="0673C090">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7.服务变更</w:t>
      </w:r>
    </w:p>
    <w:p w14:paraId="0F2935BC">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合同一经签订，不得擅自变更、中止或者终止合同。对确需变更、调整或者中止、终止合同的，经甲方同意后，应按规定办理相应的变更、调整审批手续，并协商确定变更调整后的服务价款计算方法和服务期顺延等事宜。</w:t>
      </w:r>
    </w:p>
    <w:p w14:paraId="65B28CD5">
      <w:pPr>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8.验收</w:t>
      </w:r>
    </w:p>
    <w:p w14:paraId="4AED1E33">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项目结束后须在60日内完成验收，由乙方提供书面申请，按照甲方要求提供验收所需全部资料，包括但不限于招标阶段、实施阶段（资质、质量、安全、进度、配置、效能、应急）、日常运行维护阶段、测试实施质量（涉及到新增功能接口的）、网络安全、运维验收报告等资料，由甲方组织项目验收。验收合格须交接项目实施的全部资料。</w:t>
      </w:r>
    </w:p>
    <w:p w14:paraId="7F46B140">
      <w:pPr>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验收须以合同及附件文本、补充协议（如有）、《陕西省交通运输信息化管理办法》、国家相应的标准、规范等为依据。</w:t>
      </w:r>
    </w:p>
    <w:p w14:paraId="7C2ED668">
      <w:pPr>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乙方需按甲方要求配合验收工作，验收时长以采购方工作进度为准。</w:t>
      </w:r>
    </w:p>
    <w:p w14:paraId="74067C12">
      <w:pPr>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项目验收不合格，由乙方返工直至合格，但返工期限不得超过自甲方向乙方提出验收不合格之日起45个自然日，有关返工、再行验收，以及给甲方造成的损失等费用由乙方承担。若乙方未能在上述限期整改期届满前使项目最终验收合格，则视为乙方根本性违约。在此情形下，甲方有权立即单方书面通知乙方终止本合同；乙方除应返还甲方就该未合格项目已支付的全部合同价款外，还应赔偿甲方由此遭受的全部直接经济损失及合理可预见的间接损失，包括但不限于项目延期损失、另行委托之额外费用等。</w:t>
      </w:r>
    </w:p>
    <w:p w14:paraId="6348E9D3">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9.信息安全要求</w:t>
      </w:r>
    </w:p>
    <w:p w14:paraId="6DE339F8">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乙方须根据国家相关规定，完成信息系统安全等级保护备案、测评等相关工作，并提交备案证明，测评机构需具备国家认可的资质。乙方应定期检查和评估所有信息安全防护系统及相关制度规范的有效性，每半年提交一次评估报告。乙方应制定严格的运维管理制度并严格按照执行，要定期进行安全保密教育和培训，移动介质管理办法要切实可行。另外，乙方须配合甲方做好网络安全应急事件处置、定期做好漏洞修复、云平台迁移等管理维护工作，每季度提交一次维护报告。云平台迁移费用及数据迁移责任由乙方承担，确保责任清晰，避免潜在纠纷。</w:t>
      </w:r>
    </w:p>
    <w:p w14:paraId="466EA500">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10.不可抗力</w:t>
      </w:r>
    </w:p>
    <w:p w14:paraId="2BDEB5EC">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10.1合同任一方由于受诸如洪水、地震等不可抗力事件的影响而不能执行合同时，履行合同的期限应予以延长，延长的期限应相当于事故所影响的时间。不可抗力事件是指甲乙双方在缔结合同时所不能预见的，且它的发生及其后果是无法避免和无法克服的事故。</w:t>
      </w:r>
    </w:p>
    <w:p w14:paraId="4C6C2983">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10.2遭受不可抗力一方应在不可抗力事故发生后尽快以书面形式通知对方，并于事故发生后14天内将有关部门出具的证明文件、详细情况报告以及不可抗力对履行合同影响程度的说明通知对方。</w:t>
      </w:r>
    </w:p>
    <w:p w14:paraId="72EAE8F8">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10.3发生不可抗力时，任何一方均不对因不可抗力无法履行或延迟履行本合同义务而使另一方蒙受损失承担责任，但遭受不可抗力一方有责任尽可能及时采取适当或必要措施减少或消除不可抗力的影响。遭受不可抗力的一方对因未尽本项义务而造成的损失承担赔偿责任。</w:t>
      </w:r>
    </w:p>
    <w:p w14:paraId="6D0FB12B">
      <w:pPr>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10.4一旦不可抗力事故的影响持续120天以上，甲乙双方通过友好协商，在合理的时间内达成进一步履行合同或终止合同的协议。</w:t>
      </w:r>
    </w:p>
    <w:p w14:paraId="1C32E6DB">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10.5因甲方内部或上级单位政策调整等非甲方过失原因，导致本合同无法继续履行的，甲方有权与乙方解除合同。</w:t>
      </w:r>
    </w:p>
    <w:p w14:paraId="75DC16F8">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11.违约责任</w:t>
      </w:r>
    </w:p>
    <w:p w14:paraId="7872D26C">
      <w:pPr>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11.1依据《中华人民共和国民法典》《中华人民共和国政府采购法》《中华人民共和国政府采购法实施条例》的相关条款规定和本合同约定，乙方未全面履行合同义务或者发生违约，自逾期之日起按合同总价的万分之五每日计算逾期违约金；若乙方迟延履行连续超过15日或累计超过30日，甲方有权终止合同，乙方应返还甲方已支付价款，并承担合同总价30%的违约金，造成甲方损失的应当赔偿，并报请有关监督管理机关依法进行相应的行政处罚。</w:t>
      </w:r>
    </w:p>
    <w:p w14:paraId="4B53F3ED">
      <w:pPr>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11.2如因乙方工作人员在履行职务过程中的疏忽、失职、过错等故意或者过失原因给甲方造成损失或侵害，包括但不限于甲方本身的财产损失、由此而导致的甲方对任何第三方的法律责任等，乙方对此均应承担全部的赔偿责任。甲方有权解除合同，乙方应返还甲方支付的合同价款，并承担合同价款30%的违约金，造成损失的应当赔偿。</w:t>
      </w:r>
    </w:p>
    <w:p w14:paraId="38411DCC">
      <w:pPr>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11.3若乙方未按照合同约定履行或者履行合同不符合甲方要求的，甲方有权要求乙方在7日内完成整改；整改后仍不符合合同要求的，甲方有权解除合同，乙方应返还甲方已支付的合同价款，并承担合同价款30%的违约金，造成损失的应当赔偿。</w:t>
      </w:r>
    </w:p>
    <w:p w14:paraId="56025FCB">
      <w:pPr>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11.4乙方应保证所提供的服务或其任何一部分均不会侵犯任何第三方的专利权、商标权或著作权。若因此造成的任何纠纷均由乙方承担责任，包括但不限于甲方因此产生的诉讼费、律师费、损害赔偿等因此而产生的一切费用。</w:t>
      </w:r>
    </w:p>
    <w:p w14:paraId="790A3F6D">
      <w:pPr>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11.5如果出现政府采购监督管理部门在处理投诉事项期间，书面通知甲方暂停采购活动的情形，或者询问或质疑事项可能影响成交结果的，导致甲方中止履行合同的情形，均不视为甲方违约。</w:t>
      </w:r>
    </w:p>
    <w:p w14:paraId="4FD2BA8B">
      <w:pPr>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11.6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2C66BDC4">
      <w:pPr>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11.7在本合同项下各方义务均履行完毕前，如乙方出现以下任一情形的，甲方有权在任何时候向乙方通知终止和/或解除本合同：</w:t>
      </w:r>
    </w:p>
    <w:p w14:paraId="445E7A6F">
      <w:pPr>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（1）乙方被解散；</w:t>
      </w:r>
    </w:p>
    <w:p w14:paraId="218F605F">
      <w:pPr>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（2）乙方经人民法院裁定受理破产申请（包括破产清算申请、和解申请或重整申请）的；</w:t>
      </w:r>
    </w:p>
    <w:p w14:paraId="384C486E">
      <w:pPr>
        <w:spacing w:line="500" w:lineRule="exact"/>
        <w:ind w:firstLine="560" w:firstLineChars="200"/>
        <w:rPr>
          <w:rFonts w:ascii="仿宋" w:hAnsi="仿宋" w:eastAsia="仿宋" w:cs="仿宋"/>
          <w:bCs/>
          <w:color w:val="auto"/>
          <w:sz w:val="28"/>
          <w:szCs w:val="28"/>
        </w:rPr>
      </w:pPr>
      <w:r>
        <w:rPr>
          <w:rFonts w:hint="eastAsia" w:ascii="仿宋" w:hAnsi="仿宋" w:eastAsia="仿宋" w:cs="仿宋"/>
          <w:color w:val="auto"/>
          <w:sz w:val="28"/>
          <w:szCs w:val="28"/>
        </w:rPr>
        <w:t>（3）乙方无能力清偿到期债务的。甲方依据前款约定通知乙方终止和/或解除本合同的，甲方除依据法律规定及本合同其他条款约定享有的权利外，还有权向乙方主张损失赔偿、扣留或抵扣保证金、返还已付款项等。该合同的终止和/或解除将不损害或影响甲方已经采取或将要采取的任何行动或补救措施的权利。</w:t>
      </w:r>
    </w:p>
    <w:p w14:paraId="25709387">
      <w:pPr>
        <w:spacing w:line="50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12.履行瑕疵</w:t>
      </w:r>
    </w:p>
    <w:p w14:paraId="5591DC9E">
      <w:pPr>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在合同履行过程中，如果乙方遇到不能按时提供服务或履行合同义务有瑕疵的情况，应及时以书面形式将不能正常提供服务的理由、预期延误时间通知甲方；甲方收到乙方通知后，认为其理由正当的，可以书面形式酌情同意乙方可以延长履行的具体时间；认为理由不正当的有权立即解除合同，引入第三方提供服务，乙方应退还甲方已付服务费并承担甲方因引入第三方继续提供服务给甲方造成的直接损失及间接损失。</w:t>
      </w:r>
    </w:p>
    <w:p w14:paraId="20EBA1E5">
      <w:pPr>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如果乙方履行义务存在瑕疵却未及时书面通知甲方或隐瞒事实，甲方有权立即解除合同并要求乙方承担所有损失。乙方未履行通知义务不影响甲方自行判断乙方履行情况并行使合同解除权等相关权利。</w:t>
      </w:r>
    </w:p>
    <w:p w14:paraId="04B29DDC">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13.合同文本与份数</w:t>
      </w:r>
    </w:p>
    <w:p w14:paraId="2D01CB76">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本合同用中文书写。本合同一式</w:t>
      </w:r>
      <w:r>
        <w:rPr>
          <w:rFonts w:hint="eastAsia" w:ascii="仿宋" w:hAnsi="仿宋" w:eastAsia="仿宋" w:cs="仿宋"/>
          <w:color w:val="auto"/>
          <w:sz w:val="28"/>
          <w:szCs w:val="28"/>
          <w:u w:val="single"/>
        </w:rPr>
        <w:t xml:space="preserve"> </w:t>
      </w:r>
      <w:r>
        <w:rPr>
          <w:rFonts w:hint="eastAsia" w:ascii="仿宋" w:hAnsi="仿宋" w:eastAsia="仿宋" w:cs="仿宋"/>
          <w:b/>
          <w:bCs/>
          <w:color w:val="auto"/>
          <w:sz w:val="28"/>
          <w:szCs w:val="28"/>
          <w:u w:val="single"/>
        </w:rPr>
        <w:t xml:space="preserve">捌 </w:t>
      </w:r>
      <w:r>
        <w:rPr>
          <w:rFonts w:hint="eastAsia" w:ascii="仿宋" w:hAnsi="仿宋" w:eastAsia="仿宋" w:cs="仿宋"/>
          <w:color w:val="auto"/>
          <w:sz w:val="28"/>
          <w:szCs w:val="28"/>
        </w:rPr>
        <w:t>份，甲方执</w:t>
      </w:r>
      <w:r>
        <w:rPr>
          <w:rFonts w:hint="eastAsia" w:ascii="仿宋" w:hAnsi="仿宋" w:eastAsia="仿宋" w:cs="仿宋"/>
          <w:b/>
          <w:bCs/>
          <w:color w:val="auto"/>
          <w:sz w:val="28"/>
          <w:szCs w:val="28"/>
          <w:u w:val="single"/>
        </w:rPr>
        <w:t xml:space="preserve"> 肆 </w:t>
      </w:r>
      <w:r>
        <w:rPr>
          <w:rFonts w:hint="eastAsia" w:ascii="仿宋" w:hAnsi="仿宋" w:eastAsia="仿宋" w:cs="仿宋"/>
          <w:color w:val="auto"/>
          <w:sz w:val="28"/>
          <w:szCs w:val="28"/>
        </w:rPr>
        <w:t>份，乙方执</w:t>
      </w:r>
      <w:r>
        <w:rPr>
          <w:rFonts w:hint="eastAsia" w:ascii="仿宋" w:hAnsi="仿宋" w:eastAsia="仿宋" w:cs="仿宋"/>
          <w:b/>
          <w:bCs/>
          <w:color w:val="auto"/>
          <w:sz w:val="28"/>
          <w:szCs w:val="28"/>
          <w:u w:val="single"/>
        </w:rPr>
        <w:t xml:space="preserve"> 贰 </w:t>
      </w:r>
      <w:r>
        <w:rPr>
          <w:rFonts w:hint="eastAsia" w:ascii="仿宋" w:hAnsi="仿宋" w:eastAsia="仿宋" w:cs="仿宋"/>
          <w:color w:val="auto"/>
          <w:sz w:val="28"/>
          <w:szCs w:val="28"/>
        </w:rPr>
        <w:t>份，陕西省财政厅政府采购管理处备案</w:t>
      </w:r>
      <w:r>
        <w:rPr>
          <w:rFonts w:hint="eastAsia" w:ascii="仿宋" w:hAnsi="仿宋" w:eastAsia="仿宋" w:cs="仿宋"/>
          <w:b/>
          <w:bCs/>
          <w:color w:val="auto"/>
          <w:sz w:val="28"/>
          <w:szCs w:val="28"/>
          <w:u w:val="single"/>
        </w:rPr>
        <w:t xml:space="preserve"> 壹 </w:t>
      </w:r>
      <w:r>
        <w:rPr>
          <w:rFonts w:hint="eastAsia" w:ascii="仿宋" w:hAnsi="仿宋" w:eastAsia="仿宋" w:cs="仿宋"/>
          <w:color w:val="auto"/>
          <w:sz w:val="28"/>
          <w:szCs w:val="28"/>
        </w:rPr>
        <w:t>份，采购代理机构执</w:t>
      </w:r>
      <w:r>
        <w:rPr>
          <w:rFonts w:hint="eastAsia" w:ascii="仿宋" w:hAnsi="仿宋" w:eastAsia="仿宋" w:cs="仿宋"/>
          <w:b/>
          <w:bCs/>
          <w:color w:val="auto"/>
          <w:sz w:val="28"/>
          <w:szCs w:val="28"/>
          <w:u w:val="single"/>
        </w:rPr>
        <w:t xml:space="preserve"> 壹 </w:t>
      </w:r>
      <w:r>
        <w:rPr>
          <w:rFonts w:hint="eastAsia" w:ascii="仿宋" w:hAnsi="仿宋" w:eastAsia="仿宋" w:cs="仿宋"/>
          <w:color w:val="auto"/>
          <w:sz w:val="28"/>
          <w:szCs w:val="28"/>
        </w:rPr>
        <w:t>份，所有合同均具有相同的法律效力。</w:t>
      </w:r>
    </w:p>
    <w:p w14:paraId="07E65830">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14.合同转让和分包</w:t>
      </w:r>
    </w:p>
    <w:p w14:paraId="4FDD0F66">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合同的权利义务依法不得转让，不得分包。</w:t>
      </w:r>
    </w:p>
    <w:p w14:paraId="65945C64">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15.保密</w:t>
      </w:r>
    </w:p>
    <w:p w14:paraId="59D4247B">
      <w:pPr>
        <w:widowControl/>
        <w:kinsoku w:val="0"/>
        <w:autoSpaceDE w:val="0"/>
        <w:autoSpaceDN w:val="0"/>
        <w:adjustRightInd w:val="0"/>
        <w:snapToGrid w:val="0"/>
        <w:spacing w:line="50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乙方对于因签署或履行本合同而了解或接触到的甲方的秘密及其他机密资料和信息、采集的数据（以下简称“保密信息”）均应保守秘密，且仅为履行本合同目的而进行使用；非经甲方书面同意，乙方不得向第三方泄露、给予或转让该等保密信息，除非是根据法律法规、行政机关、监管机构要求而需要披露。</w:t>
      </w:r>
    </w:p>
    <w:p w14:paraId="6284F94D">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16.争议解决方式</w:t>
      </w:r>
    </w:p>
    <w:p w14:paraId="6EE0C7B5">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合同执行中发生争议的，当事人双方应协商解决。协商达不成一致时，应向甲方所在地有管辖权的法院提起诉讼。</w:t>
      </w:r>
    </w:p>
    <w:p w14:paraId="6C5C929F">
      <w:pPr>
        <w:spacing w:line="500" w:lineRule="exact"/>
        <w:ind w:firstLine="560" w:firstLineChars="200"/>
        <w:rPr>
          <w:rFonts w:ascii="仿宋" w:hAnsi="仿宋" w:eastAsia="仿宋" w:cs="仿宋"/>
          <w:color w:val="auto"/>
          <w:sz w:val="28"/>
          <w:szCs w:val="28"/>
          <w:lang w:val="zh-CN"/>
        </w:rPr>
      </w:pPr>
      <w:r>
        <w:rPr>
          <w:rFonts w:hint="eastAsia" w:ascii="仿宋" w:hAnsi="仿宋" w:eastAsia="仿宋" w:cs="仿宋"/>
          <w:color w:val="auto"/>
          <w:sz w:val="28"/>
          <w:szCs w:val="28"/>
        </w:rPr>
        <w:t>17.</w:t>
      </w:r>
      <w:r>
        <w:rPr>
          <w:rFonts w:hint="eastAsia" w:ascii="仿宋" w:hAnsi="仿宋" w:eastAsia="仿宋" w:cs="仿宋"/>
          <w:color w:val="auto"/>
          <w:sz w:val="28"/>
          <w:szCs w:val="28"/>
          <w:lang w:val="zh-CN"/>
        </w:rPr>
        <w:t>本合同自双方</w:t>
      </w:r>
      <w:r>
        <w:rPr>
          <w:rFonts w:hint="eastAsia" w:ascii="仿宋" w:hAnsi="仿宋" w:eastAsia="仿宋" w:cs="仿宋"/>
          <w:color w:val="auto"/>
          <w:sz w:val="28"/>
          <w:szCs w:val="28"/>
        </w:rPr>
        <w:t>法定代表人或授权代表签字并加盖公章</w:t>
      </w:r>
      <w:r>
        <w:rPr>
          <w:rFonts w:hint="eastAsia" w:ascii="仿宋" w:hAnsi="仿宋" w:eastAsia="仿宋" w:cs="仿宋"/>
          <w:color w:val="auto"/>
          <w:sz w:val="28"/>
          <w:szCs w:val="28"/>
          <w:lang w:val="zh-CN"/>
        </w:rPr>
        <w:t>之日起生效。本合同未涉事宜双方可协商确定并签订补充协议。补充协议、下列合同附件均为本合同的有效组成部分，与本合同具有同等法律效力。</w:t>
      </w:r>
    </w:p>
    <w:p w14:paraId="2A091BCC">
      <w:pPr>
        <w:spacing w:line="360" w:lineRule="exact"/>
        <w:ind w:firstLine="560" w:firstLineChars="200"/>
        <w:rPr>
          <w:rFonts w:hint="eastAsia" w:ascii="仿宋" w:hAnsi="仿宋" w:eastAsia="仿宋" w:cs="仿宋"/>
          <w:color w:val="auto"/>
          <w:sz w:val="28"/>
          <w:szCs w:val="28"/>
        </w:rPr>
      </w:pPr>
      <w:r>
        <w:rPr>
          <w:rFonts w:ascii="Times New Roman" w:hAnsi="Times New Roman" w:eastAsia="仿宋"/>
          <w:color w:val="auto"/>
          <w:sz w:val="28"/>
          <w:szCs w:val="28"/>
        </w:rPr>
        <w:t>附件</w:t>
      </w:r>
      <w:r>
        <w:rPr>
          <w:rFonts w:hint="eastAsia" w:ascii="Times New Roman" w:hAnsi="Times New Roman" w:eastAsia="仿宋"/>
          <w:color w:val="auto"/>
          <w:sz w:val="28"/>
          <w:szCs w:val="28"/>
        </w:rPr>
        <w:t>1</w:t>
      </w:r>
      <w:r>
        <w:rPr>
          <w:rFonts w:ascii="Times New Roman" w:hAnsi="Times New Roman" w:eastAsia="仿宋"/>
          <w:color w:val="auto"/>
          <w:sz w:val="28"/>
          <w:szCs w:val="28"/>
        </w:rPr>
        <w:t>：</w:t>
      </w:r>
      <w:r>
        <w:rPr>
          <w:rFonts w:hint="eastAsia" w:ascii="宋体" w:hAnsi="宋体" w:cs="宋体"/>
          <w:color w:val="auto"/>
          <w:sz w:val="24"/>
        </w:rPr>
        <w:t>××政府采购项目绩效目标表</w:t>
      </w:r>
    </w:p>
    <w:p w14:paraId="7B00ECDD">
      <w:pPr>
        <w:spacing w:line="50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（以下无正文）</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0F9CC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7F3D0120">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甲方:（盖章）</w:t>
            </w:r>
          </w:p>
        </w:tc>
        <w:tc>
          <w:tcPr>
            <w:tcW w:w="2500" w:type="pct"/>
            <w:noWrap w:val="0"/>
            <w:vAlign w:val="center"/>
          </w:tcPr>
          <w:p w14:paraId="39E17876">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乙方：（盖章）</w:t>
            </w:r>
          </w:p>
        </w:tc>
      </w:tr>
      <w:tr w14:paraId="42F24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55BE5878">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地址：</w:t>
            </w:r>
          </w:p>
        </w:tc>
        <w:tc>
          <w:tcPr>
            <w:tcW w:w="2500" w:type="pct"/>
            <w:noWrap w:val="0"/>
            <w:vAlign w:val="center"/>
          </w:tcPr>
          <w:p w14:paraId="6F36CEBB">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地址：</w:t>
            </w:r>
          </w:p>
        </w:tc>
      </w:tr>
      <w:tr w14:paraId="60B2A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261" w:type="dxa"/>
            <w:noWrap w:val="0"/>
            <w:vAlign w:val="center"/>
          </w:tcPr>
          <w:p w14:paraId="00224366">
            <w:pPr>
              <w:spacing w:line="500" w:lineRule="exact"/>
              <w:rPr>
                <w:rFonts w:hint="eastAsia" w:ascii="仿宋" w:hAnsi="仿宋" w:eastAsia="仿宋" w:cs="仿宋"/>
                <w:color w:val="auto"/>
                <w:sz w:val="28"/>
                <w:szCs w:val="28"/>
              </w:rPr>
            </w:pPr>
            <w:r>
              <w:rPr>
                <w:rFonts w:hint="eastAsia" w:ascii="仿宋" w:hAnsi="仿宋" w:eastAsia="仿宋" w:cs="仿宋"/>
                <w:color w:val="auto"/>
                <w:sz w:val="28"/>
                <w:szCs w:val="28"/>
              </w:rPr>
              <w:t>统一社会信用代码：</w:t>
            </w:r>
          </w:p>
        </w:tc>
        <w:tc>
          <w:tcPr>
            <w:tcW w:w="4261" w:type="dxa"/>
            <w:noWrap w:val="0"/>
            <w:vAlign w:val="center"/>
          </w:tcPr>
          <w:p w14:paraId="5DEB6D5A">
            <w:pPr>
              <w:spacing w:line="500" w:lineRule="exact"/>
              <w:rPr>
                <w:rFonts w:hint="eastAsia" w:ascii="仿宋" w:hAnsi="仿宋" w:eastAsia="仿宋" w:cs="仿宋"/>
                <w:color w:val="auto"/>
                <w:sz w:val="28"/>
                <w:szCs w:val="28"/>
              </w:rPr>
            </w:pPr>
            <w:r>
              <w:rPr>
                <w:rFonts w:hint="eastAsia" w:ascii="仿宋" w:hAnsi="仿宋" w:eastAsia="仿宋" w:cs="仿宋"/>
                <w:color w:val="auto"/>
                <w:sz w:val="28"/>
                <w:szCs w:val="28"/>
              </w:rPr>
              <w:t>统一社会信用代码：</w:t>
            </w:r>
          </w:p>
        </w:tc>
      </w:tr>
      <w:tr w14:paraId="014E7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top"/>
          </w:tcPr>
          <w:p w14:paraId="7AF01635">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法定代表人（授权代表）：</w:t>
            </w:r>
          </w:p>
          <w:p w14:paraId="73FACE6E">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 xml:space="preserve"> </w:t>
            </w:r>
          </w:p>
        </w:tc>
        <w:tc>
          <w:tcPr>
            <w:tcW w:w="2500" w:type="pct"/>
            <w:noWrap w:val="0"/>
            <w:vAlign w:val="top"/>
          </w:tcPr>
          <w:p w14:paraId="33019029">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法定代表人（授权代表）：</w:t>
            </w:r>
          </w:p>
        </w:tc>
      </w:tr>
      <w:tr w14:paraId="54621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4FD5A24B">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电话：</w:t>
            </w:r>
          </w:p>
        </w:tc>
        <w:tc>
          <w:tcPr>
            <w:tcW w:w="2500" w:type="pct"/>
            <w:noWrap w:val="0"/>
            <w:vAlign w:val="center"/>
          </w:tcPr>
          <w:p w14:paraId="5F07EC2A">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电话：</w:t>
            </w:r>
          </w:p>
        </w:tc>
      </w:tr>
      <w:tr w14:paraId="1C3FF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118833D5">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传真：</w:t>
            </w:r>
          </w:p>
        </w:tc>
        <w:tc>
          <w:tcPr>
            <w:tcW w:w="2500" w:type="pct"/>
            <w:noWrap w:val="0"/>
            <w:vAlign w:val="center"/>
          </w:tcPr>
          <w:p w14:paraId="3E8FBEEA">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传真：</w:t>
            </w:r>
          </w:p>
        </w:tc>
      </w:tr>
      <w:tr w14:paraId="6B1FC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2C640562">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开户银行：</w:t>
            </w:r>
          </w:p>
        </w:tc>
        <w:tc>
          <w:tcPr>
            <w:tcW w:w="2500" w:type="pct"/>
            <w:noWrap w:val="0"/>
            <w:vAlign w:val="center"/>
          </w:tcPr>
          <w:p w14:paraId="5BFF1A35">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开户银行：</w:t>
            </w:r>
          </w:p>
        </w:tc>
      </w:tr>
      <w:tr w14:paraId="53F20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357FB144">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账号：</w:t>
            </w:r>
          </w:p>
        </w:tc>
        <w:tc>
          <w:tcPr>
            <w:tcW w:w="2500" w:type="pct"/>
            <w:noWrap w:val="0"/>
            <w:vAlign w:val="center"/>
          </w:tcPr>
          <w:p w14:paraId="291B6F17">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账号：</w:t>
            </w:r>
          </w:p>
        </w:tc>
      </w:tr>
      <w:tr w14:paraId="6005E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500" w:type="pct"/>
            <w:noWrap w:val="0"/>
            <w:vAlign w:val="center"/>
          </w:tcPr>
          <w:p w14:paraId="71DD85C7">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 xml:space="preserve">日期：        </w:t>
            </w:r>
          </w:p>
        </w:tc>
        <w:tc>
          <w:tcPr>
            <w:tcW w:w="2500" w:type="pct"/>
            <w:noWrap w:val="0"/>
            <w:vAlign w:val="center"/>
          </w:tcPr>
          <w:p w14:paraId="1ECACE68">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 xml:space="preserve">日期：        </w:t>
            </w:r>
          </w:p>
        </w:tc>
      </w:tr>
    </w:tbl>
    <w:p w14:paraId="1A706C89">
      <w:pPr>
        <w:jc w:val="left"/>
        <w:rPr>
          <w:rFonts w:hint="eastAsia" w:ascii="宋体" w:hAnsi="宋体" w:cs="宋体"/>
          <w:color w:val="auto"/>
          <w:sz w:val="24"/>
        </w:rPr>
      </w:pPr>
      <w:r>
        <w:rPr>
          <w:rFonts w:hint="eastAsia" w:ascii="仿宋_GB2312" w:hAnsi="仿宋_GB2312" w:eastAsia="仿宋_GB2312" w:cs="仿宋_GB2312"/>
          <w:color w:val="auto"/>
          <w:lang w:eastAsia="zh-Hans"/>
        </w:rPr>
        <w:br w:type="page"/>
      </w:r>
      <w:r>
        <w:rPr>
          <w:rFonts w:hint="eastAsia" w:ascii="宋体" w:hAnsi="宋体" w:cs="宋体"/>
          <w:color w:val="auto"/>
          <w:sz w:val="24"/>
        </w:rPr>
        <w:t>附件1：××政府采购项目绩效目标表</w:t>
      </w:r>
    </w:p>
    <w:p w14:paraId="1845747A">
      <w:pPr>
        <w:spacing w:line="440" w:lineRule="exact"/>
        <w:jc w:val="center"/>
        <w:rPr>
          <w:rFonts w:hint="eastAsia" w:ascii="宋体" w:hAnsi="宋体"/>
          <w:b/>
          <w:color w:val="auto"/>
          <w:sz w:val="44"/>
          <w:szCs w:val="44"/>
        </w:rPr>
      </w:pPr>
    </w:p>
    <w:p w14:paraId="544CEE69">
      <w:pPr>
        <w:spacing w:line="440" w:lineRule="exact"/>
        <w:jc w:val="center"/>
        <w:rPr>
          <w:rFonts w:hint="eastAsia" w:ascii="宋体" w:hAnsi="宋体" w:cs="宋体"/>
          <w:color w:val="auto"/>
          <w:sz w:val="24"/>
        </w:rPr>
      </w:pPr>
      <w:r>
        <w:rPr>
          <w:rFonts w:hint="eastAsia" w:ascii="宋体" w:hAnsi="宋体" w:cs="宋体"/>
          <w:color w:val="auto"/>
          <w:sz w:val="24"/>
        </w:rPr>
        <w:t>××政府采购项目绩效目标表</w:t>
      </w:r>
    </w:p>
    <w:p w14:paraId="2F134A29">
      <w:pPr>
        <w:spacing w:line="440" w:lineRule="exact"/>
        <w:jc w:val="center"/>
        <w:rPr>
          <w:rFonts w:hint="eastAsia" w:ascii="宋体" w:hAnsi="宋体" w:cs="宋体"/>
          <w:color w:val="auto"/>
          <w:sz w:val="24"/>
        </w:rPr>
      </w:pPr>
    </w:p>
    <w:tbl>
      <w:tblPr>
        <w:tblStyle w:val="9"/>
        <w:tblW w:w="5000" w:type="pct"/>
        <w:tblInd w:w="0" w:type="dxa"/>
        <w:tblLayout w:type="fixed"/>
        <w:tblCellMar>
          <w:top w:w="0" w:type="dxa"/>
          <w:left w:w="108" w:type="dxa"/>
          <w:bottom w:w="0" w:type="dxa"/>
          <w:right w:w="108" w:type="dxa"/>
        </w:tblCellMar>
      </w:tblPr>
      <w:tblGrid>
        <w:gridCol w:w="1351"/>
        <w:gridCol w:w="2543"/>
        <w:gridCol w:w="1449"/>
        <w:gridCol w:w="1348"/>
        <w:gridCol w:w="1831"/>
      </w:tblGrid>
      <w:tr w14:paraId="2BA99E21">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33B4606B">
            <w:pPr>
              <w:widowControl/>
              <w:jc w:val="center"/>
              <w:textAlignment w:val="center"/>
              <w:rPr>
                <w:rFonts w:hint="eastAsia" w:ascii="宋体" w:hAnsi="宋体" w:cs="宋体"/>
                <w:b/>
                <w:bCs/>
                <w:color w:val="auto"/>
                <w:szCs w:val="21"/>
              </w:rPr>
            </w:pPr>
            <w:r>
              <w:rPr>
                <w:rFonts w:hint="eastAsia" w:ascii="宋体" w:hAnsi="宋体" w:cs="宋体"/>
                <w:b/>
                <w:bCs/>
                <w:color w:val="auto"/>
                <w:kern w:val="0"/>
                <w:szCs w:val="21"/>
                <w:lang w:bidi="ar"/>
              </w:rPr>
              <w:t>项目名称</w:t>
            </w:r>
          </w:p>
        </w:tc>
        <w:tc>
          <w:tcPr>
            <w:tcW w:w="4207" w:type="pct"/>
            <w:gridSpan w:val="4"/>
            <w:tcBorders>
              <w:top w:val="single" w:color="000000" w:sz="4" w:space="0"/>
              <w:left w:val="single" w:color="000000" w:sz="4" w:space="0"/>
              <w:bottom w:val="single" w:color="000000" w:sz="4" w:space="0"/>
              <w:right w:val="single" w:color="000000" w:sz="4" w:space="0"/>
            </w:tcBorders>
            <w:noWrap/>
            <w:vAlign w:val="center"/>
          </w:tcPr>
          <w:p w14:paraId="1168DFA1">
            <w:pPr>
              <w:rPr>
                <w:rFonts w:hint="eastAsia" w:ascii="宋体" w:hAnsi="宋体" w:cs="宋体"/>
                <w:color w:val="auto"/>
                <w:szCs w:val="21"/>
              </w:rPr>
            </w:pPr>
          </w:p>
        </w:tc>
      </w:tr>
      <w:tr w14:paraId="45A8EC64">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2DBB1C83">
            <w:pPr>
              <w:widowControl/>
              <w:jc w:val="center"/>
              <w:textAlignment w:val="center"/>
              <w:rPr>
                <w:rFonts w:hint="eastAsia" w:ascii="宋体" w:hAnsi="宋体" w:cs="宋体"/>
                <w:b/>
                <w:bCs/>
                <w:color w:val="auto"/>
                <w:szCs w:val="21"/>
              </w:rPr>
            </w:pPr>
            <w:r>
              <w:rPr>
                <w:rFonts w:hint="eastAsia" w:ascii="宋体" w:hAnsi="宋体" w:cs="宋体"/>
                <w:b/>
                <w:bCs/>
                <w:color w:val="auto"/>
                <w:kern w:val="0"/>
                <w:szCs w:val="21"/>
                <w:lang w:bidi="ar"/>
              </w:rPr>
              <w:t>合同金额（元）</w:t>
            </w:r>
          </w:p>
        </w:tc>
        <w:tc>
          <w:tcPr>
            <w:tcW w:w="4207" w:type="pct"/>
            <w:gridSpan w:val="4"/>
            <w:tcBorders>
              <w:top w:val="single" w:color="000000" w:sz="4" w:space="0"/>
              <w:left w:val="single" w:color="000000" w:sz="4" w:space="0"/>
              <w:bottom w:val="single" w:color="000000" w:sz="4" w:space="0"/>
              <w:right w:val="single" w:color="000000" w:sz="4" w:space="0"/>
            </w:tcBorders>
            <w:noWrap/>
            <w:vAlign w:val="center"/>
          </w:tcPr>
          <w:p w14:paraId="4B53F9E9">
            <w:pPr>
              <w:rPr>
                <w:rFonts w:hint="eastAsia" w:ascii="宋体" w:hAnsi="宋体" w:cs="宋体"/>
                <w:color w:val="auto"/>
                <w:szCs w:val="21"/>
              </w:rPr>
            </w:pPr>
          </w:p>
        </w:tc>
      </w:tr>
      <w:tr w14:paraId="0E9990C7">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76CAAD6F">
            <w:pPr>
              <w:widowControl/>
              <w:jc w:val="center"/>
              <w:textAlignment w:val="center"/>
              <w:rPr>
                <w:rFonts w:hint="eastAsia" w:ascii="宋体" w:hAnsi="宋体" w:cs="宋体"/>
                <w:b/>
                <w:bCs/>
                <w:color w:val="auto"/>
                <w:szCs w:val="21"/>
              </w:rPr>
            </w:pPr>
            <w:r>
              <w:rPr>
                <w:rFonts w:hint="eastAsia" w:ascii="宋体" w:hAnsi="宋体" w:cs="宋体"/>
                <w:b/>
                <w:bCs/>
                <w:color w:val="auto"/>
                <w:kern w:val="0"/>
                <w:szCs w:val="21"/>
                <w:lang w:bidi="ar"/>
              </w:rPr>
              <w:t>供应商名称</w:t>
            </w:r>
          </w:p>
        </w:tc>
        <w:tc>
          <w:tcPr>
            <w:tcW w:w="4207" w:type="pct"/>
            <w:gridSpan w:val="4"/>
            <w:tcBorders>
              <w:top w:val="single" w:color="000000" w:sz="4" w:space="0"/>
              <w:left w:val="single" w:color="000000" w:sz="4" w:space="0"/>
              <w:bottom w:val="single" w:color="000000" w:sz="4" w:space="0"/>
              <w:right w:val="single" w:color="000000" w:sz="4" w:space="0"/>
            </w:tcBorders>
            <w:noWrap/>
            <w:vAlign w:val="center"/>
          </w:tcPr>
          <w:p w14:paraId="585C17D3">
            <w:pPr>
              <w:rPr>
                <w:rFonts w:hint="eastAsia" w:ascii="宋体" w:hAnsi="宋体" w:cs="宋体"/>
                <w:color w:val="auto"/>
                <w:szCs w:val="21"/>
              </w:rPr>
            </w:pPr>
          </w:p>
        </w:tc>
      </w:tr>
      <w:tr w14:paraId="1A640E39">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571ACC91">
            <w:pPr>
              <w:widowControl/>
              <w:jc w:val="center"/>
              <w:textAlignment w:val="center"/>
              <w:rPr>
                <w:rFonts w:hint="eastAsia" w:ascii="宋体" w:hAnsi="宋体" w:cs="宋体"/>
                <w:b/>
                <w:bCs/>
                <w:color w:val="auto"/>
                <w:szCs w:val="21"/>
              </w:rPr>
            </w:pPr>
            <w:r>
              <w:rPr>
                <w:rFonts w:hint="eastAsia" w:ascii="宋体" w:hAnsi="宋体" w:cs="宋体"/>
                <w:b/>
                <w:bCs/>
                <w:color w:val="auto"/>
                <w:kern w:val="0"/>
                <w:szCs w:val="21"/>
                <w:lang w:bidi="ar"/>
              </w:rPr>
              <w:t>指标名称</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1D3481C5">
            <w:pPr>
              <w:widowControl/>
              <w:jc w:val="center"/>
              <w:textAlignment w:val="center"/>
              <w:rPr>
                <w:rFonts w:hint="eastAsia" w:ascii="宋体" w:hAnsi="宋体" w:cs="宋体"/>
                <w:b/>
                <w:bCs/>
                <w:color w:val="auto"/>
                <w:szCs w:val="21"/>
              </w:rPr>
            </w:pPr>
            <w:r>
              <w:rPr>
                <w:rFonts w:hint="eastAsia" w:ascii="宋体" w:hAnsi="宋体" w:cs="宋体"/>
                <w:b/>
                <w:bCs/>
                <w:color w:val="auto"/>
                <w:kern w:val="0"/>
                <w:szCs w:val="21"/>
                <w:lang w:bidi="ar"/>
              </w:rPr>
              <w:t>指标值</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160269BB">
            <w:pPr>
              <w:widowControl/>
              <w:jc w:val="center"/>
              <w:textAlignment w:val="center"/>
              <w:rPr>
                <w:rFonts w:hint="eastAsia" w:ascii="宋体" w:hAnsi="宋体" w:cs="宋体"/>
                <w:b/>
                <w:bCs/>
                <w:color w:val="auto"/>
                <w:szCs w:val="21"/>
              </w:rPr>
            </w:pPr>
            <w:r>
              <w:rPr>
                <w:rFonts w:hint="eastAsia" w:ascii="宋体" w:hAnsi="宋体" w:cs="宋体"/>
                <w:b/>
                <w:bCs/>
                <w:color w:val="auto"/>
                <w:kern w:val="0"/>
                <w:szCs w:val="21"/>
                <w:lang w:bidi="ar"/>
              </w:rPr>
              <w:t>年度指标值（合同要求）</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11478DC5">
            <w:pPr>
              <w:widowControl/>
              <w:jc w:val="left"/>
              <w:textAlignment w:val="center"/>
              <w:rPr>
                <w:rFonts w:hint="eastAsia" w:ascii="宋体" w:hAnsi="宋体" w:cs="宋体"/>
                <w:b/>
                <w:bCs/>
                <w:color w:val="auto"/>
                <w:szCs w:val="21"/>
              </w:rPr>
            </w:pPr>
            <w:r>
              <w:rPr>
                <w:rFonts w:hint="eastAsia" w:ascii="宋体" w:hAnsi="宋体" w:cs="宋体"/>
                <w:b/>
                <w:bCs/>
                <w:color w:val="auto"/>
                <w:kern w:val="0"/>
                <w:szCs w:val="21"/>
                <w:lang w:bidi="ar"/>
              </w:rPr>
              <w:t>实际完成值</w:t>
            </w: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62C0235D">
            <w:pPr>
              <w:widowControl/>
              <w:jc w:val="left"/>
              <w:textAlignment w:val="center"/>
              <w:rPr>
                <w:rFonts w:hint="eastAsia" w:ascii="宋体" w:hAnsi="宋体" w:cs="宋体"/>
                <w:b/>
                <w:bCs/>
                <w:color w:val="auto"/>
                <w:szCs w:val="21"/>
              </w:rPr>
            </w:pPr>
            <w:r>
              <w:rPr>
                <w:rFonts w:hint="eastAsia" w:ascii="宋体" w:hAnsi="宋体" w:cs="宋体"/>
                <w:b/>
                <w:bCs/>
                <w:color w:val="auto"/>
                <w:kern w:val="0"/>
                <w:szCs w:val="21"/>
                <w:lang w:bidi="ar"/>
              </w:rPr>
              <w:t>偏差原因分析及改进措施</w:t>
            </w:r>
          </w:p>
        </w:tc>
      </w:tr>
      <w:tr w14:paraId="59950DA7">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6C21C705">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数量指标</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1662571F">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供货\服务完成数量\内容</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14F512FF">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按合同约定</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3C821187">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08A7B58F">
            <w:pPr>
              <w:rPr>
                <w:rFonts w:hint="eastAsia" w:ascii="宋体" w:hAnsi="宋体" w:cs="宋体"/>
                <w:color w:val="auto"/>
                <w:szCs w:val="21"/>
              </w:rPr>
            </w:pPr>
          </w:p>
        </w:tc>
      </w:tr>
      <w:tr w14:paraId="1D707739">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57B2AC33">
            <w:pPr>
              <w:jc w:val="center"/>
              <w:rPr>
                <w:rFonts w:hint="eastAsia" w:ascii="宋体" w:hAnsi="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7B745A0D">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交付频次/批次</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35F2FE90">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按合同约定</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364F2B9C">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02F00CF6">
            <w:pPr>
              <w:rPr>
                <w:rFonts w:hint="eastAsia" w:ascii="宋体" w:hAnsi="宋体" w:cs="宋体"/>
                <w:color w:val="auto"/>
                <w:szCs w:val="21"/>
              </w:rPr>
            </w:pPr>
          </w:p>
        </w:tc>
      </w:tr>
      <w:tr w14:paraId="0D33C511">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5073C98B">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质量指标</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1FAE00A1">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货物\服务质量合格率</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352DDD26">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≧98%</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6E35F0CF">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62D44203">
            <w:pPr>
              <w:rPr>
                <w:rFonts w:hint="eastAsia" w:ascii="宋体" w:hAnsi="宋体" w:cs="宋体"/>
                <w:color w:val="auto"/>
                <w:szCs w:val="21"/>
              </w:rPr>
            </w:pPr>
          </w:p>
        </w:tc>
      </w:tr>
      <w:tr w14:paraId="21C40944">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4FC84992">
            <w:pPr>
              <w:jc w:val="center"/>
              <w:rPr>
                <w:rFonts w:hint="eastAsia" w:ascii="宋体" w:hAnsi="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530E91A1">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验收通过率</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0863B879">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100%</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76DC61A2">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70209C9C">
            <w:pPr>
              <w:rPr>
                <w:rFonts w:hint="eastAsia" w:ascii="宋体" w:hAnsi="宋体" w:cs="宋体"/>
                <w:color w:val="auto"/>
                <w:szCs w:val="21"/>
              </w:rPr>
            </w:pPr>
          </w:p>
        </w:tc>
      </w:tr>
      <w:tr w14:paraId="12BEBD60">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4E0A580F">
            <w:pPr>
              <w:jc w:val="center"/>
              <w:rPr>
                <w:rFonts w:hint="eastAsia" w:ascii="宋体" w:hAnsi="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5E19A514">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质量缺陷率</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163087F0">
            <w:pPr>
              <w:widowControl/>
              <w:jc w:val="center"/>
              <w:textAlignment w:val="center"/>
              <w:rPr>
                <w:rFonts w:hint="eastAsia" w:ascii="宋体" w:hAnsi="宋体" w:cs="宋体"/>
                <w:color w:val="auto"/>
                <w:szCs w:val="21"/>
              </w:rPr>
            </w:pPr>
            <w:r>
              <w:rPr>
                <w:rStyle w:val="15"/>
                <w:rFonts w:hint="default"/>
                <w:color w:val="auto"/>
                <w:sz w:val="21"/>
                <w:szCs w:val="21"/>
                <w:lang w:bidi="ar"/>
              </w:rPr>
              <w:t>≤1</w:t>
            </w:r>
            <w:r>
              <w:rPr>
                <w:rStyle w:val="16"/>
                <w:rFonts w:hint="default"/>
                <w:color w:val="auto"/>
                <w:sz w:val="21"/>
                <w:szCs w:val="21"/>
                <w:lang w:bidi="ar"/>
              </w:rPr>
              <w:t>%</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7E9C4E90">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18CFD85A">
            <w:pPr>
              <w:rPr>
                <w:rFonts w:hint="eastAsia" w:ascii="宋体" w:hAnsi="宋体" w:cs="宋体"/>
                <w:color w:val="auto"/>
                <w:szCs w:val="21"/>
              </w:rPr>
            </w:pPr>
          </w:p>
        </w:tc>
      </w:tr>
      <w:tr w14:paraId="2506C569">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4EF666F9">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时效指标</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17F0D14B">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按时交付率</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70D3232D">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100%</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71B8ACF4">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7471E3E5">
            <w:pPr>
              <w:rPr>
                <w:rFonts w:hint="eastAsia" w:ascii="宋体" w:hAnsi="宋体" w:cs="宋体"/>
                <w:color w:val="auto"/>
                <w:szCs w:val="21"/>
              </w:rPr>
            </w:pPr>
          </w:p>
        </w:tc>
      </w:tr>
      <w:tr w14:paraId="346F6E43">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6102B2E5">
            <w:pPr>
              <w:jc w:val="center"/>
              <w:rPr>
                <w:rFonts w:hint="eastAsia" w:ascii="宋体" w:hAnsi="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7F405A40">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响应时间(小时\天)</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5B7C7120">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100%</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56A22F25">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080BAA17">
            <w:pPr>
              <w:rPr>
                <w:rFonts w:hint="eastAsia" w:ascii="宋体" w:hAnsi="宋体" w:cs="宋体"/>
                <w:color w:val="auto"/>
                <w:szCs w:val="21"/>
              </w:rPr>
            </w:pPr>
          </w:p>
        </w:tc>
      </w:tr>
      <w:tr w14:paraId="3BF7C0F9">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696C8528">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成本指标</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302CEE23">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合同履约成本控制率</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3BCECCB0">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100%</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6A603076">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24D324A1">
            <w:pPr>
              <w:rPr>
                <w:rFonts w:hint="eastAsia" w:ascii="宋体" w:hAnsi="宋体" w:cs="宋体"/>
                <w:color w:val="auto"/>
                <w:szCs w:val="21"/>
              </w:rPr>
            </w:pPr>
          </w:p>
        </w:tc>
      </w:tr>
      <w:tr w14:paraId="634FF21D">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306B7189">
            <w:pPr>
              <w:jc w:val="center"/>
              <w:rPr>
                <w:rFonts w:hint="eastAsia" w:ascii="宋体" w:hAnsi="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7027CD1D">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超预算率</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62F99C06">
            <w:pPr>
              <w:widowControl/>
              <w:jc w:val="center"/>
              <w:textAlignment w:val="center"/>
              <w:rPr>
                <w:rFonts w:hint="eastAsia" w:ascii="宋体" w:hAnsi="宋体" w:cs="宋体"/>
                <w:color w:val="auto"/>
                <w:szCs w:val="21"/>
              </w:rPr>
            </w:pPr>
            <w:r>
              <w:rPr>
                <w:rStyle w:val="15"/>
                <w:rFonts w:hint="default"/>
                <w:color w:val="auto"/>
                <w:sz w:val="21"/>
                <w:szCs w:val="21"/>
                <w:lang w:bidi="ar"/>
              </w:rPr>
              <w:t>≤0</w:t>
            </w:r>
            <w:r>
              <w:rPr>
                <w:rStyle w:val="16"/>
                <w:rFonts w:hint="default"/>
                <w:color w:val="auto"/>
                <w:sz w:val="21"/>
                <w:szCs w:val="21"/>
                <w:lang w:bidi="ar"/>
              </w:rPr>
              <w:t>%</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4BF3E96A">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4057C4B5">
            <w:pPr>
              <w:rPr>
                <w:rFonts w:hint="eastAsia" w:ascii="宋体" w:hAnsi="宋体" w:cs="宋体"/>
                <w:color w:val="auto"/>
                <w:szCs w:val="21"/>
              </w:rPr>
            </w:pPr>
          </w:p>
        </w:tc>
      </w:tr>
      <w:tr w14:paraId="0E9DB084">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2C2F6524">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经济效益指标</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661ED41D">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资金使用合规率</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557F8FED">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合规</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476E5180">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3F476C66">
            <w:pPr>
              <w:rPr>
                <w:rFonts w:hint="eastAsia" w:ascii="宋体" w:hAnsi="宋体" w:cs="宋体"/>
                <w:color w:val="auto"/>
                <w:szCs w:val="21"/>
              </w:rPr>
            </w:pPr>
          </w:p>
        </w:tc>
      </w:tr>
      <w:tr w14:paraId="30CE6424">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6FF920EC">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社会效益指标</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223EBC95">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服务保障能力</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758F8B8B">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良好</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57F43254">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2008291B">
            <w:pPr>
              <w:rPr>
                <w:rFonts w:hint="eastAsia" w:ascii="宋体" w:hAnsi="宋体" w:cs="宋体"/>
                <w:color w:val="auto"/>
                <w:szCs w:val="21"/>
              </w:rPr>
            </w:pPr>
          </w:p>
        </w:tc>
      </w:tr>
      <w:tr w14:paraId="3F9BEA55">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767CD8E4">
            <w:pPr>
              <w:jc w:val="center"/>
              <w:rPr>
                <w:rFonts w:hint="eastAsia" w:ascii="宋体" w:hAnsi="宋体" w:cs="宋体"/>
                <w:color w:val="auto"/>
                <w:szCs w:val="21"/>
              </w:rPr>
            </w:pP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738D99D4">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对单位工作支撑度</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2BF69CD0">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良好</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11CFDDF6">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686BDFED">
            <w:pPr>
              <w:rPr>
                <w:rFonts w:hint="eastAsia" w:ascii="宋体" w:hAnsi="宋体" w:cs="宋体"/>
                <w:color w:val="auto"/>
                <w:szCs w:val="21"/>
              </w:rPr>
            </w:pPr>
          </w:p>
        </w:tc>
      </w:tr>
      <w:tr w14:paraId="0EFDFEBD">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4E1FFF32">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可持续影响指标</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075080C0">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后续服务保障能力</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08681800">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良好</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5E08E527">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6181B55F">
            <w:pPr>
              <w:rPr>
                <w:rFonts w:hint="eastAsia" w:ascii="宋体" w:hAnsi="宋体" w:cs="宋体"/>
                <w:color w:val="auto"/>
                <w:szCs w:val="21"/>
              </w:rPr>
            </w:pPr>
          </w:p>
        </w:tc>
      </w:tr>
      <w:tr w14:paraId="4FA20D39">
        <w:tblPrEx>
          <w:tblCellMar>
            <w:top w:w="0" w:type="dxa"/>
            <w:left w:w="108" w:type="dxa"/>
            <w:bottom w:w="0" w:type="dxa"/>
            <w:right w:w="108" w:type="dxa"/>
          </w:tblCellMar>
        </w:tblPrEx>
        <w:trPr>
          <w:trHeight w:val="405" w:hRule="atLeast"/>
        </w:trPr>
        <w:tc>
          <w:tcPr>
            <w:tcW w:w="792" w:type="pct"/>
            <w:tcBorders>
              <w:top w:val="single" w:color="000000" w:sz="4" w:space="0"/>
              <w:left w:val="single" w:color="000000" w:sz="4" w:space="0"/>
              <w:bottom w:val="single" w:color="000000" w:sz="4" w:space="0"/>
              <w:right w:val="single" w:color="000000" w:sz="4" w:space="0"/>
            </w:tcBorders>
            <w:noWrap/>
            <w:vAlign w:val="center"/>
          </w:tcPr>
          <w:p w14:paraId="29D35A4E">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满意度指标</w:t>
            </w:r>
          </w:p>
        </w:tc>
        <w:tc>
          <w:tcPr>
            <w:tcW w:w="1492" w:type="pct"/>
            <w:tcBorders>
              <w:top w:val="single" w:color="000000" w:sz="4" w:space="0"/>
              <w:left w:val="single" w:color="000000" w:sz="4" w:space="0"/>
              <w:bottom w:val="single" w:color="000000" w:sz="4" w:space="0"/>
              <w:right w:val="single" w:color="000000" w:sz="4" w:space="0"/>
            </w:tcBorders>
            <w:noWrap/>
            <w:vAlign w:val="center"/>
          </w:tcPr>
          <w:p w14:paraId="2045BB06">
            <w:pPr>
              <w:widowControl/>
              <w:jc w:val="left"/>
              <w:textAlignment w:val="center"/>
              <w:rPr>
                <w:rFonts w:hint="eastAsia" w:ascii="宋体" w:hAnsi="宋体" w:cs="宋体"/>
                <w:color w:val="auto"/>
                <w:szCs w:val="21"/>
              </w:rPr>
            </w:pPr>
            <w:r>
              <w:rPr>
                <w:rFonts w:hint="eastAsia" w:ascii="宋体" w:hAnsi="宋体" w:cs="宋体"/>
                <w:color w:val="auto"/>
                <w:kern w:val="0"/>
                <w:szCs w:val="21"/>
                <w:lang w:bidi="ar"/>
              </w:rPr>
              <w:t>采购单位满意度</w:t>
            </w:r>
          </w:p>
        </w:tc>
        <w:tc>
          <w:tcPr>
            <w:tcW w:w="850" w:type="pct"/>
            <w:tcBorders>
              <w:top w:val="single" w:color="000000" w:sz="4" w:space="0"/>
              <w:left w:val="single" w:color="000000" w:sz="4" w:space="0"/>
              <w:bottom w:val="single" w:color="000000" w:sz="4" w:space="0"/>
              <w:right w:val="single" w:color="000000" w:sz="4" w:space="0"/>
            </w:tcBorders>
            <w:noWrap/>
            <w:vAlign w:val="center"/>
          </w:tcPr>
          <w:p w14:paraId="68226602">
            <w:pPr>
              <w:widowControl/>
              <w:jc w:val="center"/>
              <w:textAlignment w:val="center"/>
              <w:rPr>
                <w:rFonts w:hint="eastAsia" w:ascii="宋体" w:hAnsi="宋体" w:cs="宋体"/>
                <w:color w:val="auto"/>
                <w:szCs w:val="21"/>
              </w:rPr>
            </w:pPr>
            <w:r>
              <w:rPr>
                <w:rFonts w:hint="eastAsia" w:ascii="宋体" w:hAnsi="宋体" w:cs="宋体"/>
                <w:color w:val="auto"/>
                <w:kern w:val="0"/>
                <w:szCs w:val="21"/>
                <w:lang w:bidi="ar"/>
              </w:rPr>
              <w:t>≧95%</w:t>
            </w:r>
          </w:p>
        </w:tc>
        <w:tc>
          <w:tcPr>
            <w:tcW w:w="791" w:type="pct"/>
            <w:tcBorders>
              <w:top w:val="single" w:color="000000" w:sz="4" w:space="0"/>
              <w:left w:val="single" w:color="000000" w:sz="4" w:space="0"/>
              <w:bottom w:val="single" w:color="000000" w:sz="4" w:space="0"/>
              <w:right w:val="single" w:color="000000" w:sz="4" w:space="0"/>
            </w:tcBorders>
            <w:noWrap/>
            <w:vAlign w:val="center"/>
          </w:tcPr>
          <w:p w14:paraId="0ED7CEA8">
            <w:pPr>
              <w:rPr>
                <w:rFonts w:hint="eastAsia" w:ascii="宋体" w:hAnsi="宋体" w:cs="宋体"/>
                <w:color w:val="auto"/>
                <w:szCs w:val="21"/>
              </w:rPr>
            </w:pPr>
          </w:p>
        </w:tc>
        <w:tc>
          <w:tcPr>
            <w:tcW w:w="1073" w:type="pct"/>
            <w:tcBorders>
              <w:top w:val="single" w:color="000000" w:sz="4" w:space="0"/>
              <w:left w:val="single" w:color="000000" w:sz="4" w:space="0"/>
              <w:bottom w:val="single" w:color="000000" w:sz="4" w:space="0"/>
              <w:right w:val="single" w:color="000000" w:sz="4" w:space="0"/>
            </w:tcBorders>
            <w:noWrap/>
            <w:vAlign w:val="center"/>
          </w:tcPr>
          <w:p w14:paraId="4C02D714">
            <w:pPr>
              <w:rPr>
                <w:rFonts w:hint="eastAsia" w:ascii="宋体" w:hAnsi="宋体" w:cs="宋体"/>
                <w:color w:val="auto"/>
                <w:szCs w:val="21"/>
              </w:rPr>
            </w:pPr>
          </w:p>
        </w:tc>
      </w:tr>
    </w:tbl>
    <w:p w14:paraId="56962DAC">
      <w:pPr>
        <w:pStyle w:val="17"/>
        <w:rPr>
          <w:rFonts w:hint="default" w:ascii="仿宋_GB2312" w:hAnsi="仿宋_GB2312" w:eastAsia="仿宋_GB2312" w:cs="仿宋_GB2312"/>
          <w:color w:val="auto"/>
        </w:rPr>
      </w:pPr>
    </w:p>
    <w:p w14:paraId="39BECA07">
      <w:bookmarkStart w:id="0" w:name="_GoBack"/>
      <w:bookmarkEnd w:id="0"/>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长城仿宋">
    <w:altName w:val="仿宋"/>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15E26">
    <w:pPr>
      <w:pStyle w:val="4"/>
      <w:rPr>
        <w:rFonts w:hint="default"/>
      </w:rPr>
    </w:pPr>
    <w:r>
      <w:rPr>
        <w:rFonts w:hint="default"/>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53A4497">
                          <w:pPr>
                            <w:pStyle w:val="4"/>
                            <w:rPr>
                              <w:rFonts w:hint="default"/>
                            </w:rPr>
                          </w:pPr>
                          <w:r>
                            <w:t xml:space="preserve">第 </w:t>
                          </w:r>
                          <w:r>
                            <w:fldChar w:fldCharType="begin"/>
                          </w:r>
                          <w:r>
                            <w:instrText xml:space="preserve"> PAGE  \* MERGEFORMAT </w:instrText>
                          </w:r>
                          <w:r>
                            <w:fldChar w:fldCharType="separate"/>
                          </w:r>
                          <w:r>
                            <w:rPr>
                              <w:rFonts w:hint="default"/>
                            </w:rPr>
                            <w:t>39</w:t>
                          </w:r>
                          <w:r>
                            <w:fldChar w:fldCharType="end"/>
                          </w:r>
                          <w:r>
                            <w:t xml:space="preserve"> 页 共 </w:t>
                          </w:r>
                          <w:r>
                            <w:fldChar w:fldCharType="begin"/>
                          </w:r>
                          <w:r>
                            <w:instrText xml:space="preserve"> NUMPAGES  \* MERGEFORMAT </w:instrText>
                          </w:r>
                          <w:r>
                            <w:fldChar w:fldCharType="separate"/>
                          </w:r>
                          <w:r>
                            <w:rPr>
                              <w:rFonts w:hint="default"/>
                            </w:rPr>
                            <w:t>49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v:imagedata o:title=""/>
              <o:lock v:ext="edit" aspectratio="f"/>
              <v:textbox inset="0mm,0mm,0mm,0mm" style="mso-fit-shape-to-text:t;">
                <w:txbxContent>
                  <w:p w14:paraId="153A4497">
                    <w:pPr>
                      <w:pStyle w:val="4"/>
                      <w:rPr>
                        <w:rFonts w:hint="default"/>
                      </w:rPr>
                    </w:pPr>
                    <w:r>
                      <w:t xml:space="preserve">第 </w:t>
                    </w:r>
                    <w:r>
                      <w:fldChar w:fldCharType="begin"/>
                    </w:r>
                    <w:r>
                      <w:instrText xml:space="preserve"> PAGE  \* MERGEFORMAT </w:instrText>
                    </w:r>
                    <w:r>
                      <w:fldChar w:fldCharType="separate"/>
                    </w:r>
                    <w:r>
                      <w:rPr>
                        <w:rFonts w:hint="default"/>
                      </w:rPr>
                      <w:t>39</w:t>
                    </w:r>
                    <w:r>
                      <w:fldChar w:fldCharType="end"/>
                    </w:r>
                    <w:r>
                      <w:t xml:space="preserve"> 页 共 </w:t>
                    </w:r>
                    <w:r>
                      <w:fldChar w:fldCharType="begin"/>
                    </w:r>
                    <w:r>
                      <w:instrText xml:space="preserve"> NUMPAGES  \* MERGEFORMAT </w:instrText>
                    </w:r>
                    <w:r>
                      <w:fldChar w:fldCharType="separate"/>
                    </w:r>
                    <w:r>
                      <w:rPr>
                        <w:rFonts w:hint="default"/>
                      </w:rPr>
                      <w:t>49</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074505"/>
    <w:rsid w:val="15DA2023"/>
    <w:rsid w:val="2E103160"/>
    <w:rsid w:val="75074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next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4">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9"/>
    <w:basedOn w:val="1"/>
    <w:next w:val="1"/>
    <w:unhideWhenUsed/>
    <w:qFormat/>
    <w:uiPriority w:val="39"/>
    <w:pPr>
      <w:ind w:left="3360" w:leftChars="1600"/>
    </w:pPr>
  </w:style>
  <w:style w:type="paragraph" w:styleId="7">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8">
    <w:name w:val="Body Text First Indent 2"/>
    <w:basedOn w:val="3"/>
    <w:next w:val="1"/>
    <w:qFormat/>
    <w:uiPriority w:val="0"/>
    <w:pPr>
      <w:ind w:left="0" w:leftChars="0" w:firstLine="420"/>
    </w:pPr>
    <w:rPr>
      <w:szCs w:val="24"/>
    </w:rPr>
  </w:style>
  <w:style w:type="character" w:styleId="11">
    <w:name w:val="Hyperlink"/>
    <w:unhideWhenUsed/>
    <w:qFormat/>
    <w:uiPriority w:val="99"/>
    <w:rPr>
      <w:rFonts w:hint="eastAsia" w:ascii="宋体" w:hAnsi="宋体" w:eastAsia="宋体" w:cs="宋体"/>
      <w:color w:val="000000"/>
      <w:sz w:val="14"/>
      <w:szCs w:val="14"/>
      <w:u w:val="none"/>
    </w:rPr>
  </w:style>
  <w:style w:type="paragraph" w:customStyle="1" w:styleId="12">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3">
    <w:name w:val="目录 81"/>
    <w:next w:val="1"/>
    <w:qFormat/>
    <w:uiPriority w:val="0"/>
    <w:pPr>
      <w:wordWrap w:val="0"/>
      <w:ind w:left="2975"/>
      <w:jc w:val="both"/>
    </w:pPr>
    <w:rPr>
      <w:rFonts w:ascii="Times New Roman" w:hAnsi="Times New Roman" w:eastAsia="宋体" w:cs="Times New Roman"/>
      <w:sz w:val="21"/>
      <w:szCs w:val="22"/>
      <w:lang w:val="en-US" w:eastAsia="zh-CN" w:bidi="ar-SA"/>
    </w:rPr>
  </w:style>
  <w:style w:type="paragraph" w:customStyle="1" w:styleId="14">
    <w:name w:val="文档正文"/>
    <w:basedOn w:val="1"/>
    <w:qFormat/>
    <w:uiPriority w:val="0"/>
    <w:pPr>
      <w:adjustRightInd w:val="0"/>
      <w:spacing w:line="312" w:lineRule="atLeast"/>
      <w:ind w:firstLine="567"/>
      <w:textAlignment w:val="baseline"/>
    </w:pPr>
    <w:rPr>
      <w:rFonts w:ascii="长城仿宋" w:hAnsi="Times New Roman" w:eastAsia="长城仿宋"/>
      <w:kern w:val="0"/>
      <w:sz w:val="28"/>
    </w:rPr>
  </w:style>
  <w:style w:type="character" w:customStyle="1" w:styleId="15">
    <w:name w:val="font21"/>
    <w:basedOn w:val="10"/>
    <w:qFormat/>
    <w:uiPriority w:val="0"/>
    <w:rPr>
      <w:rFonts w:hint="eastAsia" w:ascii="宋体" w:hAnsi="宋体" w:eastAsia="宋体" w:cs="宋体"/>
      <w:color w:val="000000"/>
      <w:sz w:val="32"/>
      <w:szCs w:val="32"/>
      <w:u w:val="none"/>
    </w:rPr>
  </w:style>
  <w:style w:type="character" w:customStyle="1" w:styleId="16">
    <w:name w:val="font31"/>
    <w:basedOn w:val="10"/>
    <w:qFormat/>
    <w:uiPriority w:val="0"/>
    <w:rPr>
      <w:rFonts w:hint="eastAsia" w:ascii="宋体" w:hAnsi="宋体" w:eastAsia="宋体" w:cs="宋体"/>
      <w:strike/>
      <w:color w:val="000000"/>
      <w:sz w:val="32"/>
      <w:szCs w:val="32"/>
    </w:rPr>
  </w:style>
  <w:style w:type="paragraph" w:customStyle="1" w:styleId="17">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2026-04-30T09:53:00Z</dcterms:created>
  <dc:creator>豆、浆</dc:creator>
  <cp:lastModifiedBy>豆、浆</cp:lastModifiedBy>
  <dcterms:modified xsi:type="dcterms:W3CDTF">2026-04-30T09:53:26Z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56D223B424D24B7484FCDAAB62FDF7B5_11</vt:lpwstr>
  </property>
  <property fmtid="{D5CDD505-2E9C-101B-9397-08002B2CF9AE}" pid="4" name="KSOTemplateDocerSaveRecord">
    <vt:lpwstr>eyJoZGlkIjoiYzAwNjk4NTUwMzAyYzU4YWZkOWU3NmQ3MmI1ZGZlMDMiLCJ1c2VySWQiOiIxMDY3MTk2NDE2In0=</vt:lpwstr>
  </property>
</Properties>
</file>