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版本号：DLZB-2026-030720260514001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互联网信息研究分析服务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DLZB-2026-0307</w:t>
      </w:r>
      <w:r>
        <w:br/>
      </w:r>
      <w:r>
        <w:br/>
      </w:r>
      <w:r>
        <w:br/>
      </w:r>
    </w:p>
    <w:p>
      <w:pPr>
        <w:pStyle w:val="null3"/>
        <w:jc w:val="center"/>
        <w:outlineLvl w:val="2"/>
      </w:pPr>
      <w:r>
        <w:rPr>
          <w:rFonts w:ascii="仿宋_GB2312" w:hAnsi="仿宋_GB2312" w:cs="仿宋_GB2312" w:eastAsia="仿宋_GB2312"/>
          <w:sz w:val="28"/>
          <w:b/>
        </w:rPr>
        <w:t>中共陕西省委网信办网络安全应急指挥中心</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中共陕西省委网信办网络安全应急指挥中心</w:t>
      </w:r>
      <w:r>
        <w:rPr>
          <w:rFonts w:ascii="仿宋_GB2312" w:hAnsi="仿宋_GB2312" w:cs="仿宋_GB2312" w:eastAsia="仿宋_GB2312"/>
        </w:rPr>
        <w:t>委托，拟对</w:t>
      </w:r>
      <w:r>
        <w:rPr>
          <w:rFonts w:ascii="仿宋_GB2312" w:hAnsi="仿宋_GB2312" w:cs="仿宋_GB2312" w:eastAsia="仿宋_GB2312"/>
        </w:rPr>
        <w:t>互联网信息研究分析服务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DLZB-2026-0307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互联网信息研究分析服务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本项目聚焦网上信息监测、分析、研判与服务全链条，重点开展四大核心服务模块，详见服务内容。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采购包1（互联网信息研究分析服务）：属于专门面向中小企业采购。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1、法定代表人或其授权委托书：法定代表人授权委托书（附法定代表人身份证复印件及被授权人身份证复印件）；法定代表人直接参加磋商只须提供法定代表人资格证明书（附法定代表人身份证复印件）。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中共陕西省委网信办网络安全应急指挥中心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佘翠、王晶、何勇、许彩茹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代理服务费收费标准：招标代理服务费由中标人在领取中标通知书前向招标代理机构支付，支付金额参照国家计委计价格【2002】1980号文按标准收取。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中共陕西省委网信办网络安全应急指挥中心</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中共陕西省委网信办网络安全应急指挥中心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中共陕西省委网信办网络安全应急指挥中心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符合采购文件要求，符合采购人要求，确保项目合格交付。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联系人：佘翠</w:t>
      </w:r>
    </w:p>
    <w:p>
      <w:pPr>
        <w:pStyle w:val="null3"/>
      </w:pPr>
      <w:r>
        <w:rPr>
          <w:rFonts w:ascii="仿宋_GB2312" w:hAnsi="仿宋_GB2312" w:cs="仿宋_GB2312" w:eastAsia="仿宋_GB2312"/>
        </w:rPr>
        <w:t>联系电话：18292846350</w:t>
      </w:r>
    </w:p>
    <w:p>
      <w:pPr>
        <w:pStyle w:val="null3"/>
      </w:pPr>
      <w:r>
        <w:rPr>
          <w:rFonts w:ascii="仿宋_GB2312" w:hAnsi="仿宋_GB2312" w:cs="仿宋_GB2312" w:eastAsia="仿宋_GB2312"/>
        </w:rPr>
        <w:t>地址：典亮工程项目管理有限公司 （西安市莲湖区南二环西段9号泊达国际酒店27楼东户）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本项目聚焦网上信息监测、分析、研判与服务全链条，重点开展四大核心服务模块，详见服务内容。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互联网信息研究分析服务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标的名称：互联网信息研究分析服务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服务目标</w:t>
            </w:r>
          </w:p>
          <w:p>
            <w:pPr>
              <w:pStyle w:val="null3"/>
              <w:ind w:firstLine="400"/>
              <w:jc w:val="left"/>
            </w:pPr>
            <w:r>
              <w:rPr>
                <w:rFonts w:ascii="仿宋_GB2312" w:hAnsi="仿宋_GB2312" w:cs="仿宋_GB2312" w:eastAsia="仿宋_GB2312"/>
                <w:sz w:val="20"/>
              </w:rPr>
              <w:t>及时、准确地收集和分析境内及港澳台热点事件的网上信息信息，运用先进的数据分析技术服务，并结合专业的网上信息分析团队，深入挖掘网上信息数据背后的价值，准确识别热点事件、分析情感倾向、追踪传播路径，为陕西省委网信办在重大决策、社会治理、政策实施等方面提供具有前瞻性、针对性和可操作性的网上信息依据，有效提升陕西省在网络网上信息管理与应对方面的整体水平，维护陕西省的社会稳定与和谐发展，在全国网上信息分析领域树立起良好的品牌形象。</w:t>
            </w:r>
          </w:p>
          <w:p>
            <w:pPr>
              <w:pStyle w:val="null3"/>
              <w:jc w:val="left"/>
            </w:pP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本项目聚焦网上信息监测、分析、研判与服务全链条，重点开展四大核心服务模块，各模块具体内容如下：</w:t>
            </w:r>
          </w:p>
          <w:p>
            <w:pPr>
              <w:pStyle w:val="null3"/>
              <w:ind w:firstLine="400"/>
              <w:jc w:val="both"/>
            </w:pPr>
            <w:r>
              <w:rPr>
                <w:rFonts w:ascii="仿宋_GB2312" w:hAnsi="仿宋_GB2312" w:cs="仿宋_GB2312" w:eastAsia="仿宋_GB2312"/>
                <w:sz w:val="20"/>
              </w:rPr>
              <w:t>（一）高端报告约稿服务</w:t>
            </w:r>
          </w:p>
          <w:p>
            <w:pPr>
              <w:pStyle w:val="null3"/>
              <w:ind w:firstLine="400"/>
              <w:jc w:val="both"/>
            </w:pPr>
            <w:r>
              <w:rPr>
                <w:rFonts w:ascii="仿宋_GB2312" w:hAnsi="仿宋_GB2312" w:cs="仿宋_GB2312" w:eastAsia="仿宋_GB2312"/>
                <w:sz w:val="20"/>
              </w:rPr>
              <w:t>围绕境内及港澳台热点事件，系统收集主流媒体、权威人士及网民群体的舆论观点，开展归纳、分类与总结工作，聚焦核心舆论热点进行深度分析研判。服务立足陕西全省发展大局，紧密结合本地调研数据、典型案例及实际发展情况提出针对性建议，以小切口洞察大问题，助力精准解决实际诉求。具体涵盖四大专项分析方向：</w:t>
            </w:r>
          </w:p>
          <w:p>
            <w:pPr>
              <w:pStyle w:val="null3"/>
              <w:ind w:firstLine="400"/>
              <w:jc w:val="both"/>
            </w:pPr>
            <w:r>
              <w:rPr>
                <w:rFonts w:ascii="仿宋_GB2312" w:hAnsi="仿宋_GB2312" w:cs="仿宋_GB2312" w:eastAsia="仿宋_GB2312"/>
                <w:sz w:val="20"/>
              </w:rPr>
              <w:t>1.社会治理风险评估分析</w:t>
            </w:r>
          </w:p>
          <w:p>
            <w:pPr>
              <w:pStyle w:val="null3"/>
              <w:ind w:firstLine="400"/>
              <w:jc w:val="both"/>
            </w:pPr>
            <w:r>
              <w:rPr>
                <w:rFonts w:ascii="仿宋_GB2312" w:hAnsi="仿宋_GB2312" w:cs="仿宋_GB2312" w:eastAsia="仿宋_GB2312"/>
                <w:sz w:val="20"/>
              </w:rPr>
              <w:t>通过系统开展风险评估，协助相关政府部门从源头防范风险、主动化解矛盾，推动实现经济发展与社会稳定的</w:t>
            </w:r>
            <w:r>
              <w:rPr>
                <w:rFonts w:ascii="仿宋_GB2312" w:hAnsi="仿宋_GB2312" w:cs="仿宋_GB2312" w:eastAsia="仿宋_GB2312"/>
                <w:sz w:val="20"/>
              </w:rPr>
              <w:t>“双赢”目标。</w:t>
            </w:r>
          </w:p>
          <w:p>
            <w:pPr>
              <w:pStyle w:val="null3"/>
              <w:ind w:firstLine="400"/>
              <w:jc w:val="both"/>
            </w:pPr>
            <w:r>
              <w:rPr>
                <w:rFonts w:ascii="仿宋_GB2312" w:hAnsi="仿宋_GB2312" w:cs="仿宋_GB2312" w:eastAsia="仿宋_GB2312"/>
                <w:sz w:val="20"/>
              </w:rPr>
              <w:t>2.政策实施舆论风险评估</w:t>
            </w:r>
          </w:p>
          <w:p>
            <w:pPr>
              <w:pStyle w:val="null3"/>
              <w:ind w:firstLine="400"/>
              <w:jc w:val="both"/>
            </w:pPr>
            <w:r>
              <w:rPr>
                <w:rFonts w:ascii="仿宋_GB2312" w:hAnsi="仿宋_GB2312" w:cs="仿宋_GB2312" w:eastAsia="仿宋_GB2312"/>
                <w:sz w:val="20"/>
              </w:rPr>
              <w:t>建立政策全生命周期舆论风险评估机制，在政策实施前、实施中、实施后三个阶段，全面摸排、总结相关舆论情况。精准分析政策实施各阶段可能面临的舆论风险，对已实施政策及配套措施开展复盘式风险评估，为政策优化调整提供依据。</w:t>
            </w:r>
          </w:p>
          <w:p>
            <w:pPr>
              <w:pStyle w:val="null3"/>
              <w:ind w:firstLine="400"/>
              <w:jc w:val="both"/>
            </w:pPr>
            <w:r>
              <w:rPr>
                <w:rFonts w:ascii="仿宋_GB2312" w:hAnsi="仿宋_GB2312" w:cs="仿宋_GB2312" w:eastAsia="仿宋_GB2312"/>
                <w:sz w:val="20"/>
              </w:rPr>
              <w:t>3.特殊时期风险评估</w:t>
            </w:r>
          </w:p>
          <w:p>
            <w:pPr>
              <w:pStyle w:val="null3"/>
              <w:ind w:firstLine="400"/>
              <w:jc w:val="both"/>
            </w:pPr>
            <w:r>
              <w:rPr>
                <w:rFonts w:ascii="仿宋_GB2312" w:hAnsi="仿宋_GB2312" w:cs="仿宋_GB2312" w:eastAsia="仿宋_GB2312"/>
                <w:sz w:val="20"/>
              </w:rPr>
              <w:t>构建双维度特殊时期风险评估体系：一是</w:t>
            </w:r>
            <w:r>
              <w:rPr>
                <w:rFonts w:ascii="仿宋_GB2312" w:hAnsi="仿宋_GB2312" w:cs="仿宋_GB2312" w:eastAsia="仿宋_GB2312"/>
                <w:sz w:val="20"/>
              </w:rPr>
              <w:t>针对节点开展专项</w:t>
            </w:r>
            <w:r>
              <w:rPr>
                <w:rFonts w:ascii="仿宋_GB2312" w:hAnsi="仿宋_GB2312" w:cs="仿宋_GB2312" w:eastAsia="仿宋_GB2312"/>
                <w:sz w:val="20"/>
              </w:rPr>
              <w:t>风险评估，预判该</w:t>
            </w:r>
            <w:r>
              <w:rPr>
                <w:rFonts w:ascii="仿宋_GB2312" w:hAnsi="仿宋_GB2312" w:cs="仿宋_GB2312" w:eastAsia="仿宋_GB2312"/>
                <w:sz w:val="20"/>
              </w:rPr>
              <w:t>节点</w:t>
            </w:r>
            <w:r>
              <w:rPr>
                <w:rFonts w:ascii="仿宋_GB2312" w:hAnsi="仿宋_GB2312" w:cs="仿宋_GB2312" w:eastAsia="仿宋_GB2312"/>
                <w:sz w:val="20"/>
              </w:rPr>
              <w:t>可能出现的社会稳定类风险；二是针对社会层面特殊时期</w:t>
            </w:r>
            <w:r>
              <w:rPr>
                <w:rFonts w:ascii="仿宋_GB2312" w:hAnsi="仿宋_GB2312" w:cs="仿宋_GB2312" w:eastAsia="仿宋_GB2312"/>
                <w:sz w:val="20"/>
              </w:rPr>
              <w:t>，</w:t>
            </w:r>
            <w:r>
              <w:rPr>
                <w:rFonts w:ascii="仿宋_GB2312" w:hAnsi="仿宋_GB2312" w:cs="仿宋_GB2312" w:eastAsia="仿宋_GB2312"/>
                <w:sz w:val="20"/>
              </w:rPr>
              <w:t>重</w:t>
            </w:r>
            <w:r>
              <w:rPr>
                <w:rFonts w:ascii="仿宋_GB2312" w:hAnsi="仿宋_GB2312" w:cs="仿宋_GB2312" w:eastAsia="仿宋_GB2312"/>
                <w:sz w:val="20"/>
              </w:rPr>
              <w:t>点评估社会稳定、舆论稳定等方面的潜在风险，提前制定应对预案。</w:t>
            </w:r>
          </w:p>
          <w:p>
            <w:pPr>
              <w:pStyle w:val="null3"/>
              <w:ind w:firstLine="400"/>
              <w:jc w:val="both"/>
            </w:pPr>
            <w:r>
              <w:rPr>
                <w:rFonts w:ascii="仿宋_GB2312" w:hAnsi="仿宋_GB2312" w:cs="仿宋_GB2312" w:eastAsia="仿宋_GB2312"/>
                <w:sz w:val="20"/>
              </w:rPr>
              <w:t>4.现象类网上信息分析与风险评估</w:t>
            </w:r>
          </w:p>
          <w:p>
            <w:pPr>
              <w:pStyle w:val="null3"/>
              <w:ind w:firstLine="400"/>
              <w:jc w:val="both"/>
            </w:pPr>
            <w:r>
              <w:rPr>
                <w:rFonts w:ascii="仿宋_GB2312" w:hAnsi="仿宋_GB2312" w:cs="仿宋_GB2312" w:eastAsia="仿宋_GB2312"/>
                <w:sz w:val="20"/>
              </w:rPr>
              <w:t>针对全国范围内的现象类热点事件、各类社会思潮等，开展全方位网上信息综合分析。系统评估此类事件、现象及思潮在全国范围内可能引发的连锁反应与潜在风险，为相关部门提前做好风险防范、舆论引导提供前瞻性支撑。</w:t>
            </w:r>
          </w:p>
          <w:p>
            <w:pPr>
              <w:pStyle w:val="null3"/>
              <w:ind w:firstLine="400"/>
              <w:jc w:val="both"/>
            </w:pPr>
            <w:r>
              <w:rPr>
                <w:rFonts w:ascii="仿宋_GB2312" w:hAnsi="仿宋_GB2312" w:cs="仿宋_GB2312" w:eastAsia="仿宋_GB2312"/>
                <w:sz w:val="20"/>
              </w:rPr>
              <w:t>（二）陕西省内重大热点事件分析、复盘服务</w:t>
            </w:r>
          </w:p>
          <w:p>
            <w:pPr>
              <w:pStyle w:val="null3"/>
              <w:ind w:firstLine="400"/>
              <w:jc w:val="both"/>
            </w:pPr>
            <w:r>
              <w:rPr>
                <w:rFonts w:ascii="仿宋_GB2312" w:hAnsi="仿宋_GB2312" w:cs="仿宋_GB2312" w:eastAsia="仿宋_GB2312"/>
                <w:sz w:val="20"/>
              </w:rPr>
              <w:t>建立省内重大热点网上信息事件专项跟踪机制，当省内出现重大热点网上信息事件时，以事件及相关主题为核心搭建专项监测模块，开展全网网上信息信息收集与整理工作。汇总特定周期内专项网上信息事件的网络传播数据，精准分析事件传播影响力、发展脉络及舆论焦点，形成阶段性网上信息分析报告。同时，对事件处置过程进行全面复盘，总结经验教训，为同类事件处置提供参考。</w:t>
            </w:r>
          </w:p>
          <w:p>
            <w:pPr>
              <w:pStyle w:val="null3"/>
              <w:ind w:firstLine="400"/>
              <w:jc w:val="both"/>
            </w:pPr>
            <w:r>
              <w:rPr>
                <w:rFonts w:ascii="仿宋_GB2312" w:hAnsi="仿宋_GB2312" w:cs="仿宋_GB2312" w:eastAsia="仿宋_GB2312"/>
                <w:sz w:val="20"/>
              </w:rPr>
              <w:t>（三）全国重大热点网上信息事件案例库建设</w:t>
            </w:r>
          </w:p>
          <w:p>
            <w:pPr>
              <w:pStyle w:val="null3"/>
              <w:ind w:firstLine="400"/>
              <w:jc w:val="both"/>
            </w:pPr>
            <w:r>
              <w:rPr>
                <w:rFonts w:ascii="仿宋_GB2312" w:hAnsi="仿宋_GB2312" w:cs="仿宋_GB2312" w:eastAsia="仿宋_GB2312"/>
                <w:sz w:val="20"/>
              </w:rPr>
              <w:t>系统梳理影响我国舆论生态、引发全国广泛关注的各类重大网上信息事件，对事件舆论态势、发展过程、处置措施等进行全面总结分析。重点研判此类事件向陕西省及相关领域传导的风险路径，提出针对性处置建议。在此基础上，构建重大突发事件案例库，形成标准化案例分析模板与处置指南，为陕西省应急处置同类事件提供坚实的经验借鉴。</w:t>
            </w:r>
          </w:p>
          <w:p>
            <w:pPr>
              <w:pStyle w:val="null3"/>
              <w:ind w:firstLine="400"/>
              <w:jc w:val="both"/>
            </w:pPr>
            <w:r>
              <w:rPr>
                <w:rFonts w:ascii="仿宋_GB2312" w:hAnsi="仿宋_GB2312" w:cs="仿宋_GB2312" w:eastAsia="仿宋_GB2312"/>
                <w:sz w:val="20"/>
              </w:rPr>
              <w:t>（四）周期性报告</w:t>
            </w:r>
          </w:p>
          <w:p>
            <w:pPr>
              <w:pStyle w:val="null3"/>
              <w:ind w:firstLine="400"/>
              <w:jc w:val="both"/>
            </w:pPr>
            <w:r>
              <w:rPr>
                <w:rFonts w:ascii="仿宋_GB2312" w:hAnsi="仿宋_GB2312" w:cs="仿宋_GB2312" w:eastAsia="仿宋_GB2312"/>
                <w:sz w:val="20"/>
              </w:rPr>
              <w:t>根据甲方要求，收集互联网上有关陕西的新闻信息及各方面评论，以月度、季度、年度为监测周期进行多维度深度分析，包含数据图表解析、重点事件分析及处置建议、热点话题解读、风险预警等</w:t>
            </w:r>
            <w:r>
              <w:rPr>
                <w:rFonts w:ascii="仿宋_GB2312" w:hAnsi="仿宋_GB2312" w:cs="仿宋_GB2312" w:eastAsia="仿宋_GB2312"/>
                <w:sz w:val="20"/>
              </w:rPr>
              <w:t>,并能为下一步的决策提供有价值的参考。</w:t>
            </w:r>
          </w:p>
          <w:p>
            <w:pPr>
              <w:pStyle w:val="null3"/>
              <w:ind w:firstLine="400"/>
              <w:jc w:val="both"/>
            </w:pPr>
            <w:r>
              <w:rPr>
                <w:rFonts w:ascii="仿宋_GB2312" w:hAnsi="仿宋_GB2312" w:cs="仿宋_GB2312" w:eastAsia="仿宋_GB2312"/>
                <w:sz w:val="20"/>
              </w:rPr>
              <w:t>（五）每日境外动态服务</w:t>
            </w:r>
          </w:p>
          <w:p>
            <w:pPr>
              <w:pStyle w:val="null3"/>
              <w:ind w:firstLine="400"/>
              <w:jc w:val="both"/>
            </w:pPr>
            <w:r>
              <w:rPr>
                <w:rFonts w:ascii="仿宋_GB2312" w:hAnsi="仿宋_GB2312" w:cs="仿宋_GB2312" w:eastAsia="仿宋_GB2312"/>
                <w:sz w:val="20"/>
              </w:rPr>
              <w:t>根据采购人要求，于每工作日</w:t>
            </w:r>
            <w:r>
              <w:rPr>
                <w:rFonts w:ascii="仿宋_GB2312" w:hAnsi="仿宋_GB2312" w:cs="仿宋_GB2312" w:eastAsia="仿宋_GB2312"/>
                <w:sz w:val="20"/>
              </w:rPr>
              <w:t>14点前报送一次境外动态。主要围绕地缘政治、国际局势等方面进行分类总结，条数不少于25条。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六</w:t>
            </w:r>
            <w:r>
              <w:rPr>
                <w:rFonts w:ascii="仿宋_GB2312" w:hAnsi="仿宋_GB2312" w:cs="仿宋_GB2312" w:eastAsia="仿宋_GB2312"/>
                <w:sz w:val="20"/>
              </w:rPr>
              <w:t>）专项信息报送</w:t>
            </w:r>
          </w:p>
          <w:p>
            <w:pPr>
              <w:pStyle w:val="null3"/>
              <w:ind w:firstLine="400"/>
              <w:jc w:val="both"/>
            </w:pPr>
            <w:r>
              <w:rPr>
                <w:rFonts w:ascii="仿宋_GB2312" w:hAnsi="仿宋_GB2312" w:cs="仿宋_GB2312" w:eastAsia="仿宋_GB2312"/>
                <w:sz w:val="20"/>
              </w:rPr>
              <w:t>1.报告类型，</w:t>
            </w:r>
            <w:r>
              <w:rPr>
                <w:rFonts w:ascii="仿宋_GB2312" w:hAnsi="仿宋_GB2312" w:cs="仿宋_GB2312" w:eastAsia="仿宋_GB2312"/>
                <w:sz w:val="20"/>
              </w:rPr>
              <w:t>舆论</w:t>
            </w:r>
            <w:r>
              <w:rPr>
                <w:rFonts w:ascii="仿宋_GB2312" w:hAnsi="仿宋_GB2312" w:cs="仿宋_GB2312" w:eastAsia="仿宋_GB2312"/>
                <w:sz w:val="20"/>
              </w:rPr>
              <w:t>选题：每工作日在规定时间内报送境内涉时政、经济民生、网上热点和重要观点摘编信息。</w:t>
            </w:r>
            <w:r>
              <w:rPr>
                <w:rFonts w:ascii="仿宋_GB2312" w:hAnsi="仿宋_GB2312" w:cs="仿宋_GB2312" w:eastAsia="仿宋_GB2312"/>
                <w:sz w:val="20"/>
              </w:rPr>
              <w:t>热点</w:t>
            </w:r>
            <w:r>
              <w:rPr>
                <w:rFonts w:ascii="仿宋_GB2312" w:hAnsi="仿宋_GB2312" w:cs="仿宋_GB2312" w:eastAsia="仿宋_GB2312"/>
                <w:sz w:val="20"/>
              </w:rPr>
              <w:t>信息：报送国际国内热点信息及涉各地推行新政、高质量发展、乡村振兴等对陕西经济社会发展具有借鉴意义的观点信息。其他信息：其他临时性数据搜索、日常简报报送等信息服务。</w:t>
            </w:r>
          </w:p>
          <w:p>
            <w:pPr>
              <w:pStyle w:val="null3"/>
              <w:ind w:firstLine="400"/>
              <w:jc w:val="both"/>
            </w:pPr>
            <w:r>
              <w:rPr>
                <w:rFonts w:ascii="仿宋_GB2312" w:hAnsi="仿宋_GB2312" w:cs="仿宋_GB2312" w:eastAsia="仿宋_GB2312"/>
                <w:sz w:val="20"/>
              </w:rPr>
              <w:t>2.报告、临时数据信息数量，国际国内热点信息报告：每个工作日内报送5篇。其他临时性数据搜索：每个工作日内推送300条。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七</w:t>
            </w:r>
            <w:r>
              <w:rPr>
                <w:rFonts w:ascii="仿宋_GB2312" w:hAnsi="仿宋_GB2312" w:cs="仿宋_GB2312" w:eastAsia="仿宋_GB2312"/>
                <w:sz w:val="20"/>
              </w:rPr>
              <w:t>）信息巡看系统</w:t>
            </w:r>
          </w:p>
          <w:p>
            <w:pPr>
              <w:pStyle w:val="null3"/>
            </w:pPr>
            <w:r>
              <w:rPr>
                <w:rFonts w:ascii="仿宋_GB2312" w:hAnsi="仿宋_GB2312" w:cs="仿宋_GB2312" w:eastAsia="仿宋_GB2312"/>
                <w:sz w:val="20"/>
              </w:rPr>
              <w:t>提供互联网信息巡看系统。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按照服务要求自行配置。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按照服务要求自行配置。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中共陕西省委网信办网络安全应急指挥中心指定地点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中标后，须向采购代理机构提供纸质版响应文件2套，且提供的响应文件必须与在陕西省政府采购综合管理平台的项目电子化交易系统中递交的电子响应文件内容一致，纸质版响应文件必须装订成册。2、如竞争性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磋商截止时间前半年内任意一个月的纳税证明或完税证明，依法免税的单位应提供相关证明材料。3.提供磋商截止时间前半年内任意一个月的社会保障资金缴存单据或社保机构开具的社会保险参保缴费情况证明，依法不需要缴纳社会保障资金的单位应提供相关证明材料。 4.具有履行本合同所必需的设备和专业技术能力的承诺函。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经财务审计资质单位出具的赋码的2024年度或2025年度财务报告（成立时间至磋商截止时间不足一年的可提供成立后任意时段的资产负债表）或磋商截止时间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 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符合采购文件要求，不得含有采购人不能接受的附加条款。</w:t>
            </w:r>
          </w:p>
        </w:tc>
        <w:tc>
          <w:tcPr>
            <w:tcW w:type="dxa" w:w="1661"/>
          </w:tcPr>
          <w:p>
            <w:pPr>
              <w:pStyle w:val="null3"/>
            </w:pPr>
            <w:r>
              <w:rPr>
                <w:rFonts w:ascii="仿宋_GB2312" w:hAnsi="仿宋_GB2312" w:cs="仿宋_GB2312" w:eastAsia="仿宋_GB2312"/>
              </w:rPr>
              <w:t>响应文件封面 磋商项目技术、服务、商务及其他要求偏离表.docx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一、评审内容：①工作内容、工作目标；②研究分析方法；③日报送流程；④项目重难点分析及解决办法。 二、评审标准：上述各部分内容全面详细、阐述条理清晰详尽、符合且针对本项目采购需求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一、评审内容:针对采购需求提出适用于本项目的实施方案，方案包括：①服务组织架构；②分工及岗位职责；③工具配置；④项目进度计划等。 二、评审标准：服务组织架构清晰，岗位设置合理，人员分工明确，责任划分具体，工具配置投入具体，进度计划详细得12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一、评审内容:针对采购需求提出适用于本项目的实施方案，方案包括：①质量管理体系；②质量控制措施；③信息溯源机制。 二、评审标准：质控链条完整、质控措施具体、溯源机制完善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一、评审内容：①项目风险预测；②风险识别与评估；③应急预案制定与更新；④技术和人员保障。 二、评审标准:上述各部分内容全面详细、阐述条理清晰详尽、符合且针对本项目采购需求得12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成果报告编制</w:t>
            </w:r>
          </w:p>
        </w:tc>
        <w:tc>
          <w:tcPr>
            <w:tcW w:type="dxa" w:w="2492"/>
          </w:tcPr>
          <w:p>
            <w:pPr>
              <w:pStyle w:val="null3"/>
            </w:pPr>
            <w:r>
              <w:rPr>
                <w:rFonts w:ascii="仿宋_GB2312" w:hAnsi="仿宋_GB2312" w:cs="仿宋_GB2312" w:eastAsia="仿宋_GB2312"/>
              </w:rPr>
              <w:t>成果文件编制架构规范，编制内容完整，附件资料详细，符合项目采购需求得4分；内容简单，基本贴合项目需求得2分；内容粗略，与项目需求无关得1分；未提供不得分。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 具有信息系统项目管理师证书得2分，具有系统分析师证书得2分，满分4分。 （2）除项目负责人外，团队人员中具有注册信息安全专业人员证书得1分，具有系统集成项目管理工程师证书得1分，具有软件设计师证书得1分，具有软件评测师证书得1分，最高得5分。 注：需提供合格有效的证书复印件并加盖公章。 （3）团队人员数量充足、专业配备合理、经验丰富得3分；团队人员数量简单、专业配备较合理、基本满足项目采购需求得1分，未提供不得分。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供应商须提供自2023年至今类似项目业绩，以供应商提供的合同或中标(成交)通知书复印件为准，每提供一份得2分，满分4分；未提供的不得分。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（1）供应商具有信息技术服务管理体系认证证书，得2分。 （2）供应商具有信息安全管理体系认证证书，得2分。 （3）供应商具有质量管理体系认证证书，得2分。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