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8B70EB">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cs="宋体"/>
          <w:b/>
          <w:bCs/>
          <w:spacing w:val="-1"/>
          <w:kern w:val="1"/>
          <w:sz w:val="36"/>
          <w:szCs w:val="36"/>
          <w:lang w:val="en-US" w:eastAsia="zh-CN"/>
        </w:rPr>
      </w:pPr>
    </w:p>
    <w:p w14:paraId="397A3BD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cs="宋体"/>
          <w:b/>
          <w:bCs/>
          <w:spacing w:val="-1"/>
          <w:kern w:val="1"/>
          <w:sz w:val="36"/>
          <w:szCs w:val="36"/>
        </w:rPr>
      </w:pPr>
      <w:r>
        <w:rPr>
          <w:rFonts w:hint="eastAsia" w:ascii="宋体" w:hAnsi="宋体" w:cs="宋体"/>
          <w:b/>
          <w:bCs/>
          <w:spacing w:val="-1"/>
          <w:kern w:val="1"/>
          <w:sz w:val="36"/>
          <w:szCs w:val="36"/>
          <w:lang w:val="en-US" w:eastAsia="zh-CN"/>
        </w:rPr>
        <w:t>蓝田县2025年教育基础设施建设项目蓝田县三官庙镇金山初级中学、三官庙中心校本部、厚镇中心学校本部、芸阁小学修缮工程</w:t>
      </w:r>
    </w:p>
    <w:p w14:paraId="5AFCB5A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cs="宋体"/>
          <w:b/>
          <w:bCs/>
          <w:spacing w:val="-1"/>
          <w:kern w:val="1"/>
          <w:sz w:val="36"/>
          <w:szCs w:val="36"/>
        </w:rPr>
      </w:pPr>
    </w:p>
    <w:p w14:paraId="05E8B1F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cs="宋体"/>
          <w:b/>
          <w:bCs/>
          <w:spacing w:val="-1"/>
          <w:kern w:val="1"/>
          <w:sz w:val="36"/>
          <w:szCs w:val="36"/>
          <w:lang w:val="en-US" w:eastAsia="zh-CN"/>
        </w:rPr>
      </w:pPr>
    </w:p>
    <w:p w14:paraId="0C2921E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cs="宋体"/>
          <w:b/>
          <w:bCs/>
          <w:spacing w:val="-1"/>
          <w:kern w:val="1"/>
          <w:sz w:val="36"/>
          <w:szCs w:val="36"/>
          <w:lang w:val="en-US" w:eastAsia="zh-CN"/>
        </w:rPr>
      </w:pPr>
    </w:p>
    <w:p w14:paraId="7C00F946">
      <w:pPr>
        <w:keepNext w:val="0"/>
        <w:keepLines w:val="0"/>
        <w:pageBreakBefore w:val="0"/>
        <w:widowControl w:val="0"/>
        <w:tabs>
          <w:tab w:val="center" w:pos="4345"/>
          <w:tab w:val="left" w:pos="7974"/>
        </w:tabs>
        <w:kinsoku/>
        <w:wordWrap/>
        <w:overflowPunct/>
        <w:topLinePunct w:val="0"/>
        <w:autoSpaceDE/>
        <w:autoSpaceDN/>
        <w:bidi w:val="0"/>
        <w:adjustRightInd w:val="0"/>
        <w:snapToGrid w:val="0"/>
        <w:spacing w:line="360" w:lineRule="auto"/>
        <w:jc w:val="center"/>
        <w:textAlignment w:val="auto"/>
        <w:rPr>
          <w:rFonts w:hint="eastAsia" w:ascii="宋体"/>
          <w:b/>
          <w:bCs/>
          <w:sz w:val="44"/>
          <w:szCs w:val="44"/>
          <w:lang w:val="en-US" w:eastAsia="zh-CN"/>
        </w:rPr>
      </w:pPr>
      <w:r>
        <w:rPr>
          <w:rFonts w:hint="eastAsia" w:ascii="宋体"/>
          <w:b/>
          <w:bCs/>
          <w:sz w:val="44"/>
          <w:szCs w:val="44"/>
          <w:lang w:val="en-US" w:eastAsia="zh-CN"/>
        </w:rPr>
        <w:t>工</w:t>
      </w:r>
    </w:p>
    <w:p w14:paraId="6DDBAC63">
      <w:pPr>
        <w:keepNext w:val="0"/>
        <w:keepLines w:val="0"/>
        <w:pageBreakBefore w:val="0"/>
        <w:widowControl w:val="0"/>
        <w:tabs>
          <w:tab w:val="center" w:pos="4345"/>
          <w:tab w:val="left" w:pos="7974"/>
        </w:tabs>
        <w:kinsoku/>
        <w:wordWrap/>
        <w:overflowPunct/>
        <w:topLinePunct w:val="0"/>
        <w:autoSpaceDE/>
        <w:autoSpaceDN/>
        <w:bidi w:val="0"/>
        <w:adjustRightInd w:val="0"/>
        <w:snapToGrid w:val="0"/>
        <w:spacing w:line="360" w:lineRule="auto"/>
        <w:jc w:val="center"/>
        <w:textAlignment w:val="auto"/>
        <w:rPr>
          <w:rFonts w:hint="eastAsia" w:ascii="宋体"/>
          <w:b/>
          <w:bCs/>
          <w:sz w:val="44"/>
          <w:szCs w:val="44"/>
          <w:lang w:val="en-US" w:eastAsia="zh-CN"/>
        </w:rPr>
      </w:pPr>
      <w:r>
        <w:rPr>
          <w:rFonts w:hint="eastAsia" w:ascii="宋体"/>
          <w:b/>
          <w:bCs/>
          <w:sz w:val="44"/>
          <w:szCs w:val="44"/>
          <w:lang w:val="en-US" w:eastAsia="zh-CN"/>
        </w:rPr>
        <w:t>程</w:t>
      </w:r>
    </w:p>
    <w:p w14:paraId="146F3B79">
      <w:pPr>
        <w:keepNext w:val="0"/>
        <w:keepLines w:val="0"/>
        <w:pageBreakBefore w:val="0"/>
        <w:widowControl w:val="0"/>
        <w:tabs>
          <w:tab w:val="center" w:pos="4345"/>
          <w:tab w:val="left" w:pos="7974"/>
        </w:tabs>
        <w:kinsoku/>
        <w:wordWrap/>
        <w:overflowPunct/>
        <w:topLinePunct w:val="0"/>
        <w:autoSpaceDE/>
        <w:autoSpaceDN/>
        <w:bidi w:val="0"/>
        <w:adjustRightInd w:val="0"/>
        <w:snapToGrid w:val="0"/>
        <w:spacing w:line="360" w:lineRule="auto"/>
        <w:jc w:val="center"/>
        <w:textAlignment w:val="auto"/>
        <w:rPr>
          <w:rFonts w:hint="eastAsia" w:ascii="宋体"/>
          <w:b/>
          <w:bCs/>
          <w:sz w:val="44"/>
          <w:szCs w:val="44"/>
          <w:lang w:val="en-US" w:eastAsia="zh-CN"/>
        </w:rPr>
      </w:pPr>
      <w:r>
        <w:rPr>
          <w:rFonts w:hint="eastAsia" w:ascii="宋体"/>
          <w:b/>
          <w:bCs/>
          <w:sz w:val="44"/>
          <w:szCs w:val="44"/>
          <w:lang w:val="en-US" w:eastAsia="zh-CN"/>
        </w:rPr>
        <w:t>量</w:t>
      </w:r>
    </w:p>
    <w:p w14:paraId="1D593B61">
      <w:pPr>
        <w:keepNext w:val="0"/>
        <w:keepLines w:val="0"/>
        <w:pageBreakBefore w:val="0"/>
        <w:widowControl w:val="0"/>
        <w:tabs>
          <w:tab w:val="center" w:pos="4345"/>
          <w:tab w:val="left" w:pos="7974"/>
        </w:tabs>
        <w:kinsoku/>
        <w:wordWrap/>
        <w:overflowPunct/>
        <w:topLinePunct w:val="0"/>
        <w:autoSpaceDE/>
        <w:autoSpaceDN/>
        <w:bidi w:val="0"/>
        <w:adjustRightInd w:val="0"/>
        <w:snapToGrid w:val="0"/>
        <w:spacing w:line="360" w:lineRule="auto"/>
        <w:jc w:val="center"/>
        <w:textAlignment w:val="auto"/>
        <w:rPr>
          <w:rFonts w:hint="eastAsia" w:ascii="宋体"/>
          <w:b/>
          <w:bCs/>
          <w:sz w:val="44"/>
          <w:szCs w:val="44"/>
          <w:lang w:val="en-US" w:eastAsia="zh-CN"/>
        </w:rPr>
      </w:pPr>
      <w:r>
        <w:rPr>
          <w:rFonts w:hint="eastAsia" w:ascii="宋体"/>
          <w:b/>
          <w:bCs/>
          <w:sz w:val="44"/>
          <w:szCs w:val="44"/>
          <w:lang w:val="en-US" w:eastAsia="zh-CN"/>
        </w:rPr>
        <w:t>清</w:t>
      </w:r>
    </w:p>
    <w:p w14:paraId="70CC6316">
      <w:pPr>
        <w:keepNext w:val="0"/>
        <w:keepLines w:val="0"/>
        <w:pageBreakBefore w:val="0"/>
        <w:widowControl w:val="0"/>
        <w:tabs>
          <w:tab w:val="center" w:pos="4345"/>
          <w:tab w:val="left" w:pos="7974"/>
        </w:tabs>
        <w:kinsoku/>
        <w:wordWrap/>
        <w:overflowPunct/>
        <w:topLinePunct w:val="0"/>
        <w:autoSpaceDE/>
        <w:autoSpaceDN/>
        <w:bidi w:val="0"/>
        <w:adjustRightInd w:val="0"/>
        <w:snapToGrid w:val="0"/>
        <w:spacing w:line="360" w:lineRule="auto"/>
        <w:jc w:val="center"/>
        <w:textAlignment w:val="auto"/>
        <w:rPr>
          <w:rFonts w:hint="eastAsia" w:ascii="宋体"/>
          <w:b/>
          <w:bCs/>
          <w:sz w:val="44"/>
          <w:szCs w:val="44"/>
          <w:lang w:val="en-US" w:eastAsia="zh-CN"/>
        </w:rPr>
      </w:pPr>
      <w:r>
        <w:rPr>
          <w:rFonts w:hint="eastAsia" w:ascii="宋体"/>
          <w:b/>
          <w:bCs/>
          <w:sz w:val="44"/>
          <w:szCs w:val="44"/>
          <w:lang w:val="en-US" w:eastAsia="zh-CN"/>
        </w:rPr>
        <w:t>单</w:t>
      </w:r>
    </w:p>
    <w:p w14:paraId="4893BD1B">
      <w:pPr>
        <w:keepNext w:val="0"/>
        <w:keepLines w:val="0"/>
        <w:pageBreakBefore w:val="0"/>
        <w:widowControl w:val="0"/>
        <w:tabs>
          <w:tab w:val="center" w:pos="4345"/>
          <w:tab w:val="left" w:pos="7974"/>
        </w:tabs>
        <w:kinsoku/>
        <w:wordWrap/>
        <w:overflowPunct/>
        <w:topLinePunct w:val="0"/>
        <w:autoSpaceDE/>
        <w:autoSpaceDN/>
        <w:bidi w:val="0"/>
        <w:adjustRightInd w:val="0"/>
        <w:snapToGrid w:val="0"/>
        <w:spacing w:line="360" w:lineRule="auto"/>
        <w:jc w:val="center"/>
        <w:textAlignment w:val="auto"/>
        <w:rPr>
          <w:rFonts w:hint="eastAsia" w:ascii="宋体"/>
          <w:b/>
          <w:bCs/>
          <w:sz w:val="44"/>
          <w:szCs w:val="44"/>
          <w:lang w:val="en-US" w:eastAsia="zh-CN"/>
        </w:rPr>
      </w:pPr>
    </w:p>
    <w:p w14:paraId="48ACC984">
      <w:pPr>
        <w:keepNext w:val="0"/>
        <w:keepLines w:val="0"/>
        <w:pageBreakBefore w:val="0"/>
        <w:widowControl w:val="0"/>
        <w:tabs>
          <w:tab w:val="center" w:pos="4345"/>
          <w:tab w:val="left" w:pos="7974"/>
        </w:tabs>
        <w:kinsoku/>
        <w:wordWrap/>
        <w:overflowPunct/>
        <w:topLinePunct w:val="0"/>
        <w:autoSpaceDE/>
        <w:autoSpaceDN/>
        <w:bidi w:val="0"/>
        <w:adjustRightInd w:val="0"/>
        <w:snapToGrid w:val="0"/>
        <w:spacing w:line="360" w:lineRule="auto"/>
        <w:jc w:val="center"/>
        <w:textAlignment w:val="auto"/>
        <w:rPr>
          <w:rFonts w:hint="eastAsia" w:ascii="宋体"/>
          <w:b/>
          <w:bCs/>
          <w:sz w:val="44"/>
          <w:szCs w:val="44"/>
          <w:lang w:val="en-US" w:eastAsia="zh-CN"/>
        </w:rPr>
      </w:pPr>
    </w:p>
    <w:p w14:paraId="0435519B">
      <w:pPr>
        <w:keepNext w:val="0"/>
        <w:keepLines w:val="0"/>
        <w:pageBreakBefore w:val="0"/>
        <w:widowControl w:val="0"/>
        <w:tabs>
          <w:tab w:val="center" w:pos="4345"/>
          <w:tab w:val="left" w:pos="7974"/>
        </w:tabs>
        <w:kinsoku/>
        <w:wordWrap/>
        <w:overflowPunct/>
        <w:topLinePunct w:val="0"/>
        <w:autoSpaceDE/>
        <w:autoSpaceDN/>
        <w:bidi w:val="0"/>
        <w:adjustRightInd w:val="0"/>
        <w:snapToGrid w:val="0"/>
        <w:spacing w:line="360" w:lineRule="auto"/>
        <w:jc w:val="center"/>
        <w:textAlignment w:val="auto"/>
        <w:rPr>
          <w:rFonts w:hint="eastAsia" w:ascii="宋体"/>
          <w:b/>
          <w:bCs/>
          <w:sz w:val="44"/>
          <w:szCs w:val="44"/>
          <w:lang w:val="en-US" w:eastAsia="zh-CN"/>
        </w:rPr>
      </w:pPr>
    </w:p>
    <w:p w14:paraId="1E13CDF7">
      <w:pPr>
        <w:keepNext w:val="0"/>
        <w:keepLines w:val="0"/>
        <w:pageBreakBefore w:val="0"/>
        <w:widowControl w:val="0"/>
        <w:tabs>
          <w:tab w:val="center" w:pos="4345"/>
          <w:tab w:val="left" w:pos="7974"/>
        </w:tabs>
        <w:kinsoku/>
        <w:wordWrap/>
        <w:overflowPunct/>
        <w:topLinePunct w:val="0"/>
        <w:autoSpaceDE/>
        <w:autoSpaceDN/>
        <w:bidi w:val="0"/>
        <w:adjustRightInd w:val="0"/>
        <w:snapToGrid w:val="0"/>
        <w:spacing w:line="360" w:lineRule="auto"/>
        <w:jc w:val="center"/>
        <w:textAlignment w:val="auto"/>
        <w:rPr>
          <w:rFonts w:hint="eastAsia" w:ascii="宋体"/>
          <w:b/>
          <w:bCs/>
          <w:sz w:val="44"/>
          <w:szCs w:val="44"/>
          <w:lang w:val="en-US" w:eastAsia="zh-CN"/>
        </w:rPr>
      </w:pPr>
    </w:p>
    <w:p w14:paraId="73197FAF">
      <w:pPr>
        <w:keepNext w:val="0"/>
        <w:keepLines w:val="0"/>
        <w:pageBreakBefore w:val="0"/>
        <w:widowControl w:val="0"/>
        <w:kinsoku/>
        <w:wordWrap/>
        <w:overflowPunct/>
        <w:topLinePunct w:val="0"/>
        <w:autoSpaceDE/>
        <w:autoSpaceDN/>
        <w:bidi w:val="0"/>
        <w:adjustRightInd w:val="0"/>
        <w:snapToGrid w:val="0"/>
        <w:spacing w:line="360" w:lineRule="auto"/>
        <w:ind w:firstLine="321" w:firstLineChars="100"/>
        <w:jc w:val="center"/>
        <w:textAlignment w:val="auto"/>
        <w:rPr>
          <w:rFonts w:hint="eastAsia" w:ascii="宋体" w:hAnsi="宋体" w:cs="宋体"/>
          <w:b/>
          <w:kern w:val="1"/>
          <w:sz w:val="32"/>
          <w:szCs w:val="32"/>
          <w:lang w:val="en-US" w:eastAsia="zh-CN"/>
        </w:rPr>
      </w:pPr>
    </w:p>
    <w:p w14:paraId="0C218333">
      <w:pPr>
        <w:keepNext w:val="0"/>
        <w:keepLines w:val="0"/>
        <w:pageBreakBefore w:val="0"/>
        <w:widowControl w:val="0"/>
        <w:kinsoku/>
        <w:wordWrap/>
        <w:overflowPunct/>
        <w:topLinePunct w:val="0"/>
        <w:autoSpaceDE/>
        <w:autoSpaceDN/>
        <w:bidi w:val="0"/>
        <w:adjustRightInd w:val="0"/>
        <w:snapToGrid w:val="0"/>
        <w:spacing w:line="360" w:lineRule="auto"/>
        <w:ind w:firstLine="321" w:firstLineChars="100"/>
        <w:jc w:val="center"/>
        <w:textAlignment w:val="auto"/>
        <w:rPr>
          <w:rFonts w:hint="eastAsia" w:ascii="宋体" w:hAnsi="宋体" w:cs="宋体"/>
          <w:b/>
          <w:bCs/>
          <w:spacing w:val="-1"/>
          <w:kern w:val="1"/>
          <w:sz w:val="36"/>
          <w:szCs w:val="36"/>
        </w:rPr>
      </w:pPr>
      <w:r>
        <w:rPr>
          <w:rFonts w:hint="eastAsia" w:ascii="宋体" w:hAnsi="宋体" w:cs="宋体"/>
          <w:b/>
          <w:kern w:val="1"/>
          <w:sz w:val="32"/>
          <w:szCs w:val="32"/>
          <w:lang w:val="en-US" w:eastAsia="zh-CN"/>
        </w:rPr>
        <w:t>二○二六年三月十日</w:t>
      </w:r>
    </w:p>
    <w:p w14:paraId="15CAD4B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cs="宋体"/>
          <w:b/>
          <w:bCs/>
          <w:spacing w:val="-1"/>
          <w:kern w:val="1"/>
          <w:sz w:val="36"/>
          <w:szCs w:val="36"/>
        </w:rPr>
        <w:sectPr>
          <w:pgSz w:w="11906" w:h="16838"/>
          <w:pgMar w:top="1440" w:right="1800" w:bottom="1440" w:left="1800" w:header="851" w:footer="992" w:gutter="0"/>
          <w:cols w:space="425" w:num="1"/>
          <w:docGrid w:type="lines" w:linePitch="312" w:charSpace="0"/>
        </w:sectPr>
      </w:pPr>
    </w:p>
    <w:p w14:paraId="518EA9B0">
      <w:pPr>
        <w:keepNext w:val="0"/>
        <w:keepLines w:val="0"/>
        <w:pageBreakBefore w:val="0"/>
        <w:widowControl w:val="0"/>
        <w:kinsoku/>
        <w:wordWrap/>
        <w:overflowPunct/>
        <w:topLinePunct w:val="0"/>
        <w:autoSpaceDE/>
        <w:autoSpaceDN/>
        <w:bidi w:val="0"/>
        <w:adjustRightInd w:val="0"/>
        <w:snapToGrid w:val="0"/>
        <w:spacing w:line="288" w:lineRule="auto"/>
        <w:jc w:val="center"/>
        <w:textAlignment w:val="auto"/>
        <w:rPr>
          <w:rFonts w:hint="eastAsia" w:ascii="宋体" w:hAnsi="宋体" w:cs="宋体"/>
          <w:b/>
          <w:bCs/>
          <w:spacing w:val="-1"/>
          <w:kern w:val="1"/>
          <w:sz w:val="32"/>
          <w:szCs w:val="32"/>
        </w:rPr>
      </w:pPr>
      <w:r>
        <w:rPr>
          <w:rFonts w:hint="eastAsia" w:ascii="宋体" w:hAnsi="宋体" w:cs="宋体"/>
          <w:b/>
          <w:bCs/>
          <w:spacing w:val="-1"/>
          <w:kern w:val="1"/>
          <w:sz w:val="36"/>
          <w:szCs w:val="36"/>
          <w:lang w:val="en-US" w:eastAsia="zh-CN"/>
        </w:rPr>
        <w:t>蓝田县2025年教育基础设施建设项目蓝田县三官庙镇金山初级中学、三官庙中心校本部、厚镇中心学校本部、芸阁小学修缮工程</w:t>
      </w:r>
    </w:p>
    <w:p w14:paraId="47937A82">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jc w:val="both"/>
        <w:textAlignment w:val="auto"/>
        <w:rPr>
          <w:rFonts w:hint="eastAsia" w:asciiTheme="minorEastAsia" w:hAnsiTheme="minorEastAsia" w:eastAsiaTheme="minorEastAsia" w:cstheme="minorEastAsia"/>
          <w:b/>
          <w:bCs/>
          <w:sz w:val="28"/>
          <w:szCs w:val="28"/>
          <w:lang w:eastAsia="zh-CN"/>
        </w:rPr>
      </w:pPr>
    </w:p>
    <w:p w14:paraId="7FB7562D">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firstLine="562" w:firstLineChars="200"/>
        <w:jc w:val="both"/>
        <w:textAlignment w:val="auto"/>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一、工程概况</w:t>
      </w:r>
    </w:p>
    <w:p w14:paraId="0B91EB16">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firstLine="560" w:firstLineChars="200"/>
        <w:jc w:val="both"/>
        <w:textAlignment w:val="auto"/>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“蓝田县2025年教育基础设施建设项目蓝田县三官庙镇金山初级中学、三官庙中心校本部、厚镇中心学校本部、芸阁小学修缮工程”</w:t>
      </w:r>
      <w:r>
        <w:rPr>
          <w:rFonts w:hint="eastAsia" w:ascii="宋体" w:hAnsi="宋体" w:cs="宋体"/>
          <w:sz w:val="28"/>
          <w:szCs w:val="28"/>
          <w:lang w:val="en-US" w:eastAsia="zh-CN"/>
        </w:rPr>
        <w:t>包含“厚镇中心学校本部”、“三官庙镇金山中学”、“三官庙镇中心校本部”、“芸阁小学”四所学校教学楼、食堂、宿办楼等改建工程</w:t>
      </w:r>
    </w:p>
    <w:p w14:paraId="729D91F5">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firstLine="562" w:firstLineChars="200"/>
        <w:jc w:val="both"/>
        <w:textAlignment w:val="auto"/>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二、编制范围</w:t>
      </w:r>
    </w:p>
    <w:p w14:paraId="50388D6C">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firstLine="560" w:firstLineChars="200"/>
        <w:jc w:val="both"/>
        <w:textAlignment w:val="auto"/>
        <w:rPr>
          <w:rFonts w:hint="default"/>
          <w:sz w:val="28"/>
          <w:szCs w:val="28"/>
          <w:lang w:val="en-US" w:eastAsia="zh-CN"/>
        </w:rPr>
      </w:pPr>
      <w:r>
        <w:rPr>
          <w:rFonts w:hint="eastAsia"/>
          <w:sz w:val="28"/>
          <w:szCs w:val="28"/>
          <w:lang w:val="en-US" w:eastAsia="zh-CN"/>
        </w:rPr>
        <w:t>范围包括屋面防水拆除并更换，内、外墙漆拆除并更换，围墙拆除并新建，卫生间地面、墙面、天棚、卫生洁具拆除并更换等。</w:t>
      </w:r>
    </w:p>
    <w:p w14:paraId="32325EAA">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firstLine="562" w:firstLineChars="200"/>
        <w:jc w:val="both"/>
        <w:textAlignment w:val="auto"/>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三、编制依据</w:t>
      </w:r>
    </w:p>
    <w:p w14:paraId="693B877C">
      <w:pPr>
        <w:keepNext w:val="0"/>
        <w:keepLines w:val="0"/>
        <w:pageBreakBefore w:val="0"/>
        <w:widowControl w:val="0"/>
        <w:kinsoku/>
        <w:wordWrap/>
        <w:overflowPunct/>
        <w:topLinePunct w:val="0"/>
        <w:autoSpaceDE/>
        <w:autoSpaceDN/>
        <w:bidi w:val="0"/>
        <w:adjustRightInd w:val="0"/>
        <w:snapToGrid w:val="0"/>
        <w:spacing w:line="288" w:lineRule="auto"/>
        <w:ind w:firstLine="560" w:firstLineChars="200"/>
        <w:textAlignment w:val="auto"/>
        <w:rPr>
          <w:rFonts w:hint="eastAsia" w:ascii="宋体" w:hAnsi="宋体" w:cs="Arial"/>
          <w:sz w:val="28"/>
          <w:szCs w:val="28"/>
        </w:rPr>
      </w:pPr>
      <w:r>
        <w:rPr>
          <w:rFonts w:hint="eastAsia" w:ascii="宋体" w:hAnsi="宋体" w:cs="Arial"/>
          <w:sz w:val="28"/>
          <w:szCs w:val="28"/>
        </w:rPr>
        <w:t>1</w:t>
      </w:r>
      <w:r>
        <w:rPr>
          <w:rFonts w:hint="eastAsia" w:ascii="宋体" w:hAnsi="宋体" w:cs="Arial"/>
          <w:sz w:val="28"/>
          <w:szCs w:val="28"/>
          <w:lang w:val="en-US" w:eastAsia="zh-CN"/>
        </w:rPr>
        <w:t>.由设计院设计的</w:t>
      </w:r>
      <w:r>
        <w:rPr>
          <w:rFonts w:hint="eastAsia" w:ascii="宋体" w:hAnsi="宋体" w:cs="Arial"/>
          <w:sz w:val="28"/>
          <w:szCs w:val="28"/>
          <w:lang w:eastAsia="zh-CN"/>
        </w:rPr>
        <w:t>《</w:t>
      </w:r>
      <w:r>
        <w:rPr>
          <w:rFonts w:hint="eastAsia" w:ascii="宋体" w:hAnsi="宋体" w:cs="宋体"/>
          <w:sz w:val="28"/>
          <w:szCs w:val="28"/>
          <w:lang w:val="en-US" w:eastAsia="zh-CN"/>
        </w:rPr>
        <w:t>厚镇中心学校本部教学楼改建图</w:t>
      </w:r>
      <w:r>
        <w:rPr>
          <w:rFonts w:hint="eastAsia" w:ascii="宋体" w:hAnsi="宋体" w:cs="宋体"/>
          <w:color w:val="000000"/>
          <w:kern w:val="0"/>
          <w:sz w:val="28"/>
          <w:szCs w:val="28"/>
          <w:lang w:eastAsia="zh-CN" w:bidi="ar"/>
        </w:rPr>
        <w:t>》</w:t>
      </w:r>
      <w:r>
        <w:rPr>
          <w:rFonts w:hint="eastAsia" w:ascii="宋体" w:hAnsi="宋体" w:cs="Arial"/>
          <w:sz w:val="28"/>
          <w:szCs w:val="28"/>
          <w:lang w:val="zh-CN"/>
        </w:rPr>
        <w:t>；</w:t>
      </w:r>
      <w:r>
        <w:rPr>
          <w:rFonts w:hint="eastAsia" w:ascii="宋体" w:hAnsi="宋体" w:cs="Arial"/>
          <w:sz w:val="28"/>
          <w:szCs w:val="28"/>
          <w:lang w:eastAsia="zh-CN"/>
        </w:rPr>
        <w:t>《</w:t>
      </w:r>
      <w:r>
        <w:rPr>
          <w:rFonts w:hint="eastAsia" w:ascii="宋体" w:hAnsi="宋体" w:cs="宋体"/>
          <w:sz w:val="28"/>
          <w:szCs w:val="28"/>
          <w:lang w:val="en-US" w:eastAsia="zh-CN"/>
        </w:rPr>
        <w:t>厚镇中心学校本部部室楼改建图</w:t>
      </w:r>
      <w:r>
        <w:rPr>
          <w:rFonts w:hint="eastAsia" w:ascii="宋体" w:hAnsi="宋体" w:cs="宋体"/>
          <w:color w:val="000000"/>
          <w:kern w:val="0"/>
          <w:sz w:val="28"/>
          <w:szCs w:val="28"/>
          <w:lang w:eastAsia="zh-CN" w:bidi="ar"/>
        </w:rPr>
        <w:t>》；《</w:t>
      </w:r>
      <w:r>
        <w:rPr>
          <w:rFonts w:hint="eastAsia" w:ascii="宋体" w:hAnsi="宋体" w:cs="宋体"/>
          <w:sz w:val="28"/>
          <w:szCs w:val="28"/>
          <w:lang w:val="en-US" w:eastAsia="zh-CN"/>
        </w:rPr>
        <w:t>三官庙镇金山中学宿办楼改建图</w:t>
      </w:r>
      <w:r>
        <w:rPr>
          <w:rFonts w:hint="eastAsia" w:ascii="宋体" w:hAnsi="宋体" w:cs="宋体"/>
          <w:color w:val="000000"/>
          <w:kern w:val="0"/>
          <w:sz w:val="28"/>
          <w:szCs w:val="28"/>
          <w:lang w:eastAsia="zh-CN" w:bidi="ar"/>
        </w:rPr>
        <w:t>》；《</w:t>
      </w:r>
      <w:r>
        <w:rPr>
          <w:rFonts w:hint="eastAsia" w:ascii="宋体" w:hAnsi="宋体" w:cs="宋体"/>
          <w:sz w:val="28"/>
          <w:szCs w:val="28"/>
          <w:lang w:val="en-US" w:eastAsia="zh-CN"/>
        </w:rPr>
        <w:t>三官庙镇金山中学食堂改建图</w:t>
      </w:r>
      <w:r>
        <w:rPr>
          <w:rFonts w:hint="eastAsia" w:ascii="宋体" w:hAnsi="宋体" w:cs="宋体"/>
          <w:color w:val="000000"/>
          <w:kern w:val="0"/>
          <w:sz w:val="28"/>
          <w:szCs w:val="28"/>
          <w:lang w:eastAsia="zh-CN" w:bidi="ar"/>
        </w:rPr>
        <w:t>》；《</w:t>
      </w:r>
      <w:r>
        <w:rPr>
          <w:rFonts w:hint="eastAsia" w:ascii="宋体" w:hAnsi="宋体" w:cs="宋体"/>
          <w:sz w:val="28"/>
          <w:szCs w:val="28"/>
          <w:lang w:val="en-US" w:eastAsia="zh-CN"/>
        </w:rPr>
        <w:t>三官庙镇中心校本部1#教学楼改建图</w:t>
      </w:r>
      <w:r>
        <w:rPr>
          <w:rFonts w:hint="eastAsia" w:ascii="宋体" w:hAnsi="宋体" w:cs="宋体"/>
          <w:color w:val="000000"/>
          <w:kern w:val="0"/>
          <w:sz w:val="28"/>
          <w:szCs w:val="28"/>
          <w:lang w:eastAsia="zh-CN" w:bidi="ar"/>
        </w:rPr>
        <w:t>》；《</w:t>
      </w:r>
      <w:r>
        <w:rPr>
          <w:rFonts w:hint="eastAsia" w:ascii="宋体" w:hAnsi="宋体" w:cs="宋体"/>
          <w:sz w:val="28"/>
          <w:szCs w:val="28"/>
          <w:lang w:val="en-US" w:eastAsia="zh-CN"/>
        </w:rPr>
        <w:t>三官庙镇中心校本部2#教学楼改建图</w:t>
      </w:r>
      <w:r>
        <w:rPr>
          <w:rFonts w:hint="eastAsia" w:ascii="宋体" w:hAnsi="宋体" w:cs="宋体"/>
          <w:color w:val="000000"/>
          <w:kern w:val="0"/>
          <w:sz w:val="28"/>
          <w:szCs w:val="28"/>
          <w:lang w:eastAsia="zh-CN" w:bidi="ar"/>
        </w:rPr>
        <w:t>》；《</w:t>
      </w:r>
      <w:r>
        <w:rPr>
          <w:rFonts w:hint="eastAsia" w:ascii="宋体" w:hAnsi="宋体" w:cs="宋体"/>
          <w:sz w:val="28"/>
          <w:szCs w:val="28"/>
          <w:lang w:val="en-US" w:eastAsia="zh-CN"/>
        </w:rPr>
        <w:t>三官庙镇中心校本部食堂改建图</w:t>
      </w:r>
      <w:r>
        <w:rPr>
          <w:rFonts w:hint="eastAsia" w:ascii="宋体" w:hAnsi="宋体" w:cs="宋体"/>
          <w:color w:val="000000"/>
          <w:kern w:val="0"/>
          <w:sz w:val="28"/>
          <w:szCs w:val="28"/>
          <w:lang w:eastAsia="zh-CN" w:bidi="ar"/>
        </w:rPr>
        <w:t>》；《</w:t>
      </w:r>
      <w:r>
        <w:rPr>
          <w:rFonts w:hint="eastAsia" w:ascii="宋体" w:hAnsi="宋体" w:cs="宋体"/>
          <w:sz w:val="28"/>
          <w:szCs w:val="28"/>
          <w:lang w:val="en-US" w:eastAsia="zh-CN"/>
        </w:rPr>
        <w:t>三官庙镇中心校本部部室楼改建图</w:t>
      </w:r>
      <w:r>
        <w:rPr>
          <w:rFonts w:hint="eastAsia" w:ascii="宋体" w:hAnsi="宋体" w:cs="宋体"/>
          <w:color w:val="000000"/>
          <w:kern w:val="0"/>
          <w:sz w:val="28"/>
          <w:szCs w:val="28"/>
          <w:lang w:eastAsia="zh-CN" w:bidi="ar"/>
        </w:rPr>
        <w:t>》；《</w:t>
      </w:r>
      <w:r>
        <w:rPr>
          <w:rFonts w:hint="eastAsia" w:ascii="宋体" w:hAnsi="宋体" w:cs="宋体"/>
          <w:sz w:val="28"/>
          <w:szCs w:val="28"/>
          <w:lang w:val="en-US" w:eastAsia="zh-CN"/>
        </w:rPr>
        <w:t>芸阁小学水房及卫生间改建图</w:t>
      </w:r>
      <w:r>
        <w:rPr>
          <w:rFonts w:hint="eastAsia" w:ascii="宋体" w:hAnsi="宋体" w:cs="宋体"/>
          <w:color w:val="000000"/>
          <w:kern w:val="0"/>
          <w:sz w:val="28"/>
          <w:szCs w:val="28"/>
          <w:lang w:eastAsia="zh-CN" w:bidi="ar"/>
        </w:rPr>
        <w:t>》</w:t>
      </w:r>
      <w:r>
        <w:rPr>
          <w:rFonts w:hint="eastAsia" w:ascii="宋体" w:hAnsi="宋体" w:cs="宋体"/>
          <w:color w:val="000000"/>
          <w:kern w:val="0"/>
          <w:sz w:val="28"/>
          <w:szCs w:val="28"/>
          <w:lang w:val="en-US" w:eastAsia="zh-CN" w:bidi="ar"/>
        </w:rPr>
        <w:t>等</w:t>
      </w:r>
    </w:p>
    <w:p w14:paraId="04E458C8">
      <w:pPr>
        <w:keepNext w:val="0"/>
        <w:keepLines w:val="0"/>
        <w:pageBreakBefore w:val="0"/>
        <w:widowControl w:val="0"/>
        <w:kinsoku/>
        <w:wordWrap/>
        <w:overflowPunct/>
        <w:topLinePunct w:val="0"/>
        <w:autoSpaceDE/>
        <w:autoSpaceDN/>
        <w:bidi w:val="0"/>
        <w:adjustRightInd w:val="0"/>
        <w:snapToGrid w:val="0"/>
        <w:spacing w:line="288" w:lineRule="auto"/>
        <w:ind w:firstLine="560" w:firstLineChars="200"/>
        <w:textAlignment w:val="auto"/>
        <w:rPr>
          <w:rFonts w:hint="eastAsia" w:ascii="宋体" w:hAnsi="宋体" w:cs="Arial"/>
          <w:sz w:val="28"/>
          <w:szCs w:val="28"/>
        </w:rPr>
      </w:pPr>
      <w:r>
        <w:rPr>
          <w:rFonts w:hint="eastAsia" w:ascii="宋体" w:hAnsi="宋体" w:cs="Arial"/>
          <w:sz w:val="28"/>
          <w:szCs w:val="28"/>
          <w:lang w:val="en-US" w:eastAsia="zh-CN"/>
        </w:rPr>
        <w:t>2.</w:t>
      </w:r>
      <w:r>
        <w:rPr>
          <w:rFonts w:hint="eastAsia" w:ascii="宋体" w:hAnsi="宋体" w:cs="Arial"/>
          <w:sz w:val="28"/>
          <w:szCs w:val="28"/>
        </w:rPr>
        <w:t>依据《陕西省建设工程工程量清单计价规则》(20</w:t>
      </w:r>
      <w:r>
        <w:rPr>
          <w:rFonts w:hint="eastAsia" w:ascii="宋体" w:hAnsi="宋体" w:cs="Arial"/>
          <w:sz w:val="28"/>
          <w:szCs w:val="28"/>
          <w:lang w:val="en-US" w:eastAsia="zh-CN"/>
        </w:rPr>
        <w:t>25</w:t>
      </w:r>
      <w:r>
        <w:rPr>
          <w:rFonts w:hint="eastAsia" w:ascii="宋体" w:hAnsi="宋体" w:cs="Arial"/>
          <w:sz w:val="28"/>
          <w:szCs w:val="28"/>
        </w:rPr>
        <w:t>)及其他相关的计价依据和办法；</w:t>
      </w:r>
    </w:p>
    <w:p w14:paraId="455E2045">
      <w:pPr>
        <w:keepNext w:val="0"/>
        <w:keepLines w:val="0"/>
        <w:pageBreakBefore w:val="0"/>
        <w:widowControl w:val="0"/>
        <w:kinsoku/>
        <w:wordWrap/>
        <w:overflowPunct/>
        <w:topLinePunct w:val="0"/>
        <w:autoSpaceDE/>
        <w:autoSpaceDN/>
        <w:bidi w:val="0"/>
        <w:adjustRightInd w:val="0"/>
        <w:snapToGrid w:val="0"/>
        <w:spacing w:line="288" w:lineRule="auto"/>
        <w:ind w:firstLine="560" w:firstLineChars="200"/>
        <w:textAlignment w:val="auto"/>
        <w:rPr>
          <w:rFonts w:hint="default" w:ascii="宋体" w:hAnsi="宋体" w:eastAsia="宋体" w:cs="Arial"/>
          <w:sz w:val="28"/>
          <w:szCs w:val="28"/>
          <w:lang w:val="en-US" w:eastAsia="zh-CN"/>
        </w:rPr>
      </w:pPr>
      <w:r>
        <w:rPr>
          <w:rFonts w:hint="eastAsia" w:ascii="宋体" w:hAnsi="宋体" w:cs="Arial"/>
          <w:sz w:val="28"/>
          <w:szCs w:val="28"/>
          <w:lang w:val="en-US" w:eastAsia="zh-CN"/>
        </w:rPr>
        <w:t>3、依据《陕西省安装工程消耗量定额2025》、《陕西省建筑工程消耗量定额2025》、《陕西省装配式建筑工程消耗量定额2025》</w:t>
      </w:r>
    </w:p>
    <w:p w14:paraId="557177F3">
      <w:pPr>
        <w:keepNext w:val="0"/>
        <w:keepLines w:val="0"/>
        <w:pageBreakBefore w:val="0"/>
        <w:widowControl w:val="0"/>
        <w:kinsoku/>
        <w:wordWrap/>
        <w:overflowPunct/>
        <w:topLinePunct w:val="0"/>
        <w:autoSpaceDE/>
        <w:autoSpaceDN/>
        <w:bidi w:val="0"/>
        <w:adjustRightInd w:val="0"/>
        <w:snapToGrid w:val="0"/>
        <w:spacing w:line="288" w:lineRule="auto"/>
        <w:ind w:firstLine="560" w:firstLineChars="200"/>
        <w:textAlignment w:val="auto"/>
        <w:rPr>
          <w:rFonts w:hint="eastAsia" w:ascii="宋体" w:hAnsi="宋体" w:cs="Arial"/>
          <w:sz w:val="28"/>
          <w:szCs w:val="28"/>
        </w:rPr>
      </w:pPr>
      <w:r>
        <w:rPr>
          <w:rFonts w:hint="eastAsia" w:ascii="宋体" w:hAnsi="宋体" w:cs="Arial"/>
          <w:sz w:val="28"/>
          <w:szCs w:val="28"/>
          <w:lang w:val="en-US" w:eastAsia="zh-CN"/>
        </w:rPr>
        <w:t>3.</w:t>
      </w:r>
      <w:r>
        <w:rPr>
          <w:rFonts w:hint="eastAsia" w:ascii="宋体" w:hAnsi="宋体" w:cs="Arial"/>
          <w:sz w:val="28"/>
          <w:szCs w:val="28"/>
        </w:rPr>
        <w:t>陕建发〔20</w:t>
      </w:r>
      <w:r>
        <w:rPr>
          <w:rFonts w:hint="eastAsia" w:ascii="宋体" w:hAnsi="宋体" w:cs="Arial"/>
          <w:sz w:val="28"/>
          <w:szCs w:val="28"/>
          <w:lang w:val="en-US" w:eastAsia="zh-CN"/>
        </w:rPr>
        <w:t>21</w:t>
      </w:r>
      <w:r>
        <w:rPr>
          <w:rFonts w:hint="eastAsia" w:ascii="宋体" w:hAnsi="宋体" w:cs="Arial"/>
          <w:sz w:val="28"/>
          <w:szCs w:val="28"/>
        </w:rPr>
        <w:t>〕1097号《关于调整房屋建筑和市政基础设施工程工程量清单计价综合人工单价的通知》；</w:t>
      </w:r>
    </w:p>
    <w:p w14:paraId="68B0E469">
      <w:pPr>
        <w:keepNext w:val="0"/>
        <w:keepLines w:val="0"/>
        <w:pageBreakBefore w:val="0"/>
        <w:widowControl w:val="0"/>
        <w:kinsoku/>
        <w:wordWrap/>
        <w:overflowPunct/>
        <w:topLinePunct w:val="0"/>
        <w:autoSpaceDE/>
        <w:autoSpaceDN/>
        <w:bidi w:val="0"/>
        <w:adjustRightInd w:val="0"/>
        <w:snapToGrid w:val="0"/>
        <w:spacing w:line="288" w:lineRule="auto"/>
        <w:ind w:firstLine="560" w:firstLineChars="200"/>
        <w:textAlignment w:val="auto"/>
        <w:rPr>
          <w:rFonts w:hint="eastAsia" w:ascii="宋体" w:hAnsi="宋体" w:cs="Arial"/>
          <w:sz w:val="28"/>
          <w:szCs w:val="28"/>
        </w:rPr>
      </w:pPr>
      <w:r>
        <w:rPr>
          <w:rFonts w:hint="eastAsia" w:ascii="宋体" w:hAnsi="宋体" w:cs="Arial"/>
          <w:sz w:val="28"/>
          <w:szCs w:val="28"/>
          <w:lang w:val="en-US" w:eastAsia="zh-CN"/>
        </w:rPr>
        <w:t>4.</w:t>
      </w:r>
      <w:r>
        <w:rPr>
          <w:rFonts w:hint="eastAsia" w:ascii="宋体" w:hAnsi="宋体" w:cs="Arial"/>
          <w:sz w:val="28"/>
          <w:szCs w:val="28"/>
        </w:rPr>
        <w:t>陕建发〔2019〕1246号《关于发布我省落实建筑工人实名制管理计价依据的通知》；</w:t>
      </w:r>
    </w:p>
    <w:p w14:paraId="4CF19C91">
      <w:pPr>
        <w:keepNext w:val="0"/>
        <w:keepLines w:val="0"/>
        <w:pageBreakBefore w:val="0"/>
        <w:widowControl w:val="0"/>
        <w:kinsoku/>
        <w:wordWrap/>
        <w:overflowPunct/>
        <w:topLinePunct w:val="0"/>
        <w:autoSpaceDE/>
        <w:autoSpaceDN/>
        <w:bidi w:val="0"/>
        <w:adjustRightInd w:val="0"/>
        <w:snapToGrid w:val="0"/>
        <w:spacing w:line="288" w:lineRule="auto"/>
        <w:ind w:firstLine="560" w:firstLineChars="200"/>
        <w:textAlignment w:val="auto"/>
        <w:rPr>
          <w:rFonts w:hint="eastAsia" w:ascii="宋体" w:hAnsi="宋体" w:cs="Arial"/>
          <w:sz w:val="28"/>
          <w:szCs w:val="28"/>
        </w:rPr>
      </w:pPr>
      <w:r>
        <w:rPr>
          <w:rFonts w:hint="eastAsia" w:ascii="宋体" w:hAnsi="宋体" w:cs="Arial"/>
          <w:sz w:val="28"/>
          <w:szCs w:val="28"/>
          <w:lang w:val="en-US" w:eastAsia="zh-CN"/>
        </w:rPr>
        <w:t>5.</w:t>
      </w:r>
      <w:r>
        <w:rPr>
          <w:rFonts w:hint="eastAsia" w:ascii="宋体" w:hAnsi="宋体" w:cs="Arial"/>
          <w:sz w:val="28"/>
          <w:szCs w:val="28"/>
        </w:rPr>
        <w:t>陕建发〔2020〕1097号《陕西省住房和城乡建设厅关于建筑施工安全生产责任保险费用计价的通知》；</w:t>
      </w:r>
    </w:p>
    <w:p w14:paraId="0B7D466F">
      <w:pPr>
        <w:keepNext w:val="0"/>
        <w:keepLines w:val="0"/>
        <w:pageBreakBefore w:val="0"/>
        <w:widowControl w:val="0"/>
        <w:kinsoku/>
        <w:wordWrap/>
        <w:overflowPunct/>
        <w:topLinePunct w:val="0"/>
        <w:autoSpaceDE/>
        <w:autoSpaceDN/>
        <w:bidi w:val="0"/>
        <w:adjustRightInd w:val="0"/>
        <w:snapToGrid w:val="0"/>
        <w:spacing w:line="288" w:lineRule="auto"/>
        <w:ind w:firstLine="560" w:firstLineChars="200"/>
        <w:textAlignment w:val="auto"/>
        <w:rPr>
          <w:rFonts w:hint="eastAsia" w:ascii="宋体" w:hAnsi="宋体" w:cs="Arial"/>
          <w:sz w:val="28"/>
          <w:szCs w:val="28"/>
          <w:lang w:val="en-US" w:eastAsia="zh-CN"/>
        </w:rPr>
      </w:pPr>
      <w:r>
        <w:rPr>
          <w:rFonts w:hint="eastAsia" w:ascii="宋体" w:hAnsi="宋体" w:cs="Arial"/>
          <w:sz w:val="28"/>
          <w:szCs w:val="28"/>
          <w:lang w:val="en-US" w:eastAsia="zh-CN"/>
        </w:rPr>
        <w:t>6.</w:t>
      </w:r>
      <w:r>
        <w:rPr>
          <w:rFonts w:hint="eastAsia" w:ascii="宋体" w:hAnsi="宋体" w:cs="Arial"/>
          <w:sz w:val="28"/>
          <w:szCs w:val="28"/>
        </w:rPr>
        <w:t>陕建发〔2021〕1021号《关于全省统一停止收缴建筑业劳保费用的通知》</w:t>
      </w:r>
      <w:r>
        <w:rPr>
          <w:rFonts w:hint="eastAsia" w:ascii="宋体" w:hAnsi="宋体" w:cs="Arial"/>
          <w:sz w:val="28"/>
          <w:szCs w:val="28"/>
          <w:lang w:eastAsia="zh-CN"/>
        </w:rPr>
        <w:t>；</w:t>
      </w:r>
    </w:p>
    <w:p w14:paraId="7E309EA1">
      <w:pPr>
        <w:keepNext w:val="0"/>
        <w:keepLines w:val="0"/>
        <w:pageBreakBefore w:val="0"/>
        <w:widowControl w:val="0"/>
        <w:kinsoku/>
        <w:wordWrap/>
        <w:overflowPunct/>
        <w:topLinePunct w:val="0"/>
        <w:autoSpaceDE/>
        <w:autoSpaceDN/>
        <w:bidi w:val="0"/>
        <w:adjustRightInd w:val="0"/>
        <w:snapToGrid w:val="0"/>
        <w:spacing w:line="288" w:lineRule="auto"/>
        <w:ind w:firstLine="560" w:firstLineChars="200"/>
        <w:textAlignment w:val="auto"/>
        <w:rPr>
          <w:rFonts w:hint="eastAsia" w:ascii="宋体" w:hAnsi="宋体" w:cs="Arial"/>
          <w:sz w:val="28"/>
          <w:szCs w:val="28"/>
        </w:rPr>
      </w:pPr>
      <w:r>
        <w:rPr>
          <w:rFonts w:hint="eastAsia" w:ascii="宋体" w:hAnsi="宋体" w:cs="Arial"/>
          <w:sz w:val="28"/>
          <w:szCs w:val="28"/>
          <w:lang w:val="en-US" w:eastAsia="zh-CN"/>
        </w:rPr>
        <w:t>7.</w:t>
      </w:r>
      <w:r>
        <w:rPr>
          <w:rFonts w:hint="eastAsia" w:ascii="宋体" w:hAnsi="宋体" w:cs="Arial"/>
          <w:sz w:val="28"/>
          <w:szCs w:val="28"/>
        </w:rPr>
        <w:t>常规的施工组织设计、施工方法及相关标准图集、施工规范、验收规范。</w:t>
      </w:r>
    </w:p>
    <w:p w14:paraId="13EFA042">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firstLine="562" w:firstLineChars="200"/>
        <w:jc w:val="both"/>
        <w:textAlignment w:val="auto"/>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四、编制方法</w:t>
      </w:r>
    </w:p>
    <w:p w14:paraId="199C4410">
      <w:pPr>
        <w:keepNext w:val="0"/>
        <w:keepLines w:val="0"/>
        <w:pageBreakBefore w:val="0"/>
        <w:widowControl w:val="0"/>
        <w:kinsoku/>
        <w:wordWrap/>
        <w:overflowPunct/>
        <w:topLinePunct w:val="0"/>
        <w:autoSpaceDE/>
        <w:autoSpaceDN/>
        <w:bidi w:val="0"/>
        <w:adjustRightInd w:val="0"/>
        <w:snapToGrid w:val="0"/>
        <w:spacing w:line="288" w:lineRule="auto"/>
        <w:ind w:firstLine="560" w:firstLineChars="200"/>
        <w:textAlignment w:val="auto"/>
        <w:rPr>
          <w:rFonts w:hint="eastAsia" w:ascii="宋体" w:hAnsi="宋体" w:cs="Arial"/>
          <w:sz w:val="28"/>
          <w:szCs w:val="28"/>
          <w:lang w:val="en-US" w:eastAsia="zh-CN"/>
        </w:rPr>
      </w:pPr>
      <w:r>
        <w:rPr>
          <w:rFonts w:hint="eastAsia" w:ascii="宋体" w:hAnsi="宋体" w:cs="Arial"/>
          <w:sz w:val="28"/>
          <w:szCs w:val="28"/>
          <w:lang w:val="en-US" w:eastAsia="zh-CN"/>
        </w:rPr>
        <w:t>分部分项工程量清单包括项目编码、项目名称、项目特征、计量单位和工程量，工程量根据</w:t>
      </w:r>
      <w:r>
        <w:rPr>
          <w:rFonts w:hint="eastAsia" w:ascii="宋体" w:hAnsi="宋体" w:cs="Arial"/>
          <w:sz w:val="28"/>
          <w:szCs w:val="28"/>
        </w:rPr>
        <w:t>《陕西省建设工程工程量清单计价规则》(20</w:t>
      </w:r>
      <w:r>
        <w:rPr>
          <w:rFonts w:hint="eastAsia" w:ascii="宋体" w:hAnsi="宋体" w:cs="Arial"/>
          <w:sz w:val="28"/>
          <w:szCs w:val="28"/>
          <w:lang w:val="en-US" w:eastAsia="zh-CN"/>
        </w:rPr>
        <w:t>25</w:t>
      </w:r>
      <w:r>
        <w:rPr>
          <w:rFonts w:hint="eastAsia" w:ascii="宋体" w:hAnsi="宋体" w:cs="Arial"/>
          <w:sz w:val="28"/>
          <w:szCs w:val="28"/>
        </w:rPr>
        <w:t>)</w:t>
      </w:r>
      <w:r>
        <w:rPr>
          <w:rFonts w:hint="eastAsia" w:ascii="宋体" w:hAnsi="宋体" w:cs="Arial"/>
          <w:sz w:val="28"/>
          <w:szCs w:val="28"/>
          <w:lang w:eastAsia="zh-CN"/>
        </w:rPr>
        <w:t>附录载明的</w:t>
      </w:r>
      <w:r>
        <w:rPr>
          <w:rFonts w:hint="eastAsia" w:ascii="宋体" w:hAnsi="宋体" w:cs="Arial"/>
          <w:sz w:val="28"/>
          <w:szCs w:val="28"/>
          <w:lang w:val="en-US" w:eastAsia="zh-CN"/>
        </w:rPr>
        <w:t>工程量计算规则计算；措施项目清单、其他项目清单根据工程实际情况列项；规费项目清单、税金项目清单根据国家、省政府和省级有关主管部门的规定列项。</w:t>
      </w:r>
    </w:p>
    <w:p w14:paraId="74F90646">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firstLine="562" w:firstLineChars="200"/>
        <w:jc w:val="both"/>
        <w:textAlignment w:val="auto"/>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五、其他有关问题的说明</w:t>
      </w:r>
    </w:p>
    <w:p w14:paraId="0CB2B760">
      <w:pPr>
        <w:keepNext w:val="0"/>
        <w:keepLines w:val="0"/>
        <w:pageBreakBefore w:val="0"/>
        <w:widowControl w:val="0"/>
        <w:kinsoku/>
        <w:wordWrap/>
        <w:overflowPunct/>
        <w:topLinePunct w:val="0"/>
        <w:autoSpaceDE/>
        <w:autoSpaceDN/>
        <w:bidi w:val="0"/>
        <w:adjustRightInd w:val="0"/>
        <w:snapToGrid w:val="0"/>
        <w:spacing w:line="288" w:lineRule="auto"/>
        <w:ind w:firstLine="840" w:firstLineChars="300"/>
        <w:textAlignment w:val="auto"/>
        <w:rPr>
          <w:rFonts w:hint="eastAsia"/>
          <w:b w:val="0"/>
          <w:bCs/>
          <w:sz w:val="28"/>
          <w:szCs w:val="28"/>
          <w:lang w:val="en-US" w:eastAsia="zh-CN"/>
        </w:rPr>
      </w:pPr>
      <w:r>
        <w:rPr>
          <w:rFonts w:hint="eastAsia"/>
          <w:b w:val="0"/>
          <w:bCs/>
          <w:sz w:val="28"/>
          <w:szCs w:val="28"/>
          <w:lang w:val="en-US" w:eastAsia="zh-CN"/>
        </w:rPr>
        <w:t>1、本清单中所有屋面卷材防水及屋面涂膜防水工程量均考虑为上翻500mm；</w:t>
      </w:r>
    </w:p>
    <w:p w14:paraId="3C26B084">
      <w:pPr>
        <w:keepNext w:val="0"/>
        <w:keepLines w:val="0"/>
        <w:pageBreakBefore w:val="0"/>
        <w:widowControl w:val="0"/>
        <w:kinsoku/>
        <w:wordWrap/>
        <w:overflowPunct/>
        <w:topLinePunct w:val="0"/>
        <w:autoSpaceDE/>
        <w:autoSpaceDN/>
        <w:bidi w:val="0"/>
        <w:adjustRightInd w:val="0"/>
        <w:snapToGrid w:val="0"/>
        <w:spacing w:line="288" w:lineRule="auto"/>
        <w:ind w:firstLine="840" w:firstLineChars="300"/>
        <w:textAlignment w:val="auto"/>
        <w:rPr>
          <w:rFonts w:hint="eastAsia" w:ascii="宋体" w:hAnsi="宋体" w:cs="宋体"/>
          <w:sz w:val="28"/>
          <w:szCs w:val="28"/>
          <w:lang w:val="en-US" w:eastAsia="zh-CN"/>
        </w:rPr>
      </w:pPr>
      <w:r>
        <w:rPr>
          <w:rFonts w:hint="eastAsia"/>
          <w:b w:val="0"/>
          <w:bCs/>
          <w:sz w:val="28"/>
          <w:szCs w:val="28"/>
          <w:lang w:val="en-US" w:eastAsia="zh-CN"/>
        </w:rPr>
        <w:t>2、</w:t>
      </w:r>
      <w:r>
        <w:rPr>
          <w:rFonts w:hint="eastAsia" w:ascii="宋体" w:hAnsi="宋体" w:cs="宋体"/>
          <w:sz w:val="28"/>
          <w:szCs w:val="28"/>
          <w:lang w:val="en-US" w:eastAsia="zh-CN"/>
        </w:rPr>
        <w:t>屋面防水的清单编制中，暂不考虑涂膜防水及砂浆找平；</w:t>
      </w:r>
    </w:p>
    <w:p w14:paraId="66844ADD">
      <w:pPr>
        <w:keepNext w:val="0"/>
        <w:keepLines w:val="0"/>
        <w:pageBreakBefore w:val="0"/>
        <w:widowControl w:val="0"/>
        <w:kinsoku/>
        <w:wordWrap/>
        <w:overflowPunct/>
        <w:topLinePunct w:val="0"/>
        <w:autoSpaceDE/>
        <w:autoSpaceDN/>
        <w:bidi w:val="0"/>
        <w:adjustRightInd w:val="0"/>
        <w:snapToGrid w:val="0"/>
        <w:spacing w:line="288" w:lineRule="auto"/>
        <w:ind w:firstLine="840" w:firstLineChars="300"/>
        <w:textAlignment w:val="auto"/>
        <w:rPr>
          <w:rFonts w:hint="default" w:ascii="宋体" w:hAnsi="宋体" w:cs="宋体"/>
          <w:sz w:val="28"/>
          <w:szCs w:val="28"/>
          <w:lang w:val="en-US" w:eastAsia="zh-CN"/>
        </w:rPr>
      </w:pPr>
      <w:r>
        <w:rPr>
          <w:rFonts w:hint="eastAsia" w:ascii="宋体" w:hAnsi="宋体" w:cs="宋体"/>
          <w:sz w:val="28"/>
          <w:szCs w:val="28"/>
          <w:lang w:val="en-US" w:eastAsia="zh-CN"/>
        </w:rPr>
        <w:t>3、屋面防水暂未考虑保护层做法；</w:t>
      </w:r>
    </w:p>
    <w:p w14:paraId="7F7E4897">
      <w:pPr>
        <w:keepNext w:val="0"/>
        <w:keepLines w:val="0"/>
        <w:pageBreakBefore w:val="0"/>
        <w:widowControl w:val="0"/>
        <w:kinsoku/>
        <w:wordWrap/>
        <w:overflowPunct/>
        <w:topLinePunct w:val="0"/>
        <w:autoSpaceDE/>
        <w:autoSpaceDN/>
        <w:bidi w:val="0"/>
        <w:adjustRightInd w:val="0"/>
        <w:snapToGrid w:val="0"/>
        <w:spacing w:line="288" w:lineRule="auto"/>
        <w:ind w:firstLine="840" w:firstLineChars="300"/>
        <w:textAlignment w:val="auto"/>
        <w:rPr>
          <w:rFonts w:hint="default"/>
          <w:b w:val="0"/>
          <w:bCs/>
          <w:sz w:val="28"/>
          <w:szCs w:val="28"/>
          <w:lang w:val="en-US" w:eastAsia="zh-CN"/>
        </w:rPr>
      </w:pPr>
      <w:r>
        <w:rPr>
          <w:rFonts w:hint="eastAsia"/>
          <w:b w:val="0"/>
          <w:bCs/>
          <w:sz w:val="28"/>
          <w:szCs w:val="28"/>
          <w:lang w:val="en-US" w:eastAsia="zh-CN"/>
        </w:rPr>
        <w:t>4、本清单中建筑垃圾外运均考虑在5km内，如实际运距不同可根据实际运距调整；</w:t>
      </w:r>
    </w:p>
    <w:p w14:paraId="500E4E02">
      <w:pPr>
        <w:keepNext w:val="0"/>
        <w:keepLines w:val="0"/>
        <w:pageBreakBefore w:val="0"/>
        <w:widowControl w:val="0"/>
        <w:kinsoku/>
        <w:wordWrap/>
        <w:overflowPunct/>
        <w:topLinePunct w:val="0"/>
        <w:autoSpaceDE/>
        <w:autoSpaceDN/>
        <w:bidi w:val="0"/>
        <w:adjustRightInd w:val="0"/>
        <w:snapToGrid w:val="0"/>
        <w:spacing w:line="288" w:lineRule="auto"/>
        <w:ind w:firstLine="840" w:firstLineChars="300"/>
        <w:textAlignment w:val="auto"/>
        <w:rPr>
          <w:rFonts w:hint="eastAsia"/>
          <w:b w:val="0"/>
          <w:bCs/>
          <w:sz w:val="28"/>
          <w:szCs w:val="28"/>
          <w:lang w:val="en-US" w:eastAsia="zh-CN"/>
        </w:rPr>
      </w:pPr>
      <w:r>
        <w:rPr>
          <w:rFonts w:hint="eastAsia"/>
          <w:b w:val="0"/>
          <w:bCs/>
          <w:sz w:val="28"/>
          <w:szCs w:val="28"/>
          <w:lang w:val="en-US" w:eastAsia="zh-CN"/>
        </w:rPr>
        <w:t>5、“三官庙镇金山中学”围墙拆除及新建工程中，沟槽土石方开挖及回填的工程量计算时，因设计图纸未体现原围墙拆除及新建围墙基础开挖方式，本次编制时开挖工程量根据已有图纸中基础尺寸计算，未考虑放坡等其他因素，如实际需进行放坡等其他施工方案，应按审批后方案按实计算工程量；</w:t>
      </w:r>
    </w:p>
    <w:p w14:paraId="103B8440">
      <w:pPr>
        <w:keepNext w:val="0"/>
        <w:keepLines w:val="0"/>
        <w:pageBreakBefore w:val="0"/>
        <w:widowControl w:val="0"/>
        <w:kinsoku/>
        <w:wordWrap/>
        <w:overflowPunct/>
        <w:topLinePunct w:val="0"/>
        <w:autoSpaceDE/>
        <w:autoSpaceDN/>
        <w:bidi w:val="0"/>
        <w:adjustRightInd w:val="0"/>
        <w:snapToGrid w:val="0"/>
        <w:spacing w:line="288" w:lineRule="auto"/>
        <w:ind w:firstLine="840" w:firstLineChars="300"/>
        <w:textAlignment w:val="auto"/>
        <w:rPr>
          <w:rFonts w:hint="eastAsia"/>
          <w:b w:val="0"/>
          <w:bCs/>
          <w:sz w:val="28"/>
          <w:szCs w:val="28"/>
          <w:lang w:val="en-US" w:eastAsia="zh-CN"/>
        </w:rPr>
      </w:pPr>
      <w:r>
        <w:rPr>
          <w:rFonts w:hint="eastAsia"/>
          <w:b w:val="0"/>
          <w:bCs/>
          <w:sz w:val="28"/>
          <w:szCs w:val="28"/>
          <w:lang w:val="en-US" w:eastAsia="zh-CN"/>
        </w:rPr>
        <w:t>6、“三官庙镇中心校本部”2#教学楼设计图纸中无天棚拆除及新建平面图，工程量根据图纸说明“55块600*600石膏板”计算，做法按拆除做法根据类似拆除项目经验拆除至轻钢龙骨并替换龙骨及面板考虑；</w:t>
      </w:r>
    </w:p>
    <w:p w14:paraId="3C5FB090">
      <w:pPr>
        <w:keepNext w:val="0"/>
        <w:keepLines w:val="0"/>
        <w:pageBreakBefore w:val="0"/>
        <w:widowControl w:val="0"/>
        <w:kinsoku/>
        <w:wordWrap/>
        <w:overflowPunct/>
        <w:topLinePunct w:val="0"/>
        <w:autoSpaceDE/>
        <w:autoSpaceDN/>
        <w:bidi w:val="0"/>
        <w:adjustRightInd w:val="0"/>
        <w:snapToGrid w:val="0"/>
        <w:spacing w:line="288" w:lineRule="auto"/>
        <w:ind w:firstLine="840" w:firstLineChars="300"/>
        <w:textAlignment w:val="auto"/>
        <w:rPr>
          <w:rFonts w:hint="eastAsia"/>
          <w:b w:val="0"/>
          <w:bCs/>
          <w:sz w:val="28"/>
          <w:szCs w:val="28"/>
          <w:lang w:val="en-US" w:eastAsia="zh-CN"/>
        </w:rPr>
      </w:pPr>
      <w:r>
        <w:rPr>
          <w:rFonts w:hint="eastAsia"/>
          <w:b w:val="0"/>
          <w:bCs/>
          <w:sz w:val="28"/>
          <w:szCs w:val="28"/>
          <w:lang w:val="en-US" w:eastAsia="zh-CN"/>
        </w:rPr>
        <w:t>7、“三官庙镇中心校本部”部室楼内、外墙面漆拆除考虑为拆除至抹灰面，新建面漆不考虑重做抹灰面，清单中包含基层腻子二遍后重新刷漆；</w:t>
      </w:r>
    </w:p>
    <w:p w14:paraId="2B64BA7C">
      <w:pPr>
        <w:keepNext w:val="0"/>
        <w:keepLines w:val="0"/>
        <w:pageBreakBefore w:val="0"/>
        <w:widowControl w:val="0"/>
        <w:kinsoku/>
        <w:wordWrap/>
        <w:overflowPunct/>
        <w:topLinePunct w:val="0"/>
        <w:autoSpaceDE/>
        <w:autoSpaceDN/>
        <w:bidi w:val="0"/>
        <w:adjustRightInd w:val="0"/>
        <w:snapToGrid w:val="0"/>
        <w:spacing w:line="288" w:lineRule="auto"/>
        <w:ind w:firstLine="840" w:firstLineChars="300"/>
        <w:textAlignment w:val="auto"/>
        <w:rPr>
          <w:rFonts w:hint="eastAsia"/>
          <w:b w:val="0"/>
          <w:bCs/>
          <w:sz w:val="28"/>
          <w:szCs w:val="28"/>
          <w:lang w:val="en-US" w:eastAsia="zh-CN"/>
        </w:rPr>
      </w:pPr>
      <w:r>
        <w:rPr>
          <w:rFonts w:hint="eastAsia"/>
          <w:b w:val="0"/>
          <w:bCs/>
          <w:sz w:val="28"/>
          <w:szCs w:val="28"/>
          <w:lang w:val="en-US" w:eastAsia="zh-CN"/>
        </w:rPr>
        <w:t>8</w:t>
      </w:r>
      <w:bookmarkStart w:id="0" w:name="_GoBack"/>
      <w:bookmarkEnd w:id="0"/>
      <w:r>
        <w:rPr>
          <w:rFonts w:hint="eastAsia"/>
          <w:b w:val="0"/>
          <w:bCs/>
          <w:sz w:val="28"/>
          <w:szCs w:val="28"/>
          <w:lang w:val="en-US" w:eastAsia="zh-CN"/>
        </w:rPr>
        <w:t>、“芸阁小学水房及卫生间”拆除工程中明确需拆除天棚，但为说明需拆除的天棚做法，本清单考虑为原顶天棚漆拆除至抹灰面。</w:t>
      </w:r>
    </w:p>
    <w:p w14:paraId="13C21227">
      <w:pPr>
        <w:keepNext w:val="0"/>
        <w:keepLines w:val="0"/>
        <w:pageBreakBefore w:val="0"/>
        <w:widowControl w:val="0"/>
        <w:kinsoku/>
        <w:wordWrap/>
        <w:overflowPunct/>
        <w:topLinePunct w:val="0"/>
        <w:autoSpaceDE/>
        <w:autoSpaceDN/>
        <w:bidi w:val="0"/>
        <w:adjustRightInd w:val="0"/>
        <w:snapToGrid w:val="0"/>
        <w:spacing w:line="288" w:lineRule="auto"/>
        <w:ind w:firstLine="840" w:firstLineChars="300"/>
        <w:textAlignment w:val="auto"/>
        <w:rPr>
          <w:rFonts w:hint="default"/>
          <w:b w:val="0"/>
          <w:bCs/>
          <w:sz w:val="28"/>
          <w:szCs w:val="28"/>
          <w:lang w:val="en-US" w:eastAsia="zh-CN"/>
        </w:rPr>
      </w:pPr>
    </w:p>
    <w:p w14:paraId="36C00C7E">
      <w:pPr>
        <w:keepNext w:val="0"/>
        <w:keepLines w:val="0"/>
        <w:pageBreakBefore w:val="0"/>
        <w:widowControl w:val="0"/>
        <w:kinsoku/>
        <w:wordWrap/>
        <w:overflowPunct/>
        <w:topLinePunct w:val="0"/>
        <w:autoSpaceDE/>
        <w:autoSpaceDN/>
        <w:bidi w:val="0"/>
        <w:adjustRightInd w:val="0"/>
        <w:snapToGrid w:val="0"/>
        <w:spacing w:line="288" w:lineRule="auto"/>
        <w:ind w:firstLine="560" w:firstLineChars="200"/>
        <w:textAlignment w:val="auto"/>
        <w:rPr>
          <w:rFonts w:hint="eastAsia" w:cs="Times New Roman"/>
          <w:b w:val="0"/>
          <w:bCs/>
          <w:sz w:val="28"/>
          <w:szCs w:val="28"/>
          <w:lang w:val="en-US" w:eastAsia="zh-CN"/>
        </w:rPr>
      </w:pPr>
      <w:r>
        <w:rPr>
          <w:rFonts w:hint="eastAsia" w:cs="Times New Roman"/>
          <w:b w:val="0"/>
          <w:bCs/>
          <w:sz w:val="28"/>
          <w:szCs w:val="28"/>
          <w:lang w:val="en-US" w:eastAsia="zh-CN"/>
        </w:rPr>
        <w:t>（三）编制使用软件</w:t>
      </w:r>
    </w:p>
    <w:p w14:paraId="295D5904">
      <w:pPr>
        <w:keepNext w:val="0"/>
        <w:keepLines w:val="0"/>
        <w:pageBreakBefore w:val="0"/>
        <w:widowControl w:val="0"/>
        <w:kinsoku/>
        <w:wordWrap/>
        <w:overflowPunct/>
        <w:topLinePunct w:val="0"/>
        <w:autoSpaceDE/>
        <w:autoSpaceDN/>
        <w:bidi w:val="0"/>
        <w:adjustRightInd w:val="0"/>
        <w:snapToGrid w:val="0"/>
        <w:spacing w:line="288" w:lineRule="auto"/>
        <w:ind w:firstLine="560" w:firstLineChars="200"/>
        <w:textAlignment w:val="auto"/>
        <w:rPr>
          <w:rFonts w:hint="eastAsia" w:ascii="宋体" w:hAnsi="宋体" w:cs="宋体"/>
          <w:sz w:val="28"/>
          <w:szCs w:val="28"/>
          <w:lang w:val="en-US" w:eastAsia="zh-CN"/>
        </w:rPr>
      </w:pPr>
      <w:r>
        <w:rPr>
          <w:rFonts w:hint="eastAsia" w:ascii="宋体" w:hAnsi="宋体" w:cs="宋体"/>
          <w:sz w:val="28"/>
          <w:szCs w:val="28"/>
          <w:lang w:val="en-US" w:eastAsia="zh-CN"/>
        </w:rPr>
        <w:t>广联达云计价平台GCCP7.0（版本号：7.5000.32.1）。</w:t>
      </w:r>
    </w:p>
    <w:p w14:paraId="4A225897">
      <w:pPr>
        <w:keepNext w:val="0"/>
        <w:keepLines w:val="0"/>
        <w:pageBreakBefore w:val="0"/>
        <w:widowControl w:val="0"/>
        <w:kinsoku/>
        <w:wordWrap/>
        <w:overflowPunct/>
        <w:topLinePunct w:val="0"/>
        <w:autoSpaceDE/>
        <w:autoSpaceDN/>
        <w:bidi w:val="0"/>
        <w:adjustRightInd w:val="0"/>
        <w:snapToGrid w:val="0"/>
        <w:spacing w:line="288" w:lineRule="auto"/>
        <w:ind w:firstLine="560" w:firstLineChars="200"/>
        <w:textAlignment w:val="auto"/>
        <w:rPr>
          <w:rFonts w:hint="default" w:ascii="宋体" w:hAnsi="宋体" w:cs="宋体"/>
          <w:sz w:val="28"/>
          <w:szCs w:val="28"/>
          <w:lang w:val="en-US" w:eastAsia="zh-CN"/>
        </w:rPr>
      </w:pPr>
      <w:r>
        <w:rPr>
          <w:rFonts w:hint="eastAsia" w:ascii="宋体" w:hAnsi="宋体" w:cs="宋体"/>
          <w:sz w:val="28"/>
          <w:szCs w:val="28"/>
          <w:lang w:val="en-US" w:eastAsia="zh-CN"/>
        </w:rPr>
        <w:t>定额库版本号：7.2.32.375</w:t>
      </w:r>
    </w:p>
    <w:p w14:paraId="7B23ECA3">
      <w:pPr>
        <w:keepNext w:val="0"/>
        <w:keepLines w:val="0"/>
        <w:pageBreakBefore w:val="0"/>
        <w:widowControl w:val="0"/>
        <w:kinsoku/>
        <w:wordWrap/>
        <w:overflowPunct/>
        <w:topLinePunct w:val="0"/>
        <w:autoSpaceDE/>
        <w:autoSpaceDN/>
        <w:bidi w:val="0"/>
        <w:adjustRightInd w:val="0"/>
        <w:snapToGrid w:val="0"/>
        <w:spacing w:line="288" w:lineRule="auto"/>
        <w:ind w:firstLine="560" w:firstLineChars="200"/>
        <w:textAlignment w:val="auto"/>
        <w:rPr>
          <w:rFonts w:hint="default" w:ascii="宋体" w:hAnsi="宋体" w:cs="宋体"/>
          <w:sz w:val="28"/>
          <w:szCs w:val="28"/>
          <w:lang w:val="en-US" w:eastAsia="zh-CN"/>
        </w:rPr>
      </w:pPr>
    </w:p>
    <w:p w14:paraId="4BDEBBED">
      <w:pPr>
        <w:keepNext w:val="0"/>
        <w:keepLines w:val="0"/>
        <w:pageBreakBefore w:val="0"/>
        <w:widowControl w:val="0"/>
        <w:kinsoku/>
        <w:wordWrap/>
        <w:overflowPunct/>
        <w:topLinePunct w:val="0"/>
        <w:autoSpaceDE/>
        <w:autoSpaceDN/>
        <w:bidi w:val="0"/>
        <w:adjustRightInd w:val="0"/>
        <w:snapToGrid w:val="0"/>
        <w:spacing w:line="288" w:lineRule="auto"/>
        <w:ind w:firstLine="560" w:firstLineChars="200"/>
        <w:textAlignment w:val="auto"/>
        <w:rPr>
          <w:rFonts w:hint="eastAsia" w:ascii="宋体" w:hAnsi="宋体" w:cs="宋体"/>
          <w:sz w:val="28"/>
          <w:szCs w:val="28"/>
          <w:lang w:val="en-US" w:eastAsia="zh-CN"/>
        </w:rPr>
      </w:pPr>
    </w:p>
    <w:p w14:paraId="29F1B2C0">
      <w:pPr>
        <w:keepNext w:val="0"/>
        <w:keepLines w:val="0"/>
        <w:pageBreakBefore w:val="0"/>
        <w:widowControl w:val="0"/>
        <w:kinsoku/>
        <w:wordWrap/>
        <w:overflowPunct/>
        <w:topLinePunct w:val="0"/>
        <w:autoSpaceDE/>
        <w:autoSpaceDN/>
        <w:bidi w:val="0"/>
        <w:adjustRightInd w:val="0"/>
        <w:snapToGrid w:val="0"/>
        <w:spacing w:line="288" w:lineRule="auto"/>
        <w:textAlignment w:val="auto"/>
        <w:rPr>
          <w:rFonts w:hint="eastAsia" w:ascii="宋体" w:hAnsi="宋体" w:cs="宋体"/>
          <w:sz w:val="28"/>
          <w:szCs w:val="28"/>
          <w:lang w:val="en-US" w:eastAsia="zh-CN"/>
        </w:rPr>
      </w:pP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BE34C8">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0CD668">
                          <w:pPr>
                            <w:pStyle w:val="3"/>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440CD668">
                    <w:pPr>
                      <w:pStyle w:val="3"/>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Y0YzcwNWMyYzlkODExYzFmODM5ZTJlYTEzMmJiYTgifQ=="/>
  </w:docVars>
  <w:rsids>
    <w:rsidRoot w:val="00C4097B"/>
    <w:rsid w:val="000144BF"/>
    <w:rsid w:val="00023D24"/>
    <w:rsid w:val="000B4355"/>
    <w:rsid w:val="000E1433"/>
    <w:rsid w:val="00102ED1"/>
    <w:rsid w:val="00121A07"/>
    <w:rsid w:val="00182D74"/>
    <w:rsid w:val="00184C8D"/>
    <w:rsid w:val="001B645D"/>
    <w:rsid w:val="001F4DEF"/>
    <w:rsid w:val="00200F94"/>
    <w:rsid w:val="00217347"/>
    <w:rsid w:val="002218A5"/>
    <w:rsid w:val="002233F4"/>
    <w:rsid w:val="002410FF"/>
    <w:rsid w:val="00243391"/>
    <w:rsid w:val="0025199C"/>
    <w:rsid w:val="002C149F"/>
    <w:rsid w:val="002F676D"/>
    <w:rsid w:val="00301D21"/>
    <w:rsid w:val="00335A84"/>
    <w:rsid w:val="00366711"/>
    <w:rsid w:val="0039142B"/>
    <w:rsid w:val="003B39FA"/>
    <w:rsid w:val="003B7F32"/>
    <w:rsid w:val="003C288C"/>
    <w:rsid w:val="003F1748"/>
    <w:rsid w:val="003F182E"/>
    <w:rsid w:val="00446020"/>
    <w:rsid w:val="00481F69"/>
    <w:rsid w:val="004B7944"/>
    <w:rsid w:val="00565358"/>
    <w:rsid w:val="0057560E"/>
    <w:rsid w:val="005B718A"/>
    <w:rsid w:val="005C418C"/>
    <w:rsid w:val="005D7F5F"/>
    <w:rsid w:val="005F02DC"/>
    <w:rsid w:val="00721E3D"/>
    <w:rsid w:val="00725B43"/>
    <w:rsid w:val="00764957"/>
    <w:rsid w:val="0077202C"/>
    <w:rsid w:val="007734CB"/>
    <w:rsid w:val="00786B04"/>
    <w:rsid w:val="007B726F"/>
    <w:rsid w:val="00801C8C"/>
    <w:rsid w:val="008235D4"/>
    <w:rsid w:val="00841E56"/>
    <w:rsid w:val="00864FF1"/>
    <w:rsid w:val="008D6282"/>
    <w:rsid w:val="00933926"/>
    <w:rsid w:val="00945904"/>
    <w:rsid w:val="0095091E"/>
    <w:rsid w:val="009575AD"/>
    <w:rsid w:val="009744B9"/>
    <w:rsid w:val="009A196D"/>
    <w:rsid w:val="009C3338"/>
    <w:rsid w:val="00AA2CDE"/>
    <w:rsid w:val="00B32E77"/>
    <w:rsid w:val="00B37258"/>
    <w:rsid w:val="00BC2307"/>
    <w:rsid w:val="00BE1248"/>
    <w:rsid w:val="00C4097B"/>
    <w:rsid w:val="00C4312C"/>
    <w:rsid w:val="00C653B7"/>
    <w:rsid w:val="00CE03FE"/>
    <w:rsid w:val="00CE6BF8"/>
    <w:rsid w:val="00D30EEC"/>
    <w:rsid w:val="00D75ADE"/>
    <w:rsid w:val="00E10F97"/>
    <w:rsid w:val="00E1766D"/>
    <w:rsid w:val="00E45B9D"/>
    <w:rsid w:val="00E529BF"/>
    <w:rsid w:val="00E540A2"/>
    <w:rsid w:val="00E70BEC"/>
    <w:rsid w:val="00EA03C8"/>
    <w:rsid w:val="00EC1184"/>
    <w:rsid w:val="00EF48FC"/>
    <w:rsid w:val="00F078A7"/>
    <w:rsid w:val="00F22B3E"/>
    <w:rsid w:val="00F57062"/>
    <w:rsid w:val="00FC22A4"/>
    <w:rsid w:val="010F7A11"/>
    <w:rsid w:val="02DB5043"/>
    <w:rsid w:val="04191564"/>
    <w:rsid w:val="07CC7F82"/>
    <w:rsid w:val="0AB47874"/>
    <w:rsid w:val="0BA51436"/>
    <w:rsid w:val="0BCC663C"/>
    <w:rsid w:val="0C97597A"/>
    <w:rsid w:val="0DC47D5F"/>
    <w:rsid w:val="12AF2AD8"/>
    <w:rsid w:val="13A112D2"/>
    <w:rsid w:val="181A22B9"/>
    <w:rsid w:val="1B2A3B19"/>
    <w:rsid w:val="1EB95759"/>
    <w:rsid w:val="235C4C8B"/>
    <w:rsid w:val="23B5533C"/>
    <w:rsid w:val="245E34E5"/>
    <w:rsid w:val="2AFD7888"/>
    <w:rsid w:val="2B331A0D"/>
    <w:rsid w:val="2DA47A7E"/>
    <w:rsid w:val="2F6D11C2"/>
    <w:rsid w:val="315530E2"/>
    <w:rsid w:val="32CB12AB"/>
    <w:rsid w:val="35E875E7"/>
    <w:rsid w:val="3C2465E2"/>
    <w:rsid w:val="3C674F7E"/>
    <w:rsid w:val="3E4D7B1D"/>
    <w:rsid w:val="401D0D73"/>
    <w:rsid w:val="4302534A"/>
    <w:rsid w:val="44544626"/>
    <w:rsid w:val="47C1757A"/>
    <w:rsid w:val="4C983CDF"/>
    <w:rsid w:val="532D0179"/>
    <w:rsid w:val="56515DE6"/>
    <w:rsid w:val="592B05B9"/>
    <w:rsid w:val="5C0F36AC"/>
    <w:rsid w:val="5DA64494"/>
    <w:rsid w:val="60F269B9"/>
    <w:rsid w:val="65646ACD"/>
    <w:rsid w:val="661F6D08"/>
    <w:rsid w:val="7026401C"/>
    <w:rsid w:val="7FD416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2"/>
    <w:autoRedefine/>
    <w:qFormat/>
    <w:uiPriority w:val="1"/>
    <w:pPr>
      <w:autoSpaceDE w:val="0"/>
      <w:autoSpaceDN w:val="0"/>
      <w:ind w:left="394"/>
      <w:jc w:val="left"/>
    </w:pPr>
    <w:rPr>
      <w:rFonts w:ascii="仿宋" w:hAnsi="仿宋" w:eastAsia="仿宋" w:cs="仿宋"/>
      <w:kern w:val="0"/>
      <w:sz w:val="28"/>
      <w:szCs w:val="28"/>
      <w:lang w:val="zh-CN" w:bidi="zh-CN"/>
    </w:rPr>
  </w:style>
  <w:style w:type="paragraph" w:styleId="3">
    <w:name w:val="footer"/>
    <w:basedOn w:val="1"/>
    <w:link w:val="11"/>
    <w:autoRedefine/>
    <w:unhideWhenUsed/>
    <w:qFormat/>
    <w:uiPriority w:val="99"/>
    <w:pPr>
      <w:tabs>
        <w:tab w:val="center" w:pos="4153"/>
        <w:tab w:val="right" w:pos="8306"/>
      </w:tabs>
      <w:snapToGrid w:val="0"/>
      <w:jc w:val="left"/>
    </w:pPr>
    <w:rPr>
      <w:sz w:val="18"/>
      <w:szCs w:val="18"/>
    </w:rPr>
  </w:style>
  <w:style w:type="paragraph" w:styleId="4">
    <w:name w:val="header"/>
    <w:basedOn w:val="1"/>
    <w:link w:val="1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kern w:val="0"/>
      <w:sz w:val="24"/>
    </w:rPr>
  </w:style>
  <w:style w:type="paragraph" w:customStyle="1" w:styleId="8">
    <w:name w:val="Default"/>
    <w:autoRedefine/>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styleId="9">
    <w:name w:val="List Paragraph"/>
    <w:basedOn w:val="1"/>
    <w:qFormat/>
    <w:uiPriority w:val="34"/>
    <w:pPr>
      <w:ind w:firstLine="420" w:firstLineChars="200"/>
    </w:pPr>
  </w:style>
  <w:style w:type="character" w:customStyle="1" w:styleId="10">
    <w:name w:val="页眉 Char"/>
    <w:basedOn w:val="7"/>
    <w:link w:val="4"/>
    <w:autoRedefine/>
    <w:qFormat/>
    <w:uiPriority w:val="99"/>
    <w:rPr>
      <w:rFonts w:ascii="Calibri" w:hAnsi="Calibri" w:eastAsia="宋体" w:cs="Times New Roman"/>
      <w:sz w:val="18"/>
      <w:szCs w:val="18"/>
    </w:rPr>
  </w:style>
  <w:style w:type="character" w:customStyle="1" w:styleId="11">
    <w:name w:val="页脚 Char"/>
    <w:basedOn w:val="7"/>
    <w:link w:val="3"/>
    <w:autoRedefine/>
    <w:qFormat/>
    <w:uiPriority w:val="99"/>
    <w:rPr>
      <w:rFonts w:ascii="Calibri" w:hAnsi="Calibri" w:eastAsia="宋体" w:cs="Times New Roman"/>
      <w:sz w:val="18"/>
      <w:szCs w:val="18"/>
    </w:rPr>
  </w:style>
  <w:style w:type="character" w:customStyle="1" w:styleId="12">
    <w:name w:val="正文文本 Char"/>
    <w:basedOn w:val="7"/>
    <w:link w:val="2"/>
    <w:autoRedefine/>
    <w:qFormat/>
    <w:uiPriority w:val="1"/>
    <w:rPr>
      <w:rFonts w:ascii="仿宋" w:hAnsi="仿宋" w:eastAsia="仿宋" w:cs="仿宋"/>
      <w:kern w:val="0"/>
      <w:sz w:val="28"/>
      <w:szCs w:val="28"/>
      <w:lang w:val="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1606</Words>
  <Characters>1715</Characters>
  <Lines>13</Lines>
  <Paragraphs>3</Paragraphs>
  <TotalTime>3</TotalTime>
  <ScaleCrop>false</ScaleCrop>
  <LinksUpToDate>false</LinksUpToDate>
  <CharactersWithSpaces>1715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2021-05-13T06:04:00Z</dcterms:created>
  <dc:creator>xb21cn</dc:creator>
  <cp:lastModifiedBy>依依</cp:lastModifiedBy>
  <dcterms:modified xsi:type="dcterms:W3CDTF">2026-03-17T07:07:21Z</dcterms:modified>
  <cp:revision>158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4553E6A76066477F961B5CEAB52412A9</vt:lpwstr>
  </property>
  <property fmtid="{D5CDD505-2E9C-101B-9397-08002B2CF9AE}" pid="4" name="KSOTemplateDocerSaveRecord">
    <vt:lpwstr>eyJoZGlkIjoiMWY0YzcwNWMyYzlkODExYzFmODM5ZTJlYTEzMmJiYTgiLCJ1c2VySWQiOiI1MDYxODY2OTcifQ==</vt:lpwstr>
  </property>
</Properties>
</file>