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EC1506">
      <w:pPr>
        <w:jc w:val="left"/>
        <w:rPr>
          <w:rFonts w:hint="eastAsia" w:ascii="宋体" w:hAnsi="宋体" w:eastAsia="宋体" w:cs="宋体"/>
          <w:b/>
          <w:bCs/>
          <w:color w:val="auto"/>
          <w:sz w:val="36"/>
          <w:szCs w:val="44"/>
          <w:lang w:eastAsia="zh-CN"/>
        </w:rPr>
      </w:pPr>
      <w:r>
        <w:rPr>
          <w:rFonts w:hint="eastAsia" w:ascii="宋体" w:hAnsi="宋体" w:eastAsia="宋体" w:cs="宋体"/>
          <w:b/>
          <w:bCs/>
          <w:color w:val="auto"/>
          <w:sz w:val="28"/>
          <w:szCs w:val="28"/>
        </w:rPr>
        <w:t>项目编号：</w:t>
      </w:r>
      <w:r>
        <w:rPr>
          <w:rFonts w:hint="eastAsia" w:ascii="宋体" w:hAnsi="宋体" w:cs="宋体"/>
          <w:b/>
          <w:bCs/>
          <w:color w:val="auto"/>
          <w:sz w:val="28"/>
          <w:szCs w:val="28"/>
          <w:lang w:eastAsia="zh-CN"/>
        </w:rPr>
        <w:t>SXHYZB-2610.1B1</w:t>
      </w:r>
    </w:p>
    <w:p w14:paraId="3CB098F8">
      <w:pPr>
        <w:spacing w:line="240" w:lineRule="auto"/>
        <w:rPr>
          <w:rFonts w:hint="eastAsia" w:ascii="宋体" w:hAnsi="宋体" w:eastAsia="宋体" w:cs="宋体"/>
          <w:b/>
          <w:bCs/>
          <w:color w:val="auto"/>
          <w:sz w:val="28"/>
          <w:szCs w:val="28"/>
        </w:rPr>
      </w:pPr>
    </w:p>
    <w:p w14:paraId="726D606E">
      <w:pPr>
        <w:rPr>
          <w:rFonts w:hint="eastAsia" w:ascii="宋体" w:hAnsi="宋体" w:eastAsia="宋体" w:cs="宋体"/>
          <w:color w:val="auto"/>
        </w:rPr>
      </w:pPr>
    </w:p>
    <w:p w14:paraId="40D1B9E5">
      <w:pPr>
        <w:pStyle w:val="12"/>
        <w:spacing w:line="360" w:lineRule="auto"/>
        <w:ind w:left="0" w:leftChars="0"/>
        <w:jc w:val="center"/>
        <w:rPr>
          <w:rFonts w:hint="eastAsia" w:ascii="宋体" w:hAnsi="宋体" w:eastAsia="宋体" w:cs="宋体"/>
          <w:b/>
          <w:bCs/>
          <w:color w:val="auto"/>
          <w:sz w:val="56"/>
          <w:szCs w:val="56"/>
          <w:lang w:eastAsia="zh-CN"/>
        </w:rPr>
      </w:pPr>
      <w:r>
        <w:rPr>
          <w:rFonts w:hint="eastAsia" w:ascii="宋体" w:hAnsi="宋体" w:eastAsia="宋体" w:cs="宋体"/>
          <w:b/>
          <w:bCs/>
          <w:color w:val="auto"/>
          <w:sz w:val="56"/>
          <w:szCs w:val="56"/>
          <w:lang w:eastAsia="zh-CN"/>
        </w:rPr>
        <w:t>延安市公安局市县两级110统一接警</w:t>
      </w:r>
    </w:p>
    <w:p w14:paraId="192F7321">
      <w:pPr>
        <w:pStyle w:val="12"/>
        <w:spacing w:line="360" w:lineRule="auto"/>
        <w:ind w:left="0" w:leftChars="0"/>
        <w:jc w:val="center"/>
        <w:rPr>
          <w:rFonts w:hint="eastAsia" w:ascii="宋体" w:hAnsi="宋体" w:eastAsia="宋体" w:cs="宋体"/>
          <w:b/>
          <w:bCs/>
          <w:color w:val="auto"/>
          <w:sz w:val="56"/>
          <w:szCs w:val="56"/>
          <w:lang w:eastAsia="zh-CN"/>
        </w:rPr>
      </w:pPr>
      <w:r>
        <w:rPr>
          <w:rFonts w:hint="eastAsia" w:ascii="宋体" w:hAnsi="宋体" w:eastAsia="宋体" w:cs="宋体"/>
          <w:b/>
          <w:bCs/>
          <w:color w:val="auto"/>
          <w:sz w:val="56"/>
          <w:szCs w:val="56"/>
          <w:lang w:eastAsia="zh-CN"/>
        </w:rPr>
        <w:t>运营维护服务项目</w:t>
      </w:r>
      <w:r>
        <w:rPr>
          <w:rFonts w:hint="eastAsia" w:ascii="宋体" w:hAnsi="宋体" w:cs="宋体"/>
          <w:b/>
          <w:bCs/>
          <w:color w:val="auto"/>
          <w:sz w:val="56"/>
          <w:szCs w:val="56"/>
          <w:lang w:eastAsia="zh-CN"/>
        </w:rPr>
        <w:t>（</w:t>
      </w:r>
      <w:r>
        <w:rPr>
          <w:rFonts w:hint="eastAsia" w:ascii="宋体" w:hAnsi="宋体" w:cs="宋体"/>
          <w:b/>
          <w:bCs/>
          <w:color w:val="auto"/>
          <w:sz w:val="56"/>
          <w:szCs w:val="56"/>
          <w:lang w:val="en-US" w:eastAsia="zh-CN"/>
        </w:rPr>
        <w:t>二次</w:t>
      </w:r>
      <w:r>
        <w:rPr>
          <w:rFonts w:hint="eastAsia" w:ascii="宋体" w:hAnsi="宋体" w:cs="宋体"/>
          <w:b/>
          <w:bCs/>
          <w:color w:val="auto"/>
          <w:sz w:val="56"/>
          <w:szCs w:val="56"/>
          <w:lang w:eastAsia="zh-CN"/>
        </w:rPr>
        <w:t>）</w:t>
      </w:r>
    </w:p>
    <w:p w14:paraId="6E14B0E0">
      <w:pPr>
        <w:pStyle w:val="12"/>
        <w:ind w:left="0" w:leftChars="0"/>
        <w:rPr>
          <w:rFonts w:hint="eastAsia" w:ascii="宋体" w:hAnsi="宋体" w:eastAsia="宋体" w:cs="宋体"/>
          <w:color w:val="auto"/>
        </w:rPr>
      </w:pPr>
    </w:p>
    <w:p w14:paraId="0EDA33A7">
      <w:pPr>
        <w:rPr>
          <w:rFonts w:hint="eastAsia" w:ascii="宋体" w:hAnsi="宋体" w:eastAsia="宋体" w:cs="宋体"/>
          <w:color w:val="auto"/>
        </w:rPr>
      </w:pPr>
    </w:p>
    <w:p w14:paraId="49DCF95C">
      <w:pPr>
        <w:rPr>
          <w:rFonts w:hint="eastAsia" w:ascii="宋体" w:hAnsi="宋体" w:eastAsia="宋体" w:cs="宋体"/>
          <w:color w:val="auto"/>
        </w:rPr>
      </w:pPr>
    </w:p>
    <w:p w14:paraId="30080579">
      <w:pPr>
        <w:rPr>
          <w:rFonts w:hint="eastAsia" w:ascii="宋体" w:hAnsi="宋体" w:eastAsia="宋体" w:cs="宋体"/>
          <w:color w:val="auto"/>
        </w:rPr>
      </w:pPr>
    </w:p>
    <w:p w14:paraId="060C1392">
      <w:pPr>
        <w:rPr>
          <w:rFonts w:hint="eastAsia" w:ascii="宋体" w:hAnsi="宋体" w:eastAsia="宋体" w:cs="宋体"/>
          <w:color w:val="auto"/>
        </w:rPr>
      </w:pPr>
    </w:p>
    <w:p w14:paraId="73955FEF">
      <w:pPr>
        <w:jc w:val="center"/>
        <w:rPr>
          <w:rFonts w:hint="eastAsia" w:ascii="宋体" w:hAnsi="宋体" w:eastAsia="宋体" w:cs="宋体"/>
          <w:b/>
          <w:color w:val="auto"/>
          <w:sz w:val="72"/>
          <w:szCs w:val="72"/>
        </w:rPr>
      </w:pPr>
      <w:r>
        <w:rPr>
          <w:rFonts w:hint="eastAsia" w:ascii="宋体" w:hAnsi="宋体" w:eastAsia="宋体" w:cs="宋体"/>
          <w:b/>
          <w:color w:val="auto"/>
          <w:sz w:val="72"/>
          <w:szCs w:val="72"/>
        </w:rPr>
        <w:t>招标文件</w:t>
      </w:r>
    </w:p>
    <w:p w14:paraId="413120C2">
      <w:pPr>
        <w:jc w:val="center"/>
        <w:rPr>
          <w:rFonts w:hint="eastAsia" w:ascii="宋体" w:hAnsi="宋体" w:eastAsia="宋体" w:cs="宋体"/>
          <w:b/>
          <w:color w:val="auto"/>
          <w:sz w:val="72"/>
          <w:szCs w:val="72"/>
        </w:rPr>
      </w:pPr>
    </w:p>
    <w:p w14:paraId="5E1D8EE6">
      <w:pPr>
        <w:rPr>
          <w:rFonts w:hint="eastAsia" w:ascii="宋体" w:hAnsi="宋体" w:eastAsia="宋体" w:cs="宋体"/>
          <w:color w:val="auto"/>
        </w:rPr>
      </w:pPr>
    </w:p>
    <w:p w14:paraId="4D0B6674">
      <w:pPr>
        <w:pStyle w:val="12"/>
        <w:ind w:left="0" w:leftChars="0"/>
        <w:rPr>
          <w:rFonts w:hint="eastAsia" w:ascii="宋体" w:hAnsi="宋体" w:eastAsia="宋体" w:cs="宋体"/>
          <w:color w:val="auto"/>
        </w:rPr>
      </w:pPr>
    </w:p>
    <w:p w14:paraId="6F6C6E5D">
      <w:pPr>
        <w:rPr>
          <w:rFonts w:hint="eastAsia" w:ascii="宋体" w:hAnsi="宋体" w:eastAsia="宋体" w:cs="宋体"/>
          <w:color w:val="auto"/>
        </w:rPr>
      </w:pPr>
    </w:p>
    <w:p w14:paraId="14EB8F37">
      <w:pPr>
        <w:rPr>
          <w:rFonts w:hint="eastAsia" w:ascii="宋体" w:hAnsi="宋体" w:eastAsia="宋体" w:cs="宋体"/>
          <w:color w:val="auto"/>
        </w:rPr>
      </w:pPr>
    </w:p>
    <w:p w14:paraId="11132D23">
      <w:pPr>
        <w:rPr>
          <w:rFonts w:hint="eastAsia" w:ascii="宋体" w:hAnsi="宋体" w:eastAsia="宋体" w:cs="宋体"/>
          <w:color w:val="auto"/>
        </w:rPr>
      </w:pPr>
    </w:p>
    <w:p w14:paraId="5C5ED1EF">
      <w:pPr>
        <w:pStyle w:val="12"/>
        <w:spacing w:after="0" w:line="240" w:lineRule="auto"/>
        <w:ind w:left="0" w:leftChars="0"/>
        <w:rPr>
          <w:rFonts w:hint="eastAsia" w:ascii="宋体" w:hAnsi="宋体" w:eastAsia="宋体" w:cs="宋体"/>
          <w:color w:val="auto"/>
        </w:rPr>
      </w:pPr>
    </w:p>
    <w:p w14:paraId="4008B057">
      <w:pPr>
        <w:pStyle w:val="12"/>
        <w:spacing w:after="0" w:line="240" w:lineRule="auto"/>
        <w:ind w:left="0" w:leftChars="0"/>
        <w:rPr>
          <w:rFonts w:hint="eastAsia" w:ascii="宋体" w:hAnsi="宋体" w:eastAsia="宋体" w:cs="宋体"/>
          <w:color w:val="auto"/>
        </w:rPr>
      </w:pPr>
    </w:p>
    <w:p w14:paraId="41F7BA06">
      <w:pPr>
        <w:pStyle w:val="12"/>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rPr>
        <w:t>采</w:t>
      </w:r>
      <w:r>
        <w:rPr>
          <w:rFonts w:hint="eastAsia" w:ascii="宋体" w:hAnsi="宋体" w:eastAsia="宋体" w:cs="宋体"/>
          <w:b/>
          <w:bCs/>
          <w:color w:val="auto"/>
          <w:sz w:val="36"/>
          <w:szCs w:val="36"/>
          <w:lang w:val="en-US" w:eastAsia="zh-CN"/>
        </w:rPr>
        <w:t xml:space="preserve">   </w:t>
      </w:r>
      <w:r>
        <w:rPr>
          <w:rFonts w:hint="eastAsia" w:ascii="宋体" w:hAnsi="宋体" w:eastAsia="宋体" w:cs="宋体"/>
          <w:b/>
          <w:bCs/>
          <w:color w:val="auto"/>
          <w:sz w:val="36"/>
          <w:szCs w:val="36"/>
        </w:rPr>
        <w:t>购</w:t>
      </w:r>
      <w:r>
        <w:rPr>
          <w:rFonts w:hint="eastAsia" w:ascii="宋体" w:hAnsi="宋体" w:eastAsia="宋体" w:cs="宋体"/>
          <w:b/>
          <w:bCs/>
          <w:color w:val="auto"/>
          <w:sz w:val="36"/>
          <w:szCs w:val="36"/>
          <w:lang w:val="en-US" w:eastAsia="zh-CN"/>
        </w:rPr>
        <w:t xml:space="preserve">   </w:t>
      </w:r>
      <w:r>
        <w:rPr>
          <w:rFonts w:hint="eastAsia" w:ascii="宋体" w:hAnsi="宋体" w:eastAsia="宋体" w:cs="宋体"/>
          <w:b/>
          <w:bCs/>
          <w:color w:val="auto"/>
          <w:sz w:val="36"/>
          <w:szCs w:val="36"/>
        </w:rPr>
        <w:t>人：</w:t>
      </w:r>
      <w:r>
        <w:rPr>
          <w:rFonts w:hint="eastAsia" w:ascii="宋体" w:hAnsi="宋体" w:eastAsia="宋体" w:cs="宋体"/>
          <w:b/>
          <w:bCs/>
          <w:color w:val="auto"/>
          <w:sz w:val="36"/>
          <w:szCs w:val="36"/>
          <w:lang w:eastAsia="zh-CN"/>
        </w:rPr>
        <w:t>延安市公安局</w:t>
      </w:r>
    </w:p>
    <w:p w14:paraId="0701D885">
      <w:pPr>
        <w:pStyle w:val="12"/>
        <w:rPr>
          <w:rFonts w:hint="eastAsia" w:ascii="宋体" w:hAnsi="宋体" w:eastAsia="宋体" w:cs="宋体"/>
          <w:b/>
          <w:bCs/>
          <w:color w:val="auto"/>
          <w:sz w:val="36"/>
          <w:szCs w:val="36"/>
        </w:rPr>
      </w:pPr>
      <w:r>
        <w:rPr>
          <w:rFonts w:hint="eastAsia" w:ascii="宋体" w:hAnsi="宋体" w:eastAsia="宋体" w:cs="宋体"/>
          <w:b/>
          <w:bCs/>
          <w:color w:val="auto"/>
          <w:sz w:val="36"/>
          <w:szCs w:val="36"/>
        </w:rPr>
        <w:t>采购代理机构：</w:t>
      </w:r>
      <w:r>
        <w:rPr>
          <w:rFonts w:hint="eastAsia" w:ascii="宋体" w:hAnsi="宋体" w:eastAsia="宋体" w:cs="宋体"/>
          <w:b/>
          <w:bCs/>
          <w:color w:val="auto"/>
          <w:sz w:val="36"/>
          <w:szCs w:val="36"/>
          <w:lang w:eastAsia="zh-CN"/>
        </w:rPr>
        <w:t>陕西宏扬项目管理有限公司</w:t>
      </w:r>
      <w:r>
        <w:rPr>
          <w:rFonts w:hint="eastAsia" w:ascii="宋体" w:hAnsi="宋体" w:eastAsia="宋体" w:cs="宋体"/>
          <w:b/>
          <w:bCs/>
          <w:color w:val="auto"/>
          <w:sz w:val="36"/>
          <w:szCs w:val="36"/>
        </w:rPr>
        <w:t xml:space="preserve"> </w:t>
      </w:r>
    </w:p>
    <w:p w14:paraId="484F3DB8">
      <w:pPr>
        <w:jc w:val="center"/>
        <w:rPr>
          <w:rFonts w:hint="eastAsia" w:ascii="宋体" w:hAnsi="宋体" w:eastAsia="宋体" w:cs="宋体"/>
          <w:b/>
          <w:bCs/>
          <w:color w:val="auto"/>
          <w:sz w:val="36"/>
          <w:szCs w:val="36"/>
        </w:rPr>
      </w:pPr>
      <w:r>
        <w:rPr>
          <w:rFonts w:hint="eastAsia" w:ascii="宋体" w:hAnsi="宋体" w:eastAsia="宋体" w:cs="宋体"/>
          <w:b/>
          <w:color w:val="auto"/>
          <w:sz w:val="36"/>
          <w:szCs w:val="36"/>
        </w:rPr>
        <w:t>二〇二</w:t>
      </w:r>
      <w:r>
        <w:rPr>
          <w:rFonts w:hint="eastAsia" w:ascii="宋体" w:hAnsi="宋体" w:eastAsia="宋体" w:cs="宋体"/>
          <w:b/>
          <w:color w:val="auto"/>
          <w:sz w:val="36"/>
          <w:szCs w:val="36"/>
          <w:lang w:val="en-US" w:eastAsia="zh-CN"/>
        </w:rPr>
        <w:t>六</w:t>
      </w:r>
      <w:r>
        <w:rPr>
          <w:rFonts w:hint="eastAsia" w:ascii="宋体" w:hAnsi="宋体" w:eastAsia="宋体" w:cs="宋体"/>
          <w:b/>
          <w:color w:val="auto"/>
          <w:sz w:val="36"/>
          <w:szCs w:val="36"/>
        </w:rPr>
        <w:t>年</w:t>
      </w:r>
      <w:r>
        <w:rPr>
          <w:rFonts w:hint="eastAsia" w:ascii="宋体" w:hAnsi="宋体" w:cs="宋体"/>
          <w:b/>
          <w:color w:val="auto"/>
          <w:sz w:val="36"/>
          <w:szCs w:val="36"/>
          <w:lang w:val="en-US" w:eastAsia="zh-CN"/>
        </w:rPr>
        <w:t>八</w:t>
      </w:r>
      <w:r>
        <w:rPr>
          <w:rFonts w:hint="eastAsia" w:ascii="宋体" w:hAnsi="宋体" w:eastAsia="宋体" w:cs="宋体"/>
          <w:b/>
          <w:color w:val="auto"/>
          <w:sz w:val="36"/>
          <w:szCs w:val="36"/>
        </w:rPr>
        <w:t>月</w:t>
      </w:r>
    </w:p>
    <w:p w14:paraId="744A65F1">
      <w:pPr>
        <w:pStyle w:val="2"/>
        <w:rPr>
          <w:rFonts w:hint="eastAsia" w:ascii="宋体" w:hAnsi="宋体" w:eastAsia="宋体" w:cs="宋体"/>
          <w:color w:val="auto"/>
          <w:sz w:val="32"/>
          <w:szCs w:val="32"/>
        </w:rPr>
        <w:sectPr>
          <w:headerReference r:id="rId7" w:type="first"/>
          <w:footerReference r:id="rId9" w:type="first"/>
          <w:headerReference r:id="rId5" w:type="default"/>
          <w:headerReference r:id="rId6" w:type="even"/>
          <w:footerReference r:id="rId8" w:type="even"/>
          <w:pgSz w:w="11906" w:h="16838"/>
          <w:pgMar w:top="1418" w:right="986" w:bottom="1418" w:left="1440" w:header="851" w:footer="992" w:gutter="0"/>
          <w:pgNumType w:fmt="numberInDash" w:start="1"/>
          <w:cols w:space="720" w:num="1"/>
          <w:titlePg/>
          <w:docGrid w:linePitch="326" w:charSpace="0"/>
        </w:sectPr>
      </w:pPr>
    </w:p>
    <w:p w14:paraId="11F34BBE">
      <w:pPr>
        <w:pStyle w:val="2"/>
        <w:rPr>
          <w:rFonts w:hint="eastAsia" w:ascii="宋体" w:hAnsi="宋体" w:eastAsia="宋体" w:cs="宋体"/>
          <w:b/>
          <w:bCs w:val="0"/>
          <w:color w:val="auto"/>
          <w:sz w:val="44"/>
        </w:rPr>
      </w:pPr>
    </w:p>
    <w:p w14:paraId="0C2046DF">
      <w:pPr>
        <w:pStyle w:val="2"/>
        <w:rPr>
          <w:rFonts w:hint="eastAsia" w:ascii="宋体" w:hAnsi="宋体" w:eastAsia="宋体" w:cs="宋体"/>
          <w:b/>
          <w:bCs w:val="0"/>
          <w:color w:val="auto"/>
          <w:sz w:val="44"/>
        </w:rPr>
      </w:pPr>
      <w:r>
        <w:rPr>
          <w:rFonts w:hint="eastAsia" w:ascii="宋体" w:hAnsi="宋体" w:eastAsia="宋体" w:cs="宋体"/>
          <w:b/>
          <w:bCs w:val="0"/>
          <w:color w:val="auto"/>
          <w:sz w:val="44"/>
        </w:rPr>
        <w:t>目  录</w:t>
      </w:r>
    </w:p>
    <w:p w14:paraId="12D4902A">
      <w:pPr>
        <w:ind w:firstLine="420"/>
        <w:rPr>
          <w:rFonts w:hint="eastAsia" w:ascii="宋体" w:hAnsi="宋体" w:eastAsia="宋体" w:cs="宋体"/>
          <w:color w:val="auto"/>
        </w:rPr>
      </w:pPr>
    </w:p>
    <w:p w14:paraId="5E2BE02F">
      <w:pPr>
        <w:spacing w:line="720" w:lineRule="auto"/>
        <w:ind w:firstLine="602" w:firstLineChars="200"/>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第一部分  招标公告 </w:t>
      </w:r>
    </w:p>
    <w:p w14:paraId="367D7830">
      <w:pPr>
        <w:spacing w:line="720" w:lineRule="auto"/>
        <w:ind w:firstLine="602" w:firstLineChars="200"/>
        <w:rPr>
          <w:rFonts w:hint="eastAsia" w:ascii="宋体" w:hAnsi="宋体" w:eastAsia="宋体" w:cs="宋体"/>
          <w:b/>
          <w:color w:val="auto"/>
          <w:sz w:val="30"/>
          <w:szCs w:val="30"/>
        </w:rPr>
      </w:pPr>
      <w:r>
        <w:rPr>
          <w:rFonts w:hint="eastAsia" w:ascii="宋体" w:hAnsi="宋体" w:eastAsia="宋体" w:cs="宋体"/>
          <w:b/>
          <w:color w:val="auto"/>
          <w:sz w:val="30"/>
          <w:szCs w:val="30"/>
        </w:rPr>
        <w:t>第二部分  投标人须知</w:t>
      </w:r>
    </w:p>
    <w:p w14:paraId="6455242F">
      <w:pPr>
        <w:spacing w:line="720" w:lineRule="auto"/>
        <w:ind w:firstLine="602" w:firstLineChars="200"/>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第三部分  招标内容及参数要求 </w:t>
      </w:r>
    </w:p>
    <w:p w14:paraId="5A70C12D">
      <w:pPr>
        <w:spacing w:line="720" w:lineRule="auto"/>
        <w:ind w:firstLine="643" w:firstLineChars="200"/>
        <w:jc w:val="left"/>
        <w:rPr>
          <w:rFonts w:hint="eastAsia" w:ascii="宋体" w:hAnsi="宋体" w:eastAsia="宋体" w:cs="宋体"/>
          <w:b/>
          <w:color w:val="auto"/>
          <w:sz w:val="30"/>
          <w:szCs w:val="30"/>
        </w:rPr>
      </w:pPr>
      <w:r>
        <w:rPr>
          <w:rFonts w:hint="eastAsia" w:ascii="宋体" w:hAnsi="宋体" w:eastAsia="宋体" w:cs="宋体"/>
          <w:b/>
          <w:color w:val="auto"/>
          <w:sz w:val="32"/>
          <w:szCs w:val="32"/>
        </w:rPr>
        <w:t>第四部分 商务及合同主要条款</w:t>
      </w:r>
    </w:p>
    <w:p w14:paraId="2D63713F">
      <w:pPr>
        <w:spacing w:line="720" w:lineRule="auto"/>
        <w:ind w:firstLine="602" w:firstLineChars="200"/>
        <w:jc w:val="lef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第五部分  投标文件格式    </w:t>
      </w:r>
    </w:p>
    <w:p w14:paraId="071092AC">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r>
    </w:p>
    <w:p w14:paraId="77B97FCD">
      <w:pPr>
        <w:jc w:val="center"/>
        <w:outlineLvl w:val="1"/>
        <w:rPr>
          <w:rFonts w:hint="eastAsia" w:ascii="宋体" w:hAnsi="宋体" w:eastAsia="宋体" w:cs="宋体"/>
          <w:b/>
          <w:color w:val="auto"/>
          <w:sz w:val="32"/>
          <w:szCs w:val="32"/>
        </w:rPr>
      </w:pPr>
      <w:r>
        <w:rPr>
          <w:rFonts w:hint="eastAsia" w:ascii="宋体" w:hAnsi="宋体" w:eastAsia="宋体" w:cs="宋体"/>
          <w:b/>
          <w:color w:val="auto"/>
          <w:sz w:val="32"/>
          <w:szCs w:val="32"/>
        </w:rPr>
        <w:t>第一部分  招标公告</w:t>
      </w:r>
    </w:p>
    <w:p w14:paraId="26CEABF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20" w:firstLineChars="0"/>
        <w:jc w:val="left"/>
        <w:rPr>
          <w:rFonts w:hint="eastAsia" w:ascii="宋体" w:hAnsi="宋体" w:eastAsia="宋体" w:cs="宋体"/>
          <w:b w:val="0"/>
          <w:bCs w:val="0"/>
          <w:color w:val="auto"/>
          <w:sz w:val="24"/>
          <w:szCs w:val="24"/>
        </w:rPr>
      </w:pPr>
      <w:r>
        <w:rPr>
          <w:rStyle w:val="22"/>
          <w:rFonts w:hint="eastAsia" w:ascii="宋体" w:hAnsi="宋体" w:eastAsia="宋体" w:cs="宋体"/>
          <w:b/>
          <w:bCs/>
          <w:i w:val="0"/>
          <w:iCs w:val="0"/>
          <w:caps w:val="0"/>
          <w:color w:val="auto"/>
          <w:spacing w:val="0"/>
          <w:sz w:val="24"/>
          <w:szCs w:val="24"/>
          <w:shd w:val="clear" w:fill="FFFFFF"/>
        </w:rPr>
        <w:t>项目概况</w:t>
      </w:r>
    </w:p>
    <w:p w14:paraId="6F53BD7B">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市县两级110统一接警运营维护服务项目(二次)招标项目的潜在投标人应在全国公共资源交易平台（陕西省·延安市）获取招标文件，并于2026年08月27日09时00分（北京时间）前递交投标文件。</w:t>
      </w:r>
    </w:p>
    <w:p w14:paraId="7A69F7E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2"/>
          <w:rFonts w:hint="eastAsia" w:ascii="宋体" w:hAnsi="宋体" w:eastAsia="宋体" w:cs="宋体"/>
          <w:b/>
          <w:bCs/>
          <w:i w:val="0"/>
          <w:iCs w:val="0"/>
          <w:caps w:val="0"/>
          <w:color w:val="auto"/>
          <w:spacing w:val="0"/>
          <w:sz w:val="24"/>
          <w:szCs w:val="24"/>
          <w:shd w:val="clear" w:fill="FFFFFF"/>
        </w:rPr>
        <w:t>一、项目基本情况</w:t>
      </w:r>
    </w:p>
    <w:p w14:paraId="75B41A35">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项目编号：SXHYZB-2610.1B1</w:t>
      </w:r>
    </w:p>
    <w:p w14:paraId="286E98CB">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项目名称：市县两级110统一接警运营维护服务项目(二次)</w:t>
      </w:r>
    </w:p>
    <w:p w14:paraId="51DC6A6E">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采购方式：公开招标</w:t>
      </w:r>
    </w:p>
    <w:p w14:paraId="4E11FC5C">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预算金额：4,200,000.00元</w:t>
      </w:r>
    </w:p>
    <w:p w14:paraId="07731626">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6F6C49B6">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合同包1(延安市公安局市县两级110统一接警运营维护服务项目):</w:t>
      </w:r>
    </w:p>
    <w:p w14:paraId="1E1AAA80">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合同包预算金额：4,200,000.00元</w:t>
      </w:r>
    </w:p>
    <w:p w14:paraId="51916C31">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合同包最高限价：4,200,000.00元</w:t>
      </w:r>
    </w:p>
    <w:tbl>
      <w:tblPr>
        <w:tblStyle w:val="19"/>
        <w:tblW w:w="5166" w:type="pct"/>
        <w:tblInd w:w="-29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72"/>
        <w:gridCol w:w="2461"/>
        <w:gridCol w:w="1888"/>
        <w:gridCol w:w="1403"/>
        <w:gridCol w:w="1483"/>
        <w:gridCol w:w="1906"/>
      </w:tblGrid>
      <w:tr w14:paraId="3D0073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3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E6F75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2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299FB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94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1EF68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7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AC9FF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29F2CB8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7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41B39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95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39EC9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19548CF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3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07E52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2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EDB6E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其他服务</w:t>
            </w:r>
          </w:p>
        </w:tc>
        <w:tc>
          <w:tcPr>
            <w:tcW w:w="94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4AD04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4200000</w:t>
            </w:r>
          </w:p>
        </w:tc>
        <w:tc>
          <w:tcPr>
            <w:tcW w:w="7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F7194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74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142A3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95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587DCB">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4,200,000.00</w:t>
            </w:r>
          </w:p>
        </w:tc>
      </w:tr>
    </w:tbl>
    <w:p w14:paraId="2596C57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47D1545">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合同履行期限：详见招标文件</w:t>
      </w:r>
    </w:p>
    <w:p w14:paraId="1C8727F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2"/>
          <w:rFonts w:hint="eastAsia" w:ascii="宋体" w:hAnsi="宋体" w:eastAsia="宋体" w:cs="宋体"/>
          <w:b/>
          <w:bCs/>
          <w:i w:val="0"/>
          <w:iCs w:val="0"/>
          <w:caps w:val="0"/>
          <w:color w:val="auto"/>
          <w:spacing w:val="0"/>
          <w:sz w:val="24"/>
          <w:szCs w:val="24"/>
          <w:shd w:val="clear" w:fill="FFFFFF"/>
        </w:rPr>
        <w:t>二、申请人的资格要求：</w:t>
      </w:r>
    </w:p>
    <w:p w14:paraId="437EE285">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7320ABD6">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9A2CE9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合同包1(延安市公安局市县两级110统一接警运营维护服务项目)落实政府采购政策需满足的资格要求如下:</w:t>
      </w:r>
    </w:p>
    <w:p w14:paraId="0C43C40A">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（1）政府采购促进中小企业发展管理办法的通知--财库[2020]46号；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（8）《国务院办公厅关于在政府采购中实施本国产品标准及相关政策的通知》（国办发〔2025〕34号）。</w:t>
      </w:r>
    </w:p>
    <w:p w14:paraId="3C5EEBF5">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6CFCDA59">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合同包1(延安市公安局市县两级110统一接警运营维护服务项目)特定资格要求如下:</w:t>
      </w:r>
    </w:p>
    <w:p w14:paraId="1BA9034A">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（2）法定代表人/负责人授权书（附法定代表人/负责人身份证复印件）及被授权人身份证（法定代表人/负责人直接参加只须提供法定代表人/负责人身份证）；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（3）财务状况报告：提供2025年度的财务审计报告(成立时间至提交投标文件截止时间不足一年的可提供成立后任意时段的资产负债表),或其基本存款账户开户银行出具的资信证明及基本存款账户开户信息；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（4）社会保障资金缴纳证明：提供2025年07月份至2026年07月份任意一个月份的社会保障资金缴存证明或社保机构开具的社会保险参保缴费情况证明；依法不需要缴纳社会保障资金的应提供相关文件证明；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（5）税收缴纳证明：提供已缴纳的2025年07月份至2026年07月份任意一个月份的缴税凭证；依法免税的投标人应提供相关文件证明；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（6）投标人须具有履行合同所必需的设备和专业技术能力，提供相关证明材料或承诺函。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（7）投标人须持有合法有效的《中华人民共和国增值电信业务经营许可证》，经营业务种类明确包含国内呼叫中心业务，业务经营覆盖范围包含陕西省行政区域。</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投标人信用记录书面声明函》（按格式填写），经查投标人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（9）本项目不接受联合体投标，投标单位须提供非联合体投标声明函（按格式填写）。</w:t>
      </w:r>
    </w:p>
    <w:p w14:paraId="5E1ED3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2"/>
          <w:rFonts w:hint="eastAsia" w:ascii="宋体" w:hAnsi="宋体" w:eastAsia="宋体" w:cs="宋体"/>
          <w:b/>
          <w:bCs/>
          <w:i w:val="0"/>
          <w:iCs w:val="0"/>
          <w:caps w:val="0"/>
          <w:color w:val="auto"/>
          <w:spacing w:val="0"/>
          <w:sz w:val="24"/>
          <w:szCs w:val="24"/>
          <w:shd w:val="clear" w:fill="FFFFFF"/>
        </w:rPr>
        <w:t>三、获取招标文件</w:t>
      </w:r>
    </w:p>
    <w:p w14:paraId="39F7A74D">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时间：2026年08月05日至2026年08月11日，每天上午08:00:00至12:00:00，下午14:00:00至18:00:00（北京时间）</w:t>
      </w:r>
    </w:p>
    <w:p w14:paraId="4FBAEF52">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途径：全国公共资源交易平台（陕西省·延安市）</w:t>
      </w:r>
    </w:p>
    <w:p w14:paraId="0F6DA760">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07EE6770">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6C48AF7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2"/>
          <w:rFonts w:hint="eastAsia" w:ascii="宋体" w:hAnsi="宋体" w:eastAsia="宋体" w:cs="宋体"/>
          <w:b/>
          <w:bCs/>
          <w:i w:val="0"/>
          <w:iCs w:val="0"/>
          <w:caps w:val="0"/>
          <w:color w:val="auto"/>
          <w:spacing w:val="0"/>
          <w:sz w:val="24"/>
          <w:szCs w:val="24"/>
          <w:shd w:val="clear" w:fill="FFFFFF"/>
        </w:rPr>
        <w:t>四、提交投标文件截止时间、开标时间和地点</w:t>
      </w:r>
    </w:p>
    <w:p w14:paraId="3114F4F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时间：2026年08月27日09时00分00秒（北京时间）</w:t>
      </w:r>
    </w:p>
    <w:p w14:paraId="3D94589F">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提交投标文件地点：延安市公共资源交易中心开标5室</w:t>
      </w:r>
    </w:p>
    <w:p w14:paraId="5A413FDB">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开标地点：延安市公共资源交易中心开标5室</w:t>
      </w:r>
    </w:p>
    <w:p w14:paraId="4FD936D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2"/>
          <w:rFonts w:hint="eastAsia" w:ascii="宋体" w:hAnsi="宋体" w:eastAsia="宋体" w:cs="宋体"/>
          <w:b/>
          <w:bCs/>
          <w:i w:val="0"/>
          <w:iCs w:val="0"/>
          <w:caps w:val="0"/>
          <w:color w:val="auto"/>
          <w:spacing w:val="0"/>
          <w:sz w:val="24"/>
          <w:szCs w:val="24"/>
          <w:shd w:val="clear" w:fill="FFFFFF"/>
        </w:rPr>
        <w:t>五、公告期限</w:t>
      </w:r>
    </w:p>
    <w:p w14:paraId="3DBD9A3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1D1DB0C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2"/>
          <w:rFonts w:hint="eastAsia" w:ascii="宋体" w:hAnsi="宋体" w:eastAsia="宋体" w:cs="宋体"/>
          <w:b/>
          <w:bCs/>
          <w:i w:val="0"/>
          <w:iCs w:val="0"/>
          <w:caps w:val="0"/>
          <w:color w:val="auto"/>
          <w:spacing w:val="0"/>
          <w:sz w:val="24"/>
          <w:szCs w:val="24"/>
          <w:shd w:val="clear" w:fill="FFFFFF"/>
        </w:rPr>
        <w:t>六、其他补充事宜</w:t>
      </w:r>
    </w:p>
    <w:p w14:paraId="1A05FC86">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（1）报名登记：投标人使用捆绑CA证书登录全国公共资源交易平台（陕西省·延安市），选择电子交易平台中的陕西政府采购交易系统进行登录，登录后选择“交易乙方”身份进入投标人界面进行报名。</w:t>
      </w:r>
    </w:p>
    <w:p w14:paraId="403A5B4F">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（2）下载文件：投标人登录全国公共资源交易平台（陕西省·延安市），选择“交易乙方”身份进入投标人界面下载采购文件。</w:t>
      </w:r>
    </w:p>
    <w:p w14:paraId="1804811F">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（3）请投标人按照陕西省财政厅关于政府采购供应商注册登记有关事项的通知中的要求，通过陕西省政府采购网注册登记加入陕西省政府采购供应商库。</w:t>
      </w:r>
    </w:p>
    <w:p w14:paraId="297D5B80">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（4）本项目不专门面向中小企业采购。</w:t>
      </w:r>
    </w:p>
    <w:p w14:paraId="0F06FB42">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（5）本项目名称：延安市公安局市县两级110统一接警运营维护服务项目（二次）。</w:t>
      </w:r>
    </w:p>
    <w:p w14:paraId="6B97F7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Style w:val="22"/>
          <w:rFonts w:hint="eastAsia" w:ascii="宋体" w:hAnsi="宋体" w:eastAsia="宋体" w:cs="宋体"/>
          <w:b/>
          <w:bCs/>
          <w:i w:val="0"/>
          <w:iCs w:val="0"/>
          <w:caps w:val="0"/>
          <w:color w:val="auto"/>
          <w:spacing w:val="0"/>
          <w:sz w:val="24"/>
          <w:szCs w:val="24"/>
          <w:shd w:val="clear" w:fill="FFFFFF"/>
        </w:rPr>
        <w:t>七、对本次招标提出询问，请按以下方式联系。</w:t>
      </w:r>
    </w:p>
    <w:p w14:paraId="05E9D3C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171DAFAC">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名称：延安市公安局</w:t>
      </w:r>
    </w:p>
    <w:p w14:paraId="599D5B75">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地址：陕西省延安市新区人民路</w:t>
      </w:r>
    </w:p>
    <w:p w14:paraId="4758AA5A">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联系方式：13809115635</w:t>
      </w:r>
    </w:p>
    <w:p w14:paraId="463EE45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49FE7A83">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名称：陕西宏扬项目管理有限公司</w:t>
      </w:r>
    </w:p>
    <w:p w14:paraId="232E1E92">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地址：延安市宝塔区百米大道嘉岭商务大厦A座1109室</w:t>
      </w:r>
    </w:p>
    <w:p w14:paraId="5080C51C">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联系方式：13571130181</w:t>
      </w:r>
    </w:p>
    <w:p w14:paraId="5E32133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firstLineChars="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180C5D62">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项目联系人：刘工</w:t>
      </w:r>
    </w:p>
    <w:p w14:paraId="35363C28">
      <w:pPr>
        <w:pStyle w:val="1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电话：13571130181</w:t>
      </w:r>
    </w:p>
    <w:p w14:paraId="22950D23">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p>
    <w:p w14:paraId="610A3974">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p>
    <w:p w14:paraId="58DCCB0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p>
    <w:p w14:paraId="54466DE2">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auto"/>
          <w:sz w:val="24"/>
          <w:szCs w:val="24"/>
        </w:rPr>
      </w:pPr>
    </w:p>
    <w:p w14:paraId="0779CABD">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2EF4A3E8">
      <w:pPr>
        <w:jc w:val="center"/>
        <w:outlineLvl w:val="1"/>
        <w:rPr>
          <w:rFonts w:hint="eastAsia" w:ascii="宋体" w:hAnsi="宋体" w:eastAsia="宋体" w:cs="宋体"/>
          <w:b/>
          <w:color w:val="auto"/>
          <w:sz w:val="32"/>
          <w:szCs w:val="32"/>
        </w:rPr>
      </w:pPr>
      <w:r>
        <w:rPr>
          <w:rFonts w:hint="eastAsia" w:ascii="宋体" w:hAnsi="宋体" w:eastAsia="宋体" w:cs="宋体"/>
          <w:b/>
          <w:color w:val="auto"/>
          <w:sz w:val="32"/>
          <w:szCs w:val="32"/>
        </w:rPr>
        <w:t>第二部分 投标人须知</w:t>
      </w:r>
    </w:p>
    <w:p w14:paraId="2D2AC88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43" w:firstLineChars="200"/>
        <w:jc w:val="center"/>
        <w:textAlignment w:val="auto"/>
        <w:rPr>
          <w:rStyle w:val="22"/>
          <w:rFonts w:hint="eastAsia" w:ascii="宋体" w:hAnsi="宋体" w:eastAsia="宋体" w:cs="宋体"/>
          <w:b/>
          <w:bCs/>
          <w:i w:val="0"/>
          <w:iCs w:val="0"/>
          <w:caps w:val="0"/>
          <w:color w:val="auto"/>
          <w:spacing w:val="0"/>
          <w:sz w:val="32"/>
          <w:szCs w:val="32"/>
          <w:shd w:val="clear" w:fill="FFFFFF"/>
        </w:rPr>
      </w:pPr>
      <w:r>
        <w:rPr>
          <w:rStyle w:val="22"/>
          <w:rFonts w:hint="eastAsia" w:ascii="宋体" w:hAnsi="宋体" w:eastAsia="宋体" w:cs="宋体"/>
          <w:b/>
          <w:bCs/>
          <w:i w:val="0"/>
          <w:iCs w:val="0"/>
          <w:caps w:val="0"/>
          <w:color w:val="auto"/>
          <w:spacing w:val="0"/>
          <w:sz w:val="32"/>
          <w:szCs w:val="32"/>
          <w:shd w:val="clear" w:fill="FFFFFF"/>
        </w:rPr>
        <w:t>一、名词解释</w:t>
      </w:r>
    </w:p>
    <w:p w14:paraId="7C78FE46">
      <w:pPr>
        <w:numPr>
          <w:ilvl w:val="0"/>
          <w:numId w:val="1"/>
        </w:numPr>
        <w:tabs>
          <w:tab w:val="left" w:pos="600"/>
          <w:tab w:val="left" w:pos="114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采购人：</w:t>
      </w:r>
      <w:r>
        <w:rPr>
          <w:rFonts w:hint="eastAsia" w:ascii="宋体" w:hAnsi="宋体" w:eastAsia="宋体" w:cs="宋体"/>
          <w:color w:val="auto"/>
          <w:sz w:val="24"/>
          <w:lang w:eastAsia="zh-CN"/>
        </w:rPr>
        <w:t>延安市公安局</w:t>
      </w:r>
    </w:p>
    <w:p w14:paraId="18699706">
      <w:pPr>
        <w:numPr>
          <w:ilvl w:val="0"/>
          <w:numId w:val="1"/>
        </w:numPr>
        <w:tabs>
          <w:tab w:val="left" w:pos="600"/>
          <w:tab w:val="left" w:pos="114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采购代理机构</w:t>
      </w:r>
      <w:r>
        <w:rPr>
          <w:rFonts w:hint="eastAsia" w:ascii="宋体" w:hAnsi="宋体" w:eastAsia="宋体" w:cs="宋体"/>
          <w:bCs/>
          <w:color w:val="auto"/>
          <w:sz w:val="24"/>
        </w:rPr>
        <w:t>：</w:t>
      </w:r>
      <w:r>
        <w:rPr>
          <w:rFonts w:hint="eastAsia" w:ascii="宋体" w:hAnsi="宋体" w:eastAsia="宋体" w:cs="宋体"/>
          <w:bCs/>
          <w:color w:val="auto"/>
          <w:sz w:val="24"/>
          <w:lang w:eastAsia="zh-CN"/>
        </w:rPr>
        <w:t>陕西宏扬项目管理有限公司</w:t>
      </w:r>
      <w:r>
        <w:rPr>
          <w:rFonts w:hint="eastAsia" w:ascii="宋体" w:hAnsi="宋体" w:eastAsia="宋体" w:cs="宋体"/>
          <w:bCs/>
          <w:color w:val="auto"/>
          <w:sz w:val="24"/>
        </w:rPr>
        <w:t xml:space="preserve"> </w:t>
      </w:r>
    </w:p>
    <w:p w14:paraId="5FE7A35A">
      <w:pPr>
        <w:numPr>
          <w:ilvl w:val="0"/>
          <w:numId w:val="1"/>
        </w:numPr>
        <w:tabs>
          <w:tab w:val="left" w:pos="600"/>
          <w:tab w:val="left" w:pos="114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投</w:t>
      </w:r>
      <w:r>
        <w:rPr>
          <w:rFonts w:hint="eastAsia" w:ascii="宋体" w:hAnsi="宋体" w:eastAsia="宋体" w:cs="宋体"/>
          <w:b/>
          <w:color w:val="auto"/>
          <w:sz w:val="24"/>
        </w:rPr>
        <w:t>标人：</w:t>
      </w:r>
      <w:r>
        <w:rPr>
          <w:rFonts w:hint="eastAsia" w:ascii="宋体" w:hAnsi="宋体" w:eastAsia="宋体" w:cs="宋体"/>
          <w:bCs/>
          <w:color w:val="auto"/>
          <w:sz w:val="24"/>
        </w:rPr>
        <w:t>满足本次招标要求、具有相应资质和完成项目能力的投标供应商</w:t>
      </w:r>
    </w:p>
    <w:p w14:paraId="2A8DBF6C">
      <w:pPr>
        <w:numPr>
          <w:ilvl w:val="0"/>
          <w:numId w:val="1"/>
        </w:numPr>
        <w:tabs>
          <w:tab w:val="left" w:pos="600"/>
          <w:tab w:val="left" w:pos="114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color w:val="auto"/>
          <w:sz w:val="24"/>
        </w:rPr>
        <w:t>标书：</w:t>
      </w:r>
      <w:r>
        <w:rPr>
          <w:rFonts w:hint="eastAsia" w:ascii="宋体" w:hAnsi="宋体" w:eastAsia="宋体" w:cs="宋体"/>
          <w:bCs/>
          <w:color w:val="auto"/>
          <w:sz w:val="24"/>
        </w:rPr>
        <w:t>招标文件与投标文件的统称</w:t>
      </w:r>
    </w:p>
    <w:p w14:paraId="685C51AD">
      <w:pPr>
        <w:numPr>
          <w:ilvl w:val="0"/>
          <w:numId w:val="1"/>
        </w:numPr>
        <w:tabs>
          <w:tab w:val="left" w:pos="600"/>
          <w:tab w:val="left" w:pos="114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color w:val="auto"/>
          <w:sz w:val="24"/>
        </w:rPr>
        <w:t>中标人：</w:t>
      </w:r>
      <w:r>
        <w:rPr>
          <w:rFonts w:hint="eastAsia" w:ascii="宋体" w:hAnsi="宋体" w:eastAsia="宋体" w:cs="宋体"/>
          <w:bCs/>
          <w:color w:val="auto"/>
          <w:sz w:val="24"/>
        </w:rPr>
        <w:t>评标委员会推荐的投标人</w:t>
      </w:r>
    </w:p>
    <w:p w14:paraId="2E085653">
      <w:pPr>
        <w:tabs>
          <w:tab w:val="left" w:pos="600"/>
          <w:tab w:val="left" w:pos="1140"/>
        </w:tabs>
        <w:spacing w:line="360" w:lineRule="auto"/>
        <w:ind w:left="239" w:leftChars="114"/>
        <w:rPr>
          <w:rFonts w:hint="eastAsia" w:ascii="宋体" w:hAnsi="宋体" w:eastAsia="宋体" w:cs="宋体"/>
          <w:bCs/>
          <w:color w:val="auto"/>
          <w:sz w:val="24"/>
        </w:rPr>
      </w:pPr>
    </w:p>
    <w:p w14:paraId="790BFE5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43" w:firstLineChars="200"/>
        <w:jc w:val="center"/>
        <w:textAlignment w:val="auto"/>
        <w:rPr>
          <w:rStyle w:val="22"/>
          <w:rFonts w:hint="eastAsia" w:ascii="宋体" w:hAnsi="宋体" w:eastAsia="宋体" w:cs="宋体"/>
          <w:b/>
          <w:bCs/>
          <w:i w:val="0"/>
          <w:iCs w:val="0"/>
          <w:caps w:val="0"/>
          <w:color w:val="auto"/>
          <w:spacing w:val="0"/>
          <w:sz w:val="32"/>
          <w:szCs w:val="32"/>
          <w:shd w:val="clear" w:fill="FFFFFF"/>
        </w:rPr>
      </w:pPr>
      <w:r>
        <w:rPr>
          <w:rStyle w:val="22"/>
          <w:rFonts w:hint="eastAsia" w:ascii="宋体" w:hAnsi="宋体" w:eastAsia="宋体" w:cs="宋体"/>
          <w:b/>
          <w:bCs/>
          <w:i w:val="0"/>
          <w:iCs w:val="0"/>
          <w:caps w:val="0"/>
          <w:color w:val="auto"/>
          <w:spacing w:val="0"/>
          <w:sz w:val="32"/>
          <w:szCs w:val="32"/>
          <w:shd w:val="clear" w:fill="FFFFFF"/>
        </w:rPr>
        <w:t>二、投标人</w:t>
      </w:r>
    </w:p>
    <w:p w14:paraId="35681DF8">
      <w:pPr>
        <w:spacing w:line="360" w:lineRule="auto"/>
        <w:ind w:left="-122" w:leftChars="-58" w:firstLine="482" w:firstLineChars="200"/>
        <w:rPr>
          <w:rFonts w:hint="eastAsia" w:ascii="宋体" w:hAnsi="宋体" w:eastAsia="宋体" w:cs="宋体"/>
          <w:b/>
          <w:color w:val="auto"/>
          <w:sz w:val="24"/>
        </w:rPr>
      </w:pPr>
      <w:r>
        <w:rPr>
          <w:rFonts w:hint="eastAsia" w:ascii="宋体" w:hAnsi="宋体" w:eastAsia="宋体" w:cs="宋体"/>
          <w:b/>
          <w:color w:val="auto"/>
          <w:sz w:val="24"/>
        </w:rPr>
        <w:t>1.供应商参加政府采购应当具备下列条件：</w:t>
      </w:r>
    </w:p>
    <w:p w14:paraId="1E2B0293">
      <w:pPr>
        <w:spacing w:line="360" w:lineRule="auto"/>
        <w:ind w:left="-122" w:leftChars="-58" w:firstLine="480" w:firstLineChars="200"/>
        <w:rPr>
          <w:rFonts w:hint="eastAsia" w:ascii="宋体" w:hAnsi="宋体" w:eastAsia="宋体" w:cs="宋体"/>
          <w:color w:val="auto"/>
          <w:sz w:val="24"/>
        </w:rPr>
      </w:pPr>
      <w:r>
        <w:rPr>
          <w:rFonts w:hint="eastAsia" w:ascii="宋体" w:hAnsi="宋体" w:eastAsia="宋体" w:cs="宋体"/>
          <w:color w:val="auto"/>
          <w:sz w:val="24"/>
        </w:rPr>
        <w:t>（1）凡具有法人资格，在国内注册的企业，具备承担投标项目的能力；</w:t>
      </w:r>
    </w:p>
    <w:p w14:paraId="086B55C7">
      <w:pPr>
        <w:spacing w:line="360" w:lineRule="auto"/>
        <w:ind w:left="-122" w:leftChars="-58" w:firstLine="480" w:firstLineChars="200"/>
        <w:rPr>
          <w:rFonts w:hint="eastAsia" w:ascii="宋体" w:hAnsi="宋体" w:eastAsia="宋体" w:cs="宋体"/>
          <w:color w:val="auto"/>
          <w:sz w:val="24"/>
        </w:rPr>
      </w:pPr>
      <w:r>
        <w:rPr>
          <w:rFonts w:hint="eastAsia" w:ascii="宋体" w:hAnsi="宋体" w:eastAsia="宋体" w:cs="宋体"/>
          <w:color w:val="auto"/>
          <w:sz w:val="24"/>
        </w:rPr>
        <w:t>（2）具有独立承担民事责任能力和履行合同所必需的专业技术能力；具有可靠的质量 保障和售后服务；</w:t>
      </w:r>
    </w:p>
    <w:p w14:paraId="397E66D6">
      <w:pPr>
        <w:spacing w:line="360" w:lineRule="auto"/>
        <w:ind w:left="-122" w:leftChars="-58" w:firstLine="480" w:firstLineChars="200"/>
        <w:rPr>
          <w:rFonts w:hint="eastAsia" w:ascii="宋体" w:hAnsi="宋体" w:eastAsia="宋体" w:cs="宋体"/>
          <w:color w:val="auto"/>
          <w:sz w:val="24"/>
        </w:rPr>
      </w:pPr>
      <w:r>
        <w:rPr>
          <w:rFonts w:hint="eastAsia" w:ascii="宋体" w:hAnsi="宋体" w:eastAsia="宋体" w:cs="宋体"/>
          <w:color w:val="auto"/>
          <w:sz w:val="24"/>
        </w:rPr>
        <w:t>（3）具有良好的商业信誉和健全的财务会计制度；</w:t>
      </w:r>
    </w:p>
    <w:p w14:paraId="0AB4EB3C">
      <w:pPr>
        <w:spacing w:line="360" w:lineRule="auto"/>
        <w:ind w:left="-122" w:leftChars="-58" w:firstLine="480" w:firstLineChars="200"/>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14:paraId="1C8387C4">
      <w:pPr>
        <w:spacing w:line="360" w:lineRule="auto"/>
        <w:ind w:left="-122" w:leftChars="-58" w:firstLine="480" w:firstLineChars="200"/>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14:paraId="421971EC">
      <w:pPr>
        <w:spacing w:line="360" w:lineRule="auto"/>
        <w:ind w:left="-122" w:leftChars="-58" w:firstLine="480" w:firstLineChars="200"/>
        <w:rPr>
          <w:rFonts w:hint="eastAsia" w:ascii="宋体" w:hAnsi="宋体" w:eastAsia="宋体" w:cs="宋体"/>
          <w:color w:val="auto"/>
          <w:sz w:val="24"/>
        </w:rPr>
      </w:pPr>
      <w:r>
        <w:rPr>
          <w:rFonts w:hint="eastAsia" w:ascii="宋体" w:hAnsi="宋体" w:eastAsia="宋体" w:cs="宋体"/>
          <w:color w:val="auto"/>
          <w:sz w:val="24"/>
        </w:rPr>
        <w:t>（6）没有重大经济纠纷；</w:t>
      </w:r>
    </w:p>
    <w:p w14:paraId="3AB5D30C">
      <w:pPr>
        <w:spacing w:line="360" w:lineRule="auto"/>
        <w:ind w:left="-122" w:leftChars="-58" w:firstLine="480" w:firstLineChars="200"/>
        <w:rPr>
          <w:rFonts w:hint="eastAsia" w:ascii="宋体" w:hAnsi="宋体" w:eastAsia="宋体" w:cs="宋体"/>
          <w:color w:val="auto"/>
          <w:sz w:val="24"/>
        </w:rPr>
      </w:pPr>
      <w:r>
        <w:rPr>
          <w:rFonts w:hint="eastAsia" w:ascii="宋体" w:hAnsi="宋体" w:eastAsia="宋体" w:cs="宋体"/>
          <w:color w:val="auto"/>
          <w:sz w:val="24"/>
        </w:rPr>
        <w:t>（7）法律、行政法规规定的其他条件；</w:t>
      </w:r>
    </w:p>
    <w:p w14:paraId="482059C8">
      <w:pPr>
        <w:spacing w:line="360" w:lineRule="auto"/>
        <w:ind w:left="-122" w:leftChars="-58" w:firstLine="480" w:firstLineChars="200"/>
        <w:rPr>
          <w:rFonts w:hint="eastAsia" w:ascii="宋体" w:hAnsi="宋体" w:eastAsia="宋体" w:cs="宋体"/>
          <w:color w:val="auto"/>
          <w:sz w:val="24"/>
        </w:rPr>
      </w:pPr>
      <w:r>
        <w:rPr>
          <w:rFonts w:hint="eastAsia" w:ascii="宋体" w:hAnsi="宋体" w:eastAsia="宋体" w:cs="宋体"/>
          <w:color w:val="auto"/>
          <w:sz w:val="24"/>
        </w:rPr>
        <w:t>（8）完全同意并愿意自觉遵守本招标文件中的所有规定和要求；</w:t>
      </w:r>
    </w:p>
    <w:p w14:paraId="0FD6EC4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（9）单位负责人为同一人或者存在直接控股、管理关系的不同供应商，不得参加同一合同项下的政府采购活动。</w:t>
      </w:r>
    </w:p>
    <w:p w14:paraId="6364B5D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除单一来源采购项目外，为采购项目提供整体设计、规范编制或者项目管理、监理、检测等服务的供应商，不得再参加该采购项目的</w:t>
      </w:r>
      <w:r>
        <w:rPr>
          <w:rFonts w:hint="eastAsia" w:ascii="宋体" w:hAnsi="宋体" w:eastAsia="宋体" w:cs="宋体"/>
          <w:color w:val="auto"/>
          <w:sz w:val="24"/>
          <w:lang w:val="en-US" w:eastAsia="zh-CN"/>
        </w:rPr>
        <w:t>采购</w:t>
      </w:r>
      <w:r>
        <w:rPr>
          <w:rFonts w:hint="eastAsia" w:ascii="宋体" w:hAnsi="宋体" w:eastAsia="宋体" w:cs="宋体"/>
          <w:color w:val="auto"/>
          <w:sz w:val="24"/>
        </w:rPr>
        <w:t>活动。</w:t>
      </w:r>
    </w:p>
    <w:p w14:paraId="2E22ED33">
      <w:pPr>
        <w:spacing w:line="360" w:lineRule="auto"/>
        <w:ind w:left="-122" w:leftChars="-58" w:firstLine="482" w:firstLineChars="200"/>
        <w:rPr>
          <w:rFonts w:hint="eastAsia" w:ascii="宋体" w:hAnsi="宋体" w:eastAsia="宋体" w:cs="宋体"/>
          <w:b/>
          <w:color w:val="auto"/>
          <w:sz w:val="24"/>
        </w:rPr>
      </w:pPr>
      <w:r>
        <w:rPr>
          <w:rFonts w:hint="eastAsia" w:ascii="宋体" w:hAnsi="宋体" w:eastAsia="宋体" w:cs="宋体"/>
          <w:b/>
          <w:color w:val="auto"/>
          <w:sz w:val="24"/>
        </w:rPr>
        <w:t>2.投标委托</w:t>
      </w:r>
    </w:p>
    <w:p w14:paraId="2537894D">
      <w:pPr>
        <w:spacing w:line="360" w:lineRule="auto"/>
        <w:ind w:left="-122" w:leftChars="-58" w:firstLine="480" w:firstLineChars="200"/>
        <w:rPr>
          <w:rFonts w:hint="eastAsia" w:ascii="宋体" w:hAnsi="宋体" w:eastAsia="宋体" w:cs="宋体"/>
          <w:color w:val="auto"/>
          <w:sz w:val="24"/>
        </w:rPr>
      </w:pPr>
      <w:r>
        <w:rPr>
          <w:rFonts w:hint="eastAsia" w:ascii="宋体" w:hAnsi="宋体" w:eastAsia="宋体" w:cs="宋体"/>
          <w:color w:val="auto"/>
          <w:sz w:val="24"/>
        </w:rPr>
        <w:t>如投标人代表不是法定代表人，须持有《法定代表人授权书》。</w:t>
      </w:r>
    </w:p>
    <w:p w14:paraId="68620581">
      <w:pPr>
        <w:spacing w:line="360" w:lineRule="auto"/>
        <w:ind w:left="-122" w:leftChars="-58" w:firstLine="482" w:firstLineChars="200"/>
        <w:rPr>
          <w:rFonts w:hint="eastAsia" w:ascii="宋体" w:hAnsi="宋体" w:eastAsia="宋体" w:cs="宋体"/>
          <w:b/>
          <w:color w:val="auto"/>
          <w:sz w:val="24"/>
        </w:rPr>
      </w:pPr>
      <w:r>
        <w:rPr>
          <w:rFonts w:hint="eastAsia" w:ascii="宋体" w:hAnsi="宋体" w:eastAsia="宋体" w:cs="宋体"/>
          <w:b/>
          <w:color w:val="auto"/>
          <w:sz w:val="24"/>
        </w:rPr>
        <w:t>3.投标费用</w:t>
      </w:r>
    </w:p>
    <w:p w14:paraId="1ACE9245">
      <w:pPr>
        <w:spacing w:line="360" w:lineRule="auto"/>
        <w:ind w:left="-122" w:leftChars="-58" w:firstLine="480" w:firstLineChars="200"/>
        <w:rPr>
          <w:rFonts w:hint="eastAsia" w:ascii="宋体" w:hAnsi="宋体" w:eastAsia="宋体" w:cs="宋体"/>
          <w:color w:val="auto"/>
          <w:sz w:val="24"/>
        </w:rPr>
      </w:pPr>
      <w:r>
        <w:rPr>
          <w:rFonts w:hint="eastAsia" w:ascii="宋体" w:hAnsi="宋体" w:eastAsia="宋体" w:cs="宋体"/>
          <w:color w:val="auto"/>
          <w:sz w:val="24"/>
        </w:rPr>
        <w:t>投标人自行承担参加投标相关的全部费用，无论投标的结果如何。</w:t>
      </w:r>
    </w:p>
    <w:p w14:paraId="4DABFFAD">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r>
    </w:p>
    <w:p w14:paraId="0FED5CC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43" w:firstLineChars="200"/>
        <w:jc w:val="center"/>
        <w:textAlignment w:val="auto"/>
        <w:rPr>
          <w:rStyle w:val="22"/>
          <w:rFonts w:hint="eastAsia" w:ascii="宋体" w:hAnsi="宋体" w:eastAsia="宋体" w:cs="宋体"/>
          <w:b/>
          <w:bCs/>
          <w:i w:val="0"/>
          <w:iCs w:val="0"/>
          <w:caps w:val="0"/>
          <w:color w:val="auto"/>
          <w:spacing w:val="0"/>
          <w:sz w:val="32"/>
          <w:szCs w:val="32"/>
          <w:shd w:val="clear" w:fill="FFFFFF"/>
        </w:rPr>
      </w:pPr>
      <w:r>
        <w:rPr>
          <w:rStyle w:val="22"/>
          <w:rFonts w:hint="eastAsia" w:ascii="宋体" w:hAnsi="宋体" w:eastAsia="宋体" w:cs="宋体"/>
          <w:b/>
          <w:bCs/>
          <w:i w:val="0"/>
          <w:iCs w:val="0"/>
          <w:caps w:val="0"/>
          <w:color w:val="auto"/>
          <w:spacing w:val="0"/>
          <w:sz w:val="32"/>
          <w:szCs w:val="32"/>
          <w:shd w:val="clear" w:fill="FFFFFF"/>
        </w:rPr>
        <w:t>三、招标文件</w:t>
      </w:r>
    </w:p>
    <w:p w14:paraId="23CA9679">
      <w:pPr>
        <w:spacing w:line="360" w:lineRule="auto"/>
        <w:ind w:left="-122" w:leftChars="-58" w:firstLine="723" w:firstLineChars="300"/>
        <w:rPr>
          <w:rFonts w:hint="eastAsia" w:ascii="宋体" w:hAnsi="宋体" w:eastAsia="宋体" w:cs="宋体"/>
          <w:b/>
          <w:color w:val="auto"/>
          <w:sz w:val="24"/>
        </w:rPr>
      </w:pPr>
      <w:r>
        <w:rPr>
          <w:rFonts w:hint="eastAsia" w:ascii="宋体" w:hAnsi="宋体" w:eastAsia="宋体" w:cs="宋体"/>
          <w:b/>
          <w:color w:val="auto"/>
          <w:sz w:val="24"/>
        </w:rPr>
        <w:t>1</w:t>
      </w:r>
      <w:r>
        <w:rPr>
          <w:rFonts w:hint="eastAsia" w:ascii="宋体" w:hAnsi="宋体" w:eastAsia="宋体" w:cs="宋体"/>
          <w:b/>
          <w:color w:val="auto"/>
          <w:sz w:val="24"/>
          <w:lang w:val="en-US" w:eastAsia="zh-CN"/>
        </w:rPr>
        <w:t>.</w:t>
      </w:r>
      <w:r>
        <w:rPr>
          <w:rFonts w:hint="eastAsia" w:ascii="宋体" w:hAnsi="宋体" w:eastAsia="宋体" w:cs="宋体"/>
          <w:b/>
          <w:color w:val="auto"/>
          <w:sz w:val="24"/>
        </w:rPr>
        <w:t>招标文件</w:t>
      </w:r>
    </w:p>
    <w:p w14:paraId="76A7897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（1）招标文件由招标文件总目录所列内容组成；投标人应详细阅读招标文件中所有的事项、格式、条款和规范要求,在投标文件中对招标文件的各方面都应做出实质性的响应，按照招标文件的要求提交全部资料。</w:t>
      </w:r>
    </w:p>
    <w:p w14:paraId="26FC8F8F">
      <w:pPr>
        <w:pStyle w:val="16"/>
        <w:spacing w:before="0" w:beforeAutospacing="0" w:after="0" w:afterAutospacing="0" w:line="360" w:lineRule="auto"/>
        <w:ind w:firstLine="360" w:firstLineChars="150"/>
        <w:rPr>
          <w:rFonts w:hint="eastAsia" w:ascii="宋体" w:hAnsi="宋体" w:eastAsia="宋体" w:cs="宋体"/>
          <w:color w:val="auto"/>
          <w:kern w:val="2"/>
        </w:rPr>
      </w:pPr>
      <w:r>
        <w:rPr>
          <w:rFonts w:hint="eastAsia" w:ascii="宋体" w:hAnsi="宋体" w:eastAsia="宋体" w:cs="宋体"/>
          <w:color w:val="auto"/>
          <w:kern w:val="2"/>
        </w:rPr>
        <w:t>（2）适用范围</w:t>
      </w:r>
    </w:p>
    <w:p w14:paraId="6474E55F">
      <w:pPr>
        <w:pStyle w:val="16"/>
        <w:spacing w:before="0" w:beforeAutospacing="0" w:after="0" w:afterAutospacing="0" w:line="360" w:lineRule="auto"/>
        <w:ind w:firstLine="360" w:firstLineChars="150"/>
        <w:rPr>
          <w:rFonts w:hint="eastAsia" w:ascii="宋体" w:hAnsi="宋体" w:eastAsia="宋体" w:cs="宋体"/>
          <w:color w:val="auto"/>
          <w:kern w:val="2"/>
        </w:rPr>
      </w:pPr>
      <w:r>
        <w:rPr>
          <w:rFonts w:hint="eastAsia" w:ascii="宋体" w:hAnsi="宋体" w:eastAsia="宋体" w:cs="宋体"/>
          <w:color w:val="auto"/>
          <w:kern w:val="2"/>
        </w:rPr>
        <w:t xml:space="preserve">  本次招标依据采购人的采购计划，仅适用于本招标文件中所叙述的项目。</w:t>
      </w:r>
    </w:p>
    <w:p w14:paraId="0684CAE2">
      <w:pPr>
        <w:spacing w:line="360" w:lineRule="auto"/>
        <w:ind w:firstLine="360" w:firstLineChars="150"/>
        <w:rPr>
          <w:rFonts w:hint="eastAsia" w:ascii="宋体" w:hAnsi="宋体" w:eastAsia="宋体" w:cs="宋体"/>
          <w:color w:val="auto"/>
        </w:rPr>
      </w:pPr>
      <w:r>
        <w:rPr>
          <w:rFonts w:hint="eastAsia" w:ascii="宋体" w:hAnsi="宋体" w:eastAsia="宋体" w:cs="宋体"/>
          <w:color w:val="auto"/>
          <w:sz w:val="24"/>
        </w:rPr>
        <w:t>（3）招标文件的下载：招标公告发布后，投标人应从</w:t>
      </w:r>
      <w:r>
        <w:rPr>
          <w:rFonts w:hint="eastAsia" w:ascii="宋体" w:hAnsi="宋体" w:eastAsia="宋体" w:cs="宋体"/>
          <w:color w:val="auto"/>
          <w:sz w:val="24"/>
          <w:shd w:val="clear" w:color="auto" w:fill="FFFFFF"/>
        </w:rPr>
        <w:t>全国公共资源交易平台（陕西省·延安市）</w:t>
      </w:r>
      <w:r>
        <w:rPr>
          <w:rFonts w:hint="eastAsia" w:ascii="宋体" w:hAnsi="宋体" w:eastAsia="宋体" w:cs="宋体"/>
          <w:color w:val="auto"/>
          <w:sz w:val="24"/>
        </w:rPr>
        <w:t>下载招标文件，投标人自行转让或复制的招标文件视为无效招标文件。</w:t>
      </w:r>
    </w:p>
    <w:p w14:paraId="6EB0FEBA">
      <w:pPr>
        <w:spacing w:line="360" w:lineRule="auto"/>
        <w:ind w:firstLine="723" w:firstLineChars="300"/>
        <w:rPr>
          <w:rFonts w:hint="eastAsia" w:ascii="宋体" w:hAnsi="宋体" w:eastAsia="宋体" w:cs="宋体"/>
          <w:b/>
          <w:color w:val="auto"/>
          <w:sz w:val="24"/>
        </w:rPr>
      </w:pPr>
      <w:r>
        <w:rPr>
          <w:rFonts w:hint="eastAsia" w:ascii="宋体" w:hAnsi="宋体" w:eastAsia="宋体" w:cs="宋体"/>
          <w:b/>
          <w:color w:val="auto"/>
          <w:sz w:val="24"/>
        </w:rPr>
        <w:t>2</w:t>
      </w:r>
      <w:r>
        <w:rPr>
          <w:rFonts w:hint="eastAsia" w:ascii="宋体" w:hAnsi="宋体" w:eastAsia="宋体" w:cs="宋体"/>
          <w:b/>
          <w:color w:val="auto"/>
          <w:sz w:val="24"/>
          <w:lang w:val="en-US" w:eastAsia="zh-CN"/>
        </w:rPr>
        <w:t>.</w:t>
      </w:r>
      <w:r>
        <w:rPr>
          <w:rFonts w:hint="eastAsia" w:ascii="宋体" w:hAnsi="宋体" w:eastAsia="宋体" w:cs="宋体"/>
          <w:b/>
          <w:color w:val="auto"/>
          <w:sz w:val="24"/>
        </w:rPr>
        <w:t>招标文件的澄清及修改</w:t>
      </w:r>
    </w:p>
    <w:p w14:paraId="07233DBD">
      <w:pPr>
        <w:pStyle w:val="16"/>
        <w:wordWrap w:val="0"/>
        <w:spacing w:before="0" w:beforeAutospacing="0" w:after="0" w:afterAutospacing="0" w:line="360" w:lineRule="auto"/>
        <w:ind w:firstLine="480" w:firstLineChars="200"/>
        <w:rPr>
          <w:rFonts w:hint="eastAsia" w:ascii="宋体" w:hAnsi="宋体" w:eastAsia="宋体" w:cs="宋体"/>
          <w:color w:val="auto"/>
          <w:kern w:val="2"/>
        </w:rPr>
      </w:pPr>
      <w:r>
        <w:rPr>
          <w:rFonts w:hint="eastAsia" w:ascii="宋体" w:hAnsi="宋体" w:eastAsia="宋体" w:cs="宋体"/>
          <w:color w:val="auto"/>
          <w:kern w:val="2"/>
        </w:rPr>
        <w:t>采购代理机构可对已上传的招标文件进行必要的澄清或者修改，澄清或者修改的内容作为招标文件的组成部分。澄清和修改的内容可能影响投标文件编制的，采购代理机构应当在投标文件截止时间至少</w:t>
      </w:r>
      <w:r>
        <w:rPr>
          <w:rFonts w:hint="eastAsia" w:ascii="宋体" w:hAnsi="宋体" w:eastAsia="宋体" w:cs="宋体"/>
          <w:color w:val="auto"/>
        </w:rPr>
        <w:t>十五日</w:t>
      </w:r>
      <w:r>
        <w:rPr>
          <w:rFonts w:hint="eastAsia" w:ascii="宋体" w:hAnsi="宋体" w:eastAsia="宋体" w:cs="宋体"/>
          <w:color w:val="auto"/>
          <w:kern w:val="2"/>
        </w:rPr>
        <w:t>前，以书面形式通知所有获取招标文件的潜在投标人</w:t>
      </w:r>
      <w:r>
        <w:rPr>
          <w:rFonts w:hint="eastAsia" w:ascii="宋体" w:hAnsi="宋体" w:eastAsia="宋体" w:cs="宋体"/>
          <w:color w:val="auto"/>
          <w:kern w:val="2"/>
          <w:lang w:val="zh-CN"/>
        </w:rPr>
        <w:t>，并对投标人具有约束力。投标人在收到上述通知后，</w:t>
      </w:r>
      <w:r>
        <w:rPr>
          <w:rFonts w:hint="eastAsia" w:ascii="宋体" w:hAnsi="宋体" w:eastAsia="宋体" w:cs="宋体"/>
          <w:color w:val="auto"/>
          <w:kern w:val="2"/>
        </w:rPr>
        <w:t>应当立即以书面形式向采购代理机构确认；不足十五日的，采购代理机构应当顺延提交投标文件的截止时间。</w:t>
      </w:r>
    </w:p>
    <w:p w14:paraId="6919765D">
      <w:pPr>
        <w:pStyle w:val="16"/>
        <w:spacing w:before="0" w:beforeAutospacing="0" w:after="0" w:afterAutospacing="0" w:line="360" w:lineRule="auto"/>
        <w:ind w:firstLine="723" w:firstLineChars="300"/>
        <w:rPr>
          <w:rFonts w:hint="eastAsia" w:ascii="宋体" w:hAnsi="宋体" w:eastAsia="宋体" w:cs="宋体"/>
          <w:color w:val="auto"/>
        </w:rPr>
      </w:pPr>
      <w:r>
        <w:rPr>
          <w:rFonts w:hint="eastAsia" w:ascii="宋体" w:hAnsi="宋体" w:eastAsia="宋体" w:cs="宋体"/>
          <w:b/>
          <w:color w:val="auto"/>
          <w:kern w:val="2"/>
        </w:rPr>
        <w:t>3</w:t>
      </w:r>
      <w:r>
        <w:rPr>
          <w:rFonts w:hint="eastAsia" w:ascii="宋体" w:hAnsi="宋体" w:eastAsia="宋体" w:cs="宋体"/>
          <w:b/>
          <w:color w:val="auto"/>
          <w:kern w:val="2"/>
          <w:lang w:val="en-US" w:eastAsia="zh-CN"/>
        </w:rPr>
        <w:t>.</w:t>
      </w:r>
      <w:r>
        <w:rPr>
          <w:rFonts w:hint="eastAsia" w:ascii="宋体" w:hAnsi="宋体" w:eastAsia="宋体" w:cs="宋体"/>
          <w:b/>
          <w:color w:val="auto"/>
          <w:kern w:val="2"/>
        </w:rPr>
        <w:t>质疑提出与答复</w:t>
      </w:r>
    </w:p>
    <w:p w14:paraId="57B5DBD5">
      <w:pPr>
        <w:pStyle w:val="16"/>
        <w:spacing w:before="0" w:beforeAutospacing="0" w:after="0" w:afterAutospacing="0" w:line="360" w:lineRule="auto"/>
        <w:ind w:firstLine="360" w:firstLineChars="150"/>
        <w:rPr>
          <w:rFonts w:hint="eastAsia" w:ascii="宋体" w:hAnsi="宋体" w:eastAsia="宋体" w:cs="宋体"/>
          <w:color w:val="auto"/>
          <w:kern w:val="2"/>
        </w:rPr>
      </w:pPr>
      <w:r>
        <w:rPr>
          <w:rFonts w:hint="eastAsia" w:ascii="宋体" w:hAnsi="宋体" w:eastAsia="宋体" w:cs="宋体"/>
          <w:color w:val="auto"/>
        </w:rPr>
        <w:t>（1）投标人认为采购文件、采购过程、中标结果使自己的权益受到损害的，可以在知道或者应知其权益受到损害之日起七个工作日内，</w:t>
      </w:r>
      <w:r>
        <w:rPr>
          <w:rFonts w:hint="eastAsia" w:ascii="宋体" w:hAnsi="宋体" w:eastAsia="宋体" w:cs="宋体"/>
          <w:color w:val="auto"/>
          <w:kern w:val="2"/>
        </w:rPr>
        <w:t xml:space="preserve">以书面形式向采购代理机构提出（质疑函接收联系人、联系电话和通讯地址等详见招标公告）。 </w:t>
      </w:r>
    </w:p>
    <w:p w14:paraId="52A6A63C">
      <w:pPr>
        <w:pStyle w:val="16"/>
        <w:spacing w:before="0" w:beforeAutospacing="0" w:after="0" w:afterAutospacing="0" w:line="360" w:lineRule="auto"/>
        <w:ind w:firstLine="360" w:firstLineChars="150"/>
        <w:rPr>
          <w:rFonts w:hint="eastAsia" w:ascii="宋体" w:hAnsi="宋体" w:eastAsia="宋体" w:cs="宋体"/>
          <w:color w:val="auto"/>
          <w:kern w:val="2"/>
        </w:rPr>
      </w:pPr>
      <w:r>
        <w:rPr>
          <w:rFonts w:hint="eastAsia" w:ascii="宋体" w:hAnsi="宋体" w:eastAsia="宋体" w:cs="宋体"/>
          <w:color w:val="auto"/>
        </w:rPr>
        <w:t>（2）</w:t>
      </w:r>
      <w:r>
        <w:rPr>
          <w:rFonts w:hint="eastAsia" w:ascii="宋体" w:hAnsi="宋体" w:eastAsia="宋体" w:cs="宋体"/>
          <w:color w:val="auto"/>
          <w:lang w:val="en-US" w:eastAsia="zh-CN"/>
        </w:rPr>
        <w:t>投标供应商</w:t>
      </w:r>
      <w:r>
        <w:rPr>
          <w:rFonts w:hint="eastAsia" w:ascii="宋体" w:hAnsi="宋体" w:eastAsia="宋体" w:cs="宋体"/>
          <w:color w:val="auto"/>
        </w:rPr>
        <w:t>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5C83125D">
      <w:pPr>
        <w:snapToGrid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质疑函应当包括下列内容：</w:t>
      </w:r>
    </w:p>
    <w:p w14:paraId="71C42F3E">
      <w:pPr>
        <w:pStyle w:val="24"/>
        <w:snapToGrid w:val="0"/>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rPr>
        <w:t>①</w:t>
      </w:r>
      <w:r>
        <w:rPr>
          <w:rFonts w:hint="eastAsia" w:ascii="宋体" w:hAnsi="宋体" w:eastAsia="宋体" w:cs="宋体"/>
          <w:color w:val="auto"/>
          <w:szCs w:val="24"/>
          <w:lang w:val="zh-CN"/>
        </w:rPr>
        <w:t>投标人</w:t>
      </w:r>
      <w:r>
        <w:rPr>
          <w:rFonts w:hint="eastAsia" w:ascii="宋体" w:hAnsi="宋体" w:eastAsia="宋体" w:cs="宋体"/>
          <w:color w:val="auto"/>
          <w:szCs w:val="24"/>
        </w:rPr>
        <w:t>的姓名或者名称、地址、邮编、联系人及联系电话；</w:t>
      </w:r>
    </w:p>
    <w:p w14:paraId="68307F98">
      <w:pPr>
        <w:pStyle w:val="24"/>
        <w:snapToGrid w:val="0"/>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rPr>
        <w:t>②质疑项目的名称、编号；</w:t>
      </w:r>
    </w:p>
    <w:p w14:paraId="7EE2BC92">
      <w:pPr>
        <w:pStyle w:val="24"/>
        <w:snapToGrid w:val="0"/>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rPr>
        <w:t>③具体、明确的质疑事项和与质疑事项相关的请求；</w:t>
      </w:r>
    </w:p>
    <w:p w14:paraId="57375FC1">
      <w:pPr>
        <w:pStyle w:val="24"/>
        <w:snapToGrid w:val="0"/>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rPr>
        <w:t>④事实依据；</w:t>
      </w:r>
    </w:p>
    <w:p w14:paraId="3A8E7BF7">
      <w:pPr>
        <w:pStyle w:val="24"/>
        <w:snapToGrid w:val="0"/>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rPr>
        <w:t>⑤必要的法律依据；</w:t>
      </w:r>
    </w:p>
    <w:p w14:paraId="05B6A54B">
      <w:pPr>
        <w:pStyle w:val="24"/>
        <w:snapToGrid w:val="0"/>
        <w:spacing w:line="360" w:lineRule="auto"/>
        <w:ind w:firstLine="480"/>
        <w:rPr>
          <w:rFonts w:hint="eastAsia" w:ascii="宋体" w:hAnsi="宋体" w:eastAsia="宋体" w:cs="宋体"/>
          <w:color w:val="auto"/>
        </w:rPr>
      </w:pPr>
      <w:r>
        <w:rPr>
          <w:rFonts w:hint="eastAsia" w:ascii="宋体" w:hAnsi="宋体" w:eastAsia="宋体" w:cs="宋体"/>
          <w:color w:val="auto"/>
          <w:szCs w:val="24"/>
        </w:rPr>
        <w:t>⑥提出质疑的日期。</w:t>
      </w:r>
      <w:r>
        <w:rPr>
          <w:rFonts w:hint="eastAsia" w:ascii="宋体" w:hAnsi="宋体" w:eastAsia="宋体" w:cs="宋体"/>
          <w:color w:val="auto"/>
        </w:rPr>
        <w:t xml:space="preserve"> </w:t>
      </w:r>
    </w:p>
    <w:p w14:paraId="276204E2">
      <w:pPr>
        <w:pStyle w:val="24"/>
        <w:snapToGrid w:val="0"/>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rPr>
        <w:t>备注：</w:t>
      </w:r>
      <w:r>
        <w:rPr>
          <w:rFonts w:hint="eastAsia" w:ascii="宋体" w:hAnsi="宋体" w:eastAsia="宋体" w:cs="宋体"/>
          <w:color w:val="auto"/>
          <w:lang w:val="zh-CN"/>
        </w:rPr>
        <w:t>投标人</w:t>
      </w:r>
      <w:r>
        <w:rPr>
          <w:rFonts w:hint="eastAsia" w:ascii="宋体" w:hAnsi="宋体" w:eastAsia="宋体" w:cs="宋体"/>
          <w:color w:val="auto"/>
          <w:szCs w:val="24"/>
        </w:rPr>
        <w:t>须在法定质疑期内一次性提出针对同一采购程序环节的质疑。</w:t>
      </w:r>
    </w:p>
    <w:p w14:paraId="224A7B69">
      <w:pPr>
        <w:snapToGrid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（3）质疑有以下情形之一的，采购代理机构不予受理：</w:t>
      </w:r>
    </w:p>
    <w:p w14:paraId="12FBB204">
      <w:pPr>
        <w:pStyle w:val="24"/>
        <w:snapToGrid w:val="0"/>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rPr>
        <w:t>①未按规定程序和渠道提出质疑的；</w:t>
      </w:r>
    </w:p>
    <w:p w14:paraId="440C6F0C">
      <w:pPr>
        <w:pStyle w:val="24"/>
        <w:snapToGrid w:val="0"/>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rPr>
        <w:t xml:space="preserve">②超过法定质疑期限的； </w:t>
      </w:r>
    </w:p>
    <w:p w14:paraId="3BF11DA2">
      <w:pPr>
        <w:pStyle w:val="24"/>
        <w:snapToGrid w:val="0"/>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rPr>
        <w:t>③书面质疑的形式和内容不符合上述要求的；</w:t>
      </w:r>
    </w:p>
    <w:p w14:paraId="3BD9B707">
      <w:pPr>
        <w:pStyle w:val="24"/>
        <w:snapToGrid w:val="0"/>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rPr>
        <w:t xml:space="preserve">④提出的质疑事项已经明确答复的； </w:t>
      </w:r>
    </w:p>
    <w:p w14:paraId="49FAEEB4">
      <w:pPr>
        <w:pStyle w:val="24"/>
        <w:snapToGrid w:val="0"/>
        <w:spacing w:line="360" w:lineRule="auto"/>
        <w:ind w:firstLine="480"/>
        <w:rPr>
          <w:rFonts w:hint="eastAsia" w:ascii="宋体" w:hAnsi="宋体" w:eastAsia="宋体" w:cs="宋体"/>
          <w:color w:val="auto"/>
          <w:szCs w:val="24"/>
        </w:rPr>
      </w:pPr>
      <w:r>
        <w:rPr>
          <w:rFonts w:hint="eastAsia" w:ascii="宋体" w:hAnsi="宋体" w:eastAsia="宋体" w:cs="宋体"/>
          <w:color w:val="auto"/>
          <w:szCs w:val="24"/>
        </w:rPr>
        <w:t>⑤法律法规规定的其他不予受理的条件。</w:t>
      </w:r>
    </w:p>
    <w:p w14:paraId="34AC8C2F">
      <w:pPr>
        <w:pStyle w:val="16"/>
        <w:spacing w:before="0" w:beforeAutospacing="0" w:after="0" w:afterAutospacing="0" w:line="360" w:lineRule="auto"/>
        <w:ind w:firstLine="360" w:firstLineChars="150"/>
        <w:rPr>
          <w:rFonts w:hint="eastAsia" w:ascii="宋体" w:hAnsi="宋体" w:eastAsia="宋体" w:cs="宋体"/>
          <w:color w:val="auto"/>
        </w:rPr>
      </w:pPr>
      <w:r>
        <w:rPr>
          <w:rFonts w:hint="eastAsia" w:ascii="宋体" w:hAnsi="宋体" w:eastAsia="宋体" w:cs="宋体"/>
          <w:color w:val="auto"/>
        </w:rPr>
        <w:t>（4）</w:t>
      </w:r>
      <w:r>
        <w:rPr>
          <w:rFonts w:hint="eastAsia" w:ascii="宋体" w:hAnsi="宋体" w:eastAsia="宋体" w:cs="宋体"/>
          <w:color w:val="auto"/>
          <w:kern w:val="2"/>
        </w:rPr>
        <w:t>采购代理机构应当在收到质疑函后</w:t>
      </w:r>
      <w:r>
        <w:rPr>
          <w:rFonts w:hint="eastAsia" w:ascii="宋体" w:hAnsi="宋体" w:eastAsia="宋体" w:cs="宋体"/>
          <w:color w:val="auto"/>
        </w:rPr>
        <w:t>七个工作日内做出书面答复。答复内容同时通知与处理结果有关的投标人，但答复内容不得涉及投标人的商业秘密。</w:t>
      </w:r>
    </w:p>
    <w:p w14:paraId="0405B9C4">
      <w:pPr>
        <w:spacing w:line="360" w:lineRule="auto"/>
        <w:ind w:firstLine="482" w:firstLineChars="200"/>
        <w:rPr>
          <w:rFonts w:hint="eastAsia" w:ascii="宋体" w:hAnsi="宋体" w:eastAsia="宋体" w:cs="宋体"/>
          <w:b/>
          <w:color w:val="auto"/>
          <w:sz w:val="24"/>
        </w:rPr>
      </w:pPr>
      <w:r>
        <w:rPr>
          <w:rFonts w:hint="eastAsia" w:ascii="宋体" w:hAnsi="宋体" w:eastAsia="宋体" w:cs="宋体"/>
          <w:b/>
          <w:color w:val="auto"/>
          <w:sz w:val="24"/>
        </w:rPr>
        <w:t>4</w:t>
      </w:r>
      <w:r>
        <w:rPr>
          <w:rFonts w:hint="eastAsia" w:ascii="宋体" w:hAnsi="宋体" w:eastAsia="宋体" w:cs="宋体"/>
          <w:b/>
          <w:color w:val="auto"/>
          <w:sz w:val="24"/>
          <w:lang w:val="en-US" w:eastAsia="zh-CN"/>
        </w:rPr>
        <w:t>.</w:t>
      </w:r>
      <w:r>
        <w:rPr>
          <w:rFonts w:hint="eastAsia" w:ascii="宋体" w:hAnsi="宋体" w:eastAsia="宋体" w:cs="宋体"/>
          <w:b/>
          <w:color w:val="auto"/>
          <w:sz w:val="24"/>
        </w:rPr>
        <w:t>评标的处理依据</w:t>
      </w:r>
    </w:p>
    <w:p w14:paraId="7C513BB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评标委员会有权对在开标、评标过程中出现的一切问题，根据《中华人民共和国政府采购法》、《中华人民共和国政府采购法实施条例》和</w:t>
      </w:r>
      <w:r>
        <w:rPr>
          <w:rFonts w:hint="eastAsia" w:ascii="宋体" w:hAnsi="宋体" w:eastAsia="宋体" w:cs="宋体"/>
          <w:color w:val="auto"/>
          <w:kern w:val="0"/>
          <w:sz w:val="24"/>
        </w:rPr>
        <w:t>《政府采购货物和服务招标投标管理办法》</w:t>
      </w:r>
      <w:r>
        <w:rPr>
          <w:rFonts w:hint="eastAsia" w:ascii="宋体" w:hAnsi="宋体" w:eastAsia="宋体" w:cs="宋体"/>
          <w:color w:val="auto"/>
          <w:sz w:val="24"/>
        </w:rPr>
        <w:t xml:space="preserve">等相关法律、法规的条款，本着公开、公平、公正的原则进行处理。 </w:t>
      </w:r>
    </w:p>
    <w:p w14:paraId="03F38F7D">
      <w:pPr>
        <w:spacing w:line="360" w:lineRule="auto"/>
        <w:ind w:firstLine="482" w:firstLineChars="200"/>
        <w:rPr>
          <w:rFonts w:hint="eastAsia" w:ascii="宋体" w:hAnsi="宋体" w:eastAsia="宋体" w:cs="宋体"/>
          <w:b/>
          <w:color w:val="auto"/>
          <w:sz w:val="24"/>
        </w:rPr>
      </w:pPr>
      <w:r>
        <w:rPr>
          <w:rFonts w:hint="eastAsia" w:ascii="宋体" w:hAnsi="宋体" w:eastAsia="宋体" w:cs="宋体"/>
          <w:b/>
          <w:color w:val="auto"/>
          <w:sz w:val="24"/>
        </w:rPr>
        <w:t>5</w:t>
      </w:r>
      <w:r>
        <w:rPr>
          <w:rFonts w:hint="eastAsia" w:ascii="宋体" w:hAnsi="宋体" w:eastAsia="宋体" w:cs="宋体"/>
          <w:b/>
          <w:color w:val="auto"/>
          <w:sz w:val="24"/>
          <w:lang w:val="en-US" w:eastAsia="zh-CN"/>
        </w:rPr>
        <w:t>.</w:t>
      </w:r>
      <w:r>
        <w:rPr>
          <w:rFonts w:hint="eastAsia" w:ascii="宋体" w:hAnsi="宋体" w:eastAsia="宋体" w:cs="宋体"/>
          <w:b/>
          <w:color w:val="auto"/>
          <w:sz w:val="24"/>
        </w:rPr>
        <w:t>解释权归属</w:t>
      </w:r>
    </w:p>
    <w:p w14:paraId="159CFBE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本招标文件的解释权归采购代理机构。</w:t>
      </w:r>
    </w:p>
    <w:p w14:paraId="493A83E3">
      <w:pPr>
        <w:rPr>
          <w:rFonts w:hint="eastAsia" w:ascii="宋体" w:hAnsi="宋体" w:eastAsia="宋体" w:cs="宋体"/>
          <w:color w:val="auto"/>
        </w:rPr>
      </w:pPr>
    </w:p>
    <w:p w14:paraId="24954C3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43" w:firstLineChars="200"/>
        <w:jc w:val="center"/>
        <w:textAlignment w:val="auto"/>
        <w:rPr>
          <w:rStyle w:val="22"/>
          <w:rFonts w:hint="eastAsia" w:ascii="宋体" w:hAnsi="宋体" w:eastAsia="宋体" w:cs="宋体"/>
          <w:b/>
          <w:bCs/>
          <w:i w:val="0"/>
          <w:iCs w:val="0"/>
          <w:caps w:val="0"/>
          <w:color w:val="auto"/>
          <w:spacing w:val="0"/>
          <w:sz w:val="32"/>
          <w:szCs w:val="32"/>
          <w:shd w:val="clear" w:fill="FFFFFF"/>
        </w:rPr>
      </w:pPr>
      <w:r>
        <w:rPr>
          <w:rStyle w:val="22"/>
          <w:rFonts w:hint="eastAsia" w:ascii="宋体" w:hAnsi="宋体" w:eastAsia="宋体" w:cs="宋体"/>
          <w:b/>
          <w:bCs/>
          <w:i w:val="0"/>
          <w:iCs w:val="0"/>
          <w:caps w:val="0"/>
          <w:color w:val="auto"/>
          <w:spacing w:val="0"/>
          <w:sz w:val="32"/>
          <w:szCs w:val="32"/>
          <w:shd w:val="clear" w:fill="FFFFFF"/>
        </w:rPr>
        <w:t>四、招标要求</w:t>
      </w:r>
    </w:p>
    <w:p w14:paraId="22DBB5A3">
      <w:pPr>
        <w:spacing w:line="360" w:lineRule="auto"/>
        <w:ind w:left="-122" w:leftChars="-58" w:firstLine="723" w:firstLineChars="300"/>
        <w:rPr>
          <w:rFonts w:hint="eastAsia" w:ascii="宋体" w:hAnsi="宋体" w:eastAsia="宋体" w:cs="宋体"/>
          <w:b/>
          <w:color w:val="auto"/>
          <w:sz w:val="24"/>
        </w:rPr>
      </w:pPr>
      <w:r>
        <w:rPr>
          <w:rFonts w:hint="eastAsia" w:ascii="宋体" w:hAnsi="宋体" w:eastAsia="宋体" w:cs="宋体"/>
          <w:b/>
          <w:color w:val="auto"/>
          <w:sz w:val="24"/>
        </w:rPr>
        <w:t>1.招标文件内容</w:t>
      </w:r>
    </w:p>
    <w:p w14:paraId="256E653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本次招标为</w:t>
      </w:r>
      <w:r>
        <w:rPr>
          <w:rFonts w:hint="eastAsia" w:ascii="宋体" w:hAnsi="宋体" w:eastAsia="宋体" w:cs="宋体"/>
          <w:i w:val="0"/>
          <w:iCs w:val="0"/>
          <w:caps w:val="0"/>
          <w:color w:val="auto"/>
          <w:spacing w:val="0"/>
          <w:sz w:val="24"/>
          <w:szCs w:val="24"/>
          <w:highlight w:val="none"/>
          <w:shd w:val="clear" w:fill="FFFFFF"/>
        </w:rPr>
        <w:t>延安市公安局</w:t>
      </w:r>
      <w:r>
        <w:rPr>
          <w:rFonts w:hint="eastAsia" w:ascii="宋体" w:hAnsi="宋体" w:cs="宋体"/>
          <w:i w:val="0"/>
          <w:iCs w:val="0"/>
          <w:caps w:val="0"/>
          <w:color w:val="auto"/>
          <w:spacing w:val="0"/>
          <w:sz w:val="24"/>
          <w:szCs w:val="24"/>
          <w:highlight w:val="none"/>
          <w:shd w:val="clear" w:fill="FFFFFF"/>
          <w:lang w:eastAsia="zh-CN"/>
        </w:rPr>
        <w:t>市县两级110统一接警运营维护服务项目（二次）</w:t>
      </w:r>
      <w:r>
        <w:rPr>
          <w:rFonts w:hint="eastAsia" w:ascii="宋体" w:hAnsi="宋体" w:eastAsia="宋体" w:cs="宋体"/>
          <w:color w:val="auto"/>
          <w:sz w:val="24"/>
        </w:rPr>
        <w:t>。投标人不得将整体项目再行分解或只投其中的一部分内容，否则投标无效；开标、阅标、评标、定标、签订合同均以项目为单位进行。</w:t>
      </w:r>
    </w:p>
    <w:p w14:paraId="0E0464B3">
      <w:pPr>
        <w:spacing w:line="360" w:lineRule="auto"/>
        <w:ind w:left="-122" w:leftChars="-58" w:firstLine="723" w:firstLineChars="300"/>
        <w:rPr>
          <w:rFonts w:hint="eastAsia" w:ascii="宋体" w:hAnsi="宋体" w:eastAsia="宋体" w:cs="宋体"/>
          <w:b/>
          <w:color w:val="auto"/>
          <w:sz w:val="24"/>
        </w:rPr>
      </w:pPr>
      <w:r>
        <w:rPr>
          <w:rFonts w:hint="eastAsia" w:ascii="宋体" w:hAnsi="宋体" w:eastAsia="宋体" w:cs="宋体"/>
          <w:b/>
          <w:color w:val="auto"/>
          <w:sz w:val="24"/>
        </w:rPr>
        <w:t>2.投标人须提交以下资质证书和证明文件：</w:t>
      </w:r>
    </w:p>
    <w:p w14:paraId="78FF3703">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ascii="宋体" w:hAnsi="宋体" w:eastAsia="宋体" w:cs="宋体"/>
          <w:i w:val="0"/>
          <w:iCs w:val="0"/>
          <w:caps w:val="0"/>
          <w:color w:val="auto"/>
          <w:spacing w:val="0"/>
          <w:sz w:val="24"/>
          <w:szCs w:val="24"/>
          <w:shd w:val="clear" w:fill="FFFFFF"/>
        </w:rPr>
        <w:t>具有独立承担民事责任能力的法人或其他组织，提供合法有效的统一社会信用代码的营业执照（附年度报告书）或事业单位法人证书等国家规定的相关证明，自然人参与的提供其身份证明；</w:t>
      </w:r>
    </w:p>
    <w:p w14:paraId="4FED08C4">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Chars="200" w:right="0" w:right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（2）法定代表人</w:t>
      </w:r>
      <w:r>
        <w:rPr>
          <w:rFonts w:hint="eastAsia" w:ascii="宋体" w:hAnsi="宋体" w:eastAsia="宋体" w:cs="宋体"/>
          <w:i w:val="0"/>
          <w:iCs w:val="0"/>
          <w:caps w:val="0"/>
          <w:color w:val="auto"/>
          <w:spacing w:val="0"/>
          <w:sz w:val="24"/>
          <w:szCs w:val="24"/>
          <w:shd w:val="clear" w:fill="FFFFFF"/>
          <w:lang w:val="en-US" w:eastAsia="zh-CN"/>
        </w:rPr>
        <w:t>/负责人</w:t>
      </w:r>
      <w:r>
        <w:rPr>
          <w:rFonts w:hint="eastAsia" w:ascii="宋体" w:hAnsi="宋体" w:eastAsia="宋体" w:cs="宋体"/>
          <w:i w:val="0"/>
          <w:iCs w:val="0"/>
          <w:caps w:val="0"/>
          <w:color w:val="auto"/>
          <w:spacing w:val="0"/>
          <w:sz w:val="24"/>
          <w:szCs w:val="24"/>
          <w:shd w:val="clear" w:fill="FFFFFF"/>
        </w:rPr>
        <w:t>授权书（附法定代表人</w:t>
      </w:r>
      <w:r>
        <w:rPr>
          <w:rFonts w:hint="eastAsia" w:ascii="宋体" w:hAnsi="宋体" w:eastAsia="宋体" w:cs="宋体"/>
          <w:i w:val="0"/>
          <w:iCs w:val="0"/>
          <w:caps w:val="0"/>
          <w:color w:val="auto"/>
          <w:spacing w:val="0"/>
          <w:sz w:val="24"/>
          <w:szCs w:val="24"/>
          <w:shd w:val="clear" w:fill="FFFFFF"/>
          <w:lang w:val="en-US" w:eastAsia="zh-CN"/>
        </w:rPr>
        <w:t>/负责人</w:t>
      </w:r>
      <w:r>
        <w:rPr>
          <w:rFonts w:hint="eastAsia" w:ascii="宋体" w:hAnsi="宋体" w:eastAsia="宋体" w:cs="宋体"/>
          <w:i w:val="0"/>
          <w:iCs w:val="0"/>
          <w:caps w:val="0"/>
          <w:color w:val="auto"/>
          <w:spacing w:val="0"/>
          <w:sz w:val="24"/>
          <w:szCs w:val="24"/>
          <w:shd w:val="clear" w:fill="FFFFFF"/>
        </w:rPr>
        <w:t>身份证复印件）及被授权人身份证（法定代表人</w:t>
      </w:r>
      <w:r>
        <w:rPr>
          <w:rFonts w:hint="eastAsia" w:ascii="宋体" w:hAnsi="宋体" w:eastAsia="宋体" w:cs="宋体"/>
          <w:i w:val="0"/>
          <w:iCs w:val="0"/>
          <w:caps w:val="0"/>
          <w:color w:val="auto"/>
          <w:spacing w:val="0"/>
          <w:sz w:val="24"/>
          <w:szCs w:val="24"/>
          <w:shd w:val="clear" w:fill="FFFFFF"/>
          <w:lang w:val="en-US" w:eastAsia="zh-CN"/>
        </w:rPr>
        <w:t>/负责人</w:t>
      </w:r>
      <w:r>
        <w:rPr>
          <w:rFonts w:hint="eastAsia" w:ascii="宋体" w:hAnsi="宋体" w:eastAsia="宋体" w:cs="宋体"/>
          <w:i w:val="0"/>
          <w:iCs w:val="0"/>
          <w:caps w:val="0"/>
          <w:color w:val="auto"/>
          <w:spacing w:val="0"/>
          <w:sz w:val="24"/>
          <w:szCs w:val="24"/>
          <w:shd w:val="clear" w:fill="FFFFFF"/>
        </w:rPr>
        <w:t>直接参加只须提供法定代表人</w:t>
      </w:r>
      <w:r>
        <w:rPr>
          <w:rFonts w:hint="eastAsia" w:ascii="宋体" w:hAnsi="宋体" w:eastAsia="宋体" w:cs="宋体"/>
          <w:i w:val="0"/>
          <w:iCs w:val="0"/>
          <w:caps w:val="0"/>
          <w:color w:val="auto"/>
          <w:spacing w:val="0"/>
          <w:sz w:val="24"/>
          <w:szCs w:val="24"/>
          <w:shd w:val="clear" w:fill="FFFFFF"/>
          <w:lang w:val="en-US" w:eastAsia="zh-CN"/>
        </w:rPr>
        <w:t>/负责人</w:t>
      </w:r>
      <w:r>
        <w:rPr>
          <w:rFonts w:hint="eastAsia" w:ascii="宋体" w:hAnsi="宋体" w:eastAsia="宋体" w:cs="宋体"/>
          <w:i w:val="0"/>
          <w:iCs w:val="0"/>
          <w:caps w:val="0"/>
          <w:color w:val="auto"/>
          <w:spacing w:val="0"/>
          <w:sz w:val="24"/>
          <w:szCs w:val="24"/>
          <w:shd w:val="clear" w:fill="FFFFFF"/>
        </w:rPr>
        <w:t>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（3）财务状况报告：提供2025年度的财务审计报告(成立时间至提交投标文件截止时间不足一年的可提供成立后任意时段的资产负债表),或其基本存款账户开户银行出具的资信证明及基本存款账户开户信息；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（4）社会保障资金缴纳证明：提供2025年0</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月份至2026年0</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（5）税收缴纳证明：提供已缴纳的2025年0</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月份至2026年0</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月份任意一个月份的缴税凭证；依法免税的投标人应提供相关文件证明；</w:t>
      </w:r>
    </w:p>
    <w:p w14:paraId="5D888D6A">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Chars="200" w:right="0" w:rightChars="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投标人须具有履行合同所必需的设备和专业技术能力，提供相关证明材料或承诺函。</w:t>
      </w:r>
    </w:p>
    <w:p w14:paraId="092288A8">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Chars="200" w:right="0" w:rightChars="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投标人须持有合法有效的《中华人民共和国增值电信业务经营许可证》，经营业务种类明确包含国内呼叫中心业务，业务经营覆盖范围包含陕西省行政区域。</w:t>
      </w:r>
    </w:p>
    <w:p w14:paraId="06E9C3F7">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Chars="200" w:right="0" w:rightChars="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rPr>
        <w:t>）信用记录：提供《投标人信用记录书面声明函》（按格式填写）</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经查投标人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p>
    <w:p w14:paraId="4D04FF07">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rPr>
      </w:pP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）本项目不接受联合体投标，投标单位须提供非联合体投标声明函（按格式填写）。</w:t>
      </w:r>
    </w:p>
    <w:p w14:paraId="2C7BC641">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以上资格证明文件中（1）-（</w:t>
      </w:r>
      <w:r>
        <w:rPr>
          <w:rFonts w:hint="eastAsia" w:cs="宋体"/>
          <w:color w:val="auto"/>
          <w:sz w:val="24"/>
          <w:lang w:val="en-US" w:eastAsia="zh-CN"/>
        </w:rPr>
        <w:t>9</w:t>
      </w:r>
      <w:r>
        <w:rPr>
          <w:rFonts w:hint="eastAsia" w:ascii="宋体" w:hAnsi="宋体" w:eastAsia="宋体" w:cs="宋体"/>
          <w:color w:val="auto"/>
          <w:sz w:val="24"/>
        </w:rPr>
        <w:t>）项为必备资质，缺少一项或某项达不到要求，其投标均无效。若证件的有效期已过，且发证机关未统一换证，须提供发证主管机关的证明文件，否则按无效证明对待。</w:t>
      </w:r>
    </w:p>
    <w:p w14:paraId="4E9CA7F3">
      <w:pPr>
        <w:spacing w:line="360" w:lineRule="auto"/>
        <w:ind w:left="-122" w:leftChars="-58" w:firstLine="723" w:firstLineChars="300"/>
        <w:rPr>
          <w:rFonts w:hint="eastAsia" w:ascii="宋体" w:hAnsi="宋体" w:eastAsia="宋体" w:cs="宋体"/>
          <w:b/>
          <w:color w:val="auto"/>
          <w:sz w:val="24"/>
        </w:rPr>
      </w:pPr>
      <w:r>
        <w:rPr>
          <w:rFonts w:hint="eastAsia" w:ascii="宋体" w:hAnsi="宋体" w:eastAsia="宋体" w:cs="宋体"/>
          <w:b/>
          <w:color w:val="auto"/>
          <w:sz w:val="24"/>
        </w:rPr>
        <w:t>3.投标文件的编制</w:t>
      </w:r>
    </w:p>
    <w:p w14:paraId="497E037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投标文件必须根据招标文件提供的内容及格式编制，并对招标文件做出实质性响应；具体内容包括：</w:t>
      </w:r>
    </w:p>
    <w:p w14:paraId="0DB2BFDB">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（1）按照格式要求填写的投标函；</w:t>
      </w:r>
    </w:p>
    <w:p w14:paraId="53A28E01">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（2）开标一览表、分项报价表、技术规格响应偏离表、商务及合同主要条款响应说明；</w:t>
      </w:r>
    </w:p>
    <w:p w14:paraId="6165EABF">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（3）法定代表人证明及法定代表人授权委托书；</w:t>
      </w:r>
    </w:p>
    <w:p w14:paraId="0E89F6AE">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（4）资格证明文件；</w:t>
      </w:r>
    </w:p>
    <w:p w14:paraId="24922B5E">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（5）技术方案； </w:t>
      </w:r>
    </w:p>
    <w:p w14:paraId="593597D9">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（6）投标人承诺书。</w:t>
      </w:r>
    </w:p>
    <w:p w14:paraId="1D418D07">
      <w:pPr>
        <w:spacing w:line="360" w:lineRule="auto"/>
        <w:ind w:left="-122" w:leftChars="-58" w:firstLine="723" w:firstLineChars="300"/>
        <w:rPr>
          <w:rFonts w:hint="eastAsia" w:ascii="宋体" w:hAnsi="宋体" w:eastAsia="宋体" w:cs="宋体"/>
          <w:b/>
          <w:color w:val="auto"/>
          <w:sz w:val="24"/>
        </w:rPr>
      </w:pPr>
      <w:r>
        <w:rPr>
          <w:rFonts w:hint="eastAsia" w:ascii="宋体" w:hAnsi="宋体" w:eastAsia="宋体" w:cs="宋体"/>
          <w:b/>
          <w:color w:val="auto"/>
          <w:sz w:val="24"/>
        </w:rPr>
        <w:t>4.投标报价</w:t>
      </w:r>
    </w:p>
    <w:p w14:paraId="51F7D0E8">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（1）投标报价是指完成服务过程中发生的全部费用，包括管理服务费用、税费、其他费用等相关的全部费用。</w:t>
      </w:r>
    </w:p>
    <w:p w14:paraId="39FF573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（2）投标人应在投标文件中的开标一览表（唱标报告）上，标明响应服务的所有费用；任何有选择的报价不予接受；</w:t>
      </w:r>
    </w:p>
    <w:p w14:paraId="525C309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（3）投标货币：人民币；单位：元；</w:t>
      </w:r>
    </w:p>
    <w:p w14:paraId="097333CD">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（4）开标一览表应有投标人公章及法定代表人或被授权人的签字；</w:t>
      </w:r>
    </w:p>
    <w:p w14:paraId="1B5D0F28">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（5）投标报价表中标明的价格，在合同执行过程中，不得以任何理由变更；</w:t>
      </w:r>
    </w:p>
    <w:p w14:paraId="6981873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（6）凡因投标人对招标文件阅读不深、理解不透、误解、疏漏、或因市场行情了解不清造成的后果和风险均由投标人自负；</w:t>
      </w:r>
    </w:p>
    <w:p w14:paraId="345603A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（7）最低报价不是中标的唯一依据；</w:t>
      </w:r>
    </w:p>
    <w:p w14:paraId="4BD314E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8）投标人不得以低于成本的报价参加投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19A0AF35">
      <w:pPr>
        <w:spacing w:line="360" w:lineRule="auto"/>
        <w:ind w:firstLine="482" w:firstLineChars="200"/>
        <w:rPr>
          <w:rFonts w:hint="eastAsia" w:ascii="宋体" w:hAnsi="宋体" w:eastAsia="宋体" w:cs="宋体"/>
          <w:b/>
          <w:bCs/>
          <w:color w:val="auto"/>
          <w:sz w:val="24"/>
          <w:lang w:val="en-US" w:eastAsia="zh-CN"/>
        </w:rPr>
      </w:pPr>
      <w:r>
        <w:rPr>
          <w:rFonts w:hint="eastAsia" w:ascii="宋体" w:hAnsi="宋体" w:eastAsia="宋体" w:cs="宋体"/>
          <w:b/>
          <w:bCs/>
          <w:color w:val="auto"/>
          <w:sz w:val="24"/>
        </w:rPr>
        <w:t>5.投标保证金：</w:t>
      </w:r>
      <w:r>
        <w:rPr>
          <w:rFonts w:hint="eastAsia" w:ascii="宋体" w:hAnsi="宋体" w:eastAsia="宋体" w:cs="宋体"/>
          <w:b w:val="0"/>
          <w:bCs w:val="0"/>
          <w:color w:val="auto"/>
          <w:sz w:val="24"/>
          <w:lang w:val="en-US" w:eastAsia="zh-CN"/>
        </w:rPr>
        <w:t>本项目不收取保证金。</w:t>
      </w:r>
    </w:p>
    <w:p w14:paraId="58382FF5">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6.投标文件的有效期</w:t>
      </w:r>
    </w:p>
    <w:p w14:paraId="373FEB9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投标文件有效期为自开标之日起算90个日历日；投标文件无投标有效期或有效期短于招标文件规定的投标有效期，按无效文件处理。中标人的投标文件有效期延长至合同执行完毕。</w:t>
      </w:r>
    </w:p>
    <w:p w14:paraId="76077AD0">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7.投标文件的签署及规定</w:t>
      </w:r>
    </w:p>
    <w:p w14:paraId="608C4B23">
      <w:pPr>
        <w:pStyle w:val="25"/>
        <w:widowControl w:val="0"/>
        <w:overflowPunct w:val="0"/>
        <w:adjustRightInd w:val="0"/>
        <w:snapToGrid w:val="0"/>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（1）投标单位须依据招标文件内容和投标文件格式的要求编制投标文件；</w:t>
      </w:r>
    </w:p>
    <w:p w14:paraId="73359029">
      <w:pPr>
        <w:pStyle w:val="25"/>
        <w:widowControl w:val="0"/>
        <w:overflowPunct w:val="0"/>
        <w:adjustRightInd w:val="0"/>
        <w:snapToGrid w:val="0"/>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（2）纸质版投标文件的正本和所有的副本均需打印或用不褪色的蓝（黑）墨水填写，注明“正本”、“副本”、“电子版(U盘）”字样。统一装订、编码，在每一页的正下方清楚标明共几页、第几页等字样；</w:t>
      </w:r>
    </w:p>
    <w:p w14:paraId="48AB7A29">
      <w:pPr>
        <w:overflowPunct w:val="0"/>
        <w:adjustRightInd w:val="0"/>
        <w:snapToGrid w:val="0"/>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（3）本次招标需在开标时同时提交纸质版投标文件</w:t>
      </w:r>
      <w:r>
        <w:rPr>
          <w:rFonts w:hint="eastAsia" w:ascii="宋体" w:hAnsi="宋体" w:eastAsia="宋体" w:cs="宋体"/>
          <w:b/>
          <w:color w:val="auto"/>
          <w:sz w:val="24"/>
        </w:rPr>
        <w:t>共</w:t>
      </w:r>
      <w:r>
        <w:rPr>
          <w:rFonts w:hint="eastAsia" w:ascii="宋体" w:hAnsi="宋体" w:eastAsia="宋体" w:cs="宋体"/>
          <w:b/>
          <w:color w:val="auto"/>
          <w:sz w:val="24"/>
          <w:lang w:val="en-US" w:eastAsia="zh-CN"/>
        </w:rPr>
        <w:t>叁</w:t>
      </w:r>
      <w:r>
        <w:rPr>
          <w:rFonts w:hint="eastAsia" w:ascii="宋体" w:hAnsi="宋体" w:eastAsia="宋体" w:cs="宋体"/>
          <w:b/>
          <w:color w:val="auto"/>
          <w:sz w:val="24"/>
        </w:rPr>
        <w:t>份，其中正本壹份，副本</w:t>
      </w:r>
      <w:r>
        <w:rPr>
          <w:rFonts w:hint="eastAsia" w:ascii="宋体" w:hAnsi="宋体" w:eastAsia="宋体" w:cs="宋体"/>
          <w:b/>
          <w:color w:val="auto"/>
          <w:sz w:val="24"/>
          <w:lang w:val="en-US" w:eastAsia="zh-CN"/>
        </w:rPr>
        <w:t>贰</w:t>
      </w:r>
      <w:r>
        <w:rPr>
          <w:rFonts w:hint="eastAsia" w:ascii="宋体" w:hAnsi="宋体" w:eastAsia="宋体" w:cs="宋体"/>
          <w:b/>
          <w:color w:val="auto"/>
          <w:sz w:val="24"/>
        </w:rPr>
        <w:t>份；电子版投标文件提供PDF格式</w:t>
      </w:r>
      <w:r>
        <w:rPr>
          <w:rFonts w:hint="eastAsia" w:ascii="宋体" w:hAnsi="宋体" w:eastAsia="宋体" w:cs="宋体"/>
          <w:b/>
          <w:color w:val="auto"/>
          <w:sz w:val="24"/>
          <w:lang w:eastAsia="zh-CN"/>
        </w:rPr>
        <w:t>、</w:t>
      </w:r>
      <w:r>
        <w:rPr>
          <w:rFonts w:hint="eastAsia" w:ascii="宋体" w:hAnsi="宋体" w:eastAsia="宋体" w:cs="宋体"/>
          <w:b/>
          <w:color w:val="auto"/>
          <w:sz w:val="24"/>
        </w:rPr>
        <w:t>Word格式，用（U盘）拷贝</w:t>
      </w:r>
      <w:r>
        <w:rPr>
          <w:rFonts w:hint="eastAsia" w:ascii="宋体" w:hAnsi="宋体" w:eastAsia="宋体" w:cs="宋体"/>
          <w:b/>
          <w:color w:val="auto"/>
          <w:sz w:val="24"/>
          <w:lang w:val="en-US" w:eastAsia="zh-CN"/>
        </w:rPr>
        <w:t>叁</w:t>
      </w:r>
      <w:r>
        <w:rPr>
          <w:rFonts w:hint="eastAsia" w:ascii="宋体" w:hAnsi="宋体" w:eastAsia="宋体" w:cs="宋体"/>
          <w:b/>
          <w:color w:val="auto"/>
          <w:sz w:val="24"/>
        </w:rPr>
        <w:t>份。</w:t>
      </w:r>
    </w:p>
    <w:p w14:paraId="0330B8E0">
      <w:pPr>
        <w:pStyle w:val="25"/>
        <w:widowControl w:val="0"/>
        <w:overflowPunct w:val="0"/>
        <w:adjustRightInd w:val="0"/>
        <w:snapToGrid w:val="0"/>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（4）投标单位在投标文件中需逐页加盖公章（鲜章），并按招标文件要求加盖公章、签字；</w:t>
      </w:r>
    </w:p>
    <w:p w14:paraId="556755D1">
      <w:pPr>
        <w:pStyle w:val="25"/>
        <w:widowControl w:val="0"/>
        <w:overflowPunct w:val="0"/>
        <w:adjustRightInd w:val="0"/>
        <w:snapToGrid w:val="0"/>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（5）投标单位名称应填写全称，同时加盖公章（鲜章）；</w:t>
      </w:r>
    </w:p>
    <w:p w14:paraId="0FA25343">
      <w:pPr>
        <w:pStyle w:val="25"/>
        <w:widowControl w:val="0"/>
        <w:overflowPunct w:val="0"/>
        <w:adjustRightInd w:val="0"/>
        <w:snapToGrid w:val="0"/>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w:t>
      </w:r>
      <w:r>
        <w:rPr>
          <w:rFonts w:hint="eastAsia" w:ascii="宋体" w:hAnsi="宋体" w:eastAsia="宋体" w:cs="宋体"/>
          <w:color w:val="auto"/>
          <w:kern w:val="2"/>
          <w:sz w:val="24"/>
          <w:szCs w:val="24"/>
          <w:lang w:val="en-US" w:eastAsia="zh-CN"/>
        </w:rPr>
        <w:t>投标</w:t>
      </w:r>
      <w:r>
        <w:rPr>
          <w:rFonts w:hint="eastAsia" w:ascii="宋体" w:hAnsi="宋体" w:eastAsia="宋体" w:cs="宋体"/>
          <w:color w:val="auto"/>
          <w:kern w:val="2"/>
          <w:sz w:val="24"/>
          <w:szCs w:val="24"/>
        </w:rPr>
        <w:t>文件的任何行间插字、涂改和增删，必须由法定代表人或被授权人在改动处旁签字方为有效；</w:t>
      </w:r>
    </w:p>
    <w:p w14:paraId="470177B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（7）</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文件因字迹潦草或表达不清所引起的后果由供应商负责。</w:t>
      </w:r>
    </w:p>
    <w:p w14:paraId="60FD9C08">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8.文字要求</w:t>
      </w:r>
    </w:p>
    <w:p w14:paraId="2980A7A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本次招标只接受简体中文文字的投标文件，数字为阿拉伯数字，纸张为Ａ4,统一装订并标明页码。</w:t>
      </w:r>
    </w:p>
    <w:p w14:paraId="05C8B90C">
      <w:pPr>
        <w:spacing w:line="360" w:lineRule="auto"/>
        <w:ind w:firstLine="482" w:firstLineChars="200"/>
        <w:rPr>
          <w:rFonts w:hint="eastAsia" w:ascii="宋体" w:hAnsi="宋体" w:eastAsia="宋体" w:cs="宋体"/>
          <w:b/>
          <w:color w:val="auto"/>
          <w:sz w:val="24"/>
        </w:rPr>
      </w:pPr>
      <w:r>
        <w:rPr>
          <w:rFonts w:hint="eastAsia" w:ascii="宋体" w:hAnsi="宋体" w:eastAsia="宋体" w:cs="宋体"/>
          <w:b/>
          <w:color w:val="auto"/>
          <w:sz w:val="24"/>
        </w:rPr>
        <w:t>9</w:t>
      </w:r>
      <w:r>
        <w:rPr>
          <w:rFonts w:hint="eastAsia" w:ascii="宋体" w:hAnsi="宋体" w:eastAsia="宋体" w:cs="宋体"/>
          <w:b/>
          <w:color w:val="auto"/>
          <w:sz w:val="24"/>
          <w:lang w:val="en-US" w:eastAsia="zh-CN"/>
        </w:rPr>
        <w:t>.</w:t>
      </w:r>
      <w:r>
        <w:rPr>
          <w:rFonts w:hint="eastAsia" w:ascii="宋体" w:hAnsi="宋体" w:eastAsia="宋体" w:cs="宋体"/>
          <w:b/>
          <w:color w:val="auto"/>
          <w:sz w:val="24"/>
        </w:rPr>
        <w:t>本项目不接受联合体投标</w:t>
      </w:r>
    </w:p>
    <w:p w14:paraId="69584A0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43" w:firstLineChars="200"/>
        <w:jc w:val="center"/>
        <w:textAlignment w:val="auto"/>
        <w:rPr>
          <w:rStyle w:val="22"/>
          <w:rFonts w:hint="eastAsia" w:ascii="宋体" w:hAnsi="宋体" w:eastAsia="宋体" w:cs="宋体"/>
          <w:b/>
          <w:bCs/>
          <w:i w:val="0"/>
          <w:iCs w:val="0"/>
          <w:caps w:val="0"/>
          <w:color w:val="auto"/>
          <w:spacing w:val="0"/>
          <w:sz w:val="32"/>
          <w:szCs w:val="32"/>
          <w:shd w:val="clear" w:fill="FFFFFF"/>
        </w:rPr>
      </w:pPr>
      <w:r>
        <w:rPr>
          <w:rStyle w:val="22"/>
          <w:rFonts w:hint="eastAsia" w:ascii="宋体" w:hAnsi="宋体" w:eastAsia="宋体" w:cs="宋体"/>
          <w:b/>
          <w:bCs/>
          <w:i w:val="0"/>
          <w:iCs w:val="0"/>
          <w:caps w:val="0"/>
          <w:color w:val="auto"/>
          <w:spacing w:val="0"/>
          <w:sz w:val="32"/>
          <w:szCs w:val="32"/>
          <w:shd w:val="clear" w:fill="FFFFFF"/>
        </w:rPr>
        <w:t>五、投标文件密封、递交</w:t>
      </w:r>
    </w:p>
    <w:p w14:paraId="1F39A379">
      <w:pPr>
        <w:spacing w:line="360" w:lineRule="auto"/>
        <w:ind w:left="-122" w:leftChars="-58" w:firstLine="482" w:firstLineChars="200"/>
        <w:rPr>
          <w:rFonts w:hint="eastAsia" w:ascii="宋体" w:hAnsi="宋体" w:eastAsia="宋体" w:cs="宋体"/>
          <w:b/>
          <w:color w:val="auto"/>
          <w:sz w:val="24"/>
        </w:rPr>
      </w:pPr>
      <w:r>
        <w:rPr>
          <w:rFonts w:hint="eastAsia" w:ascii="宋体" w:hAnsi="宋体" w:eastAsia="宋体" w:cs="宋体"/>
          <w:b/>
          <w:color w:val="auto"/>
          <w:sz w:val="24"/>
        </w:rPr>
        <w:t>1.投标文件的密封及标记</w:t>
      </w:r>
    </w:p>
    <w:p w14:paraId="75C670CD">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（1）投标文件的封装：</w:t>
      </w:r>
    </w:p>
    <w:p w14:paraId="4C218FF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A．投标单位应将投标文件的正本、副本、电子版文件分别用单独的封袋密封（封袋不得有破损），在封袋上标明“正本”、“副本”或“电子版”字样，封袋应加贴封条，并在封线处加盖投标单位公章及法人章，封袋正面要粘贴标识；</w:t>
      </w:r>
    </w:p>
    <w:p w14:paraId="7DDC82C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B.封袋正面标识包含：</w:t>
      </w:r>
    </w:p>
    <w:p w14:paraId="4E391C6E">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①采购人名称、项目名称、项目编号；</w:t>
      </w:r>
    </w:p>
    <w:p w14:paraId="2EAE4609">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②投标单位名称；</w:t>
      </w:r>
    </w:p>
    <w:p w14:paraId="2C5A27EB">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③正本或副本或电子版；</w:t>
      </w:r>
    </w:p>
    <w:p w14:paraId="4641C2B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④投标文件在202</w:t>
      </w:r>
      <w:r>
        <w:rPr>
          <w:rFonts w:hint="eastAsia" w:ascii="宋体" w:hAnsi="宋体" w:eastAsia="宋体" w:cs="宋体"/>
          <w:color w:val="auto"/>
          <w:sz w:val="24"/>
          <w:lang w:val="en-US" w:eastAsia="zh-CN"/>
        </w:rPr>
        <w:t>6</w:t>
      </w:r>
      <w:r>
        <w:rPr>
          <w:rFonts w:hint="eastAsia" w:ascii="宋体" w:hAnsi="宋体" w:eastAsia="宋体" w:cs="宋体"/>
          <w:color w:val="auto"/>
          <w:sz w:val="24"/>
        </w:rPr>
        <w:t>年  月  日  时  分前不得开启。</w:t>
      </w:r>
    </w:p>
    <w:p w14:paraId="28709D9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（2）如果投标人未按上述要求密封及加写标记的投标文件、误投、过早启封的投标文件，采购代理机构将拒绝接收，并退回投标人。采购代理机构对投标文件的误投和提前启封概不负责。</w:t>
      </w:r>
    </w:p>
    <w:p w14:paraId="00ED6023">
      <w:pPr>
        <w:spacing w:line="440" w:lineRule="exact"/>
        <w:ind w:left="-122" w:leftChars="-58" w:firstLine="482" w:firstLineChars="200"/>
        <w:rPr>
          <w:rFonts w:hint="eastAsia" w:ascii="宋体" w:hAnsi="宋体" w:eastAsia="宋体" w:cs="宋体"/>
          <w:b/>
          <w:color w:val="auto"/>
          <w:sz w:val="24"/>
        </w:rPr>
      </w:pPr>
      <w:r>
        <w:rPr>
          <w:rFonts w:hint="eastAsia" w:ascii="宋体" w:hAnsi="宋体" w:eastAsia="宋体" w:cs="宋体"/>
          <w:b/>
          <w:color w:val="auto"/>
          <w:sz w:val="24"/>
        </w:rPr>
        <w:t>2.投标文件递交</w:t>
      </w:r>
    </w:p>
    <w:p w14:paraId="29E834D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（1）本项目采用电子化远程不见面投标解密的方式，相关操作流程详见全国公共资源交易平台（陕西省）网站[服务指南-下载专区]中的《陕西省公共资源交易中心政府采购项目投标指南》；        </w:t>
      </w:r>
    </w:p>
    <w:p w14:paraId="3F62CA98">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（2）电子投标文件可于提交投标文件截止时间前任意时段进行提交，逾期系统将拒绝接收。</w:t>
      </w:r>
    </w:p>
    <w:p w14:paraId="7560591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（3）纸质版投标文件递交地点：延安市公共资源交易中心开标</w:t>
      </w:r>
      <w:r>
        <w:rPr>
          <w:rFonts w:hint="eastAsia" w:ascii="宋体" w:hAnsi="宋体" w:cs="宋体"/>
          <w:color w:val="auto"/>
          <w:sz w:val="24"/>
          <w:lang w:val="en-US" w:eastAsia="zh-CN"/>
        </w:rPr>
        <w:t>5</w:t>
      </w:r>
      <w:r>
        <w:rPr>
          <w:rFonts w:hint="eastAsia" w:ascii="宋体" w:hAnsi="宋体" w:eastAsia="宋体" w:cs="宋体"/>
          <w:color w:val="auto"/>
          <w:sz w:val="24"/>
        </w:rPr>
        <w:t>室。</w:t>
      </w:r>
    </w:p>
    <w:p w14:paraId="60DBCCC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（4）投标人必须在招标文件规定的开标时间和地点，将全部纸质版投标文件递交至延安市公共资源交易中心开标</w:t>
      </w:r>
      <w:r>
        <w:rPr>
          <w:rFonts w:hint="eastAsia" w:ascii="宋体" w:hAnsi="宋体" w:cs="宋体"/>
          <w:color w:val="auto"/>
          <w:sz w:val="24"/>
          <w:lang w:val="en-US" w:eastAsia="zh-CN"/>
        </w:rPr>
        <w:t>5</w:t>
      </w:r>
      <w:r>
        <w:rPr>
          <w:rFonts w:hint="eastAsia" w:ascii="宋体" w:hAnsi="宋体" w:eastAsia="宋体" w:cs="宋体"/>
          <w:color w:val="auto"/>
          <w:sz w:val="24"/>
        </w:rPr>
        <w:t>室；</w:t>
      </w:r>
    </w:p>
    <w:p w14:paraId="1C3B864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（5）采购代理机构项目负责人在招标文件规定的投标文件递交截止时间前，只负责纸质版投标文件的接收、清点、造册登记工作，对其有效性不负任何责任；</w:t>
      </w:r>
    </w:p>
    <w:p w14:paraId="44AA8734">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（6）采购代理机构在宣布递交投标文件截止时间之后，拒绝接收任何人送达、递交的纸质版投标文件；</w:t>
      </w:r>
    </w:p>
    <w:p w14:paraId="51FF825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（7）无论投标人中标与否或者废标，其投标文件恕不退还。</w:t>
      </w:r>
    </w:p>
    <w:p w14:paraId="3AEC46E7">
      <w:pPr>
        <w:spacing w:line="440" w:lineRule="exact"/>
        <w:ind w:left="-122" w:leftChars="-58" w:firstLine="482" w:firstLineChars="200"/>
        <w:rPr>
          <w:rFonts w:hint="eastAsia" w:ascii="宋体" w:hAnsi="宋体" w:eastAsia="宋体" w:cs="宋体"/>
          <w:b/>
          <w:color w:val="auto"/>
          <w:sz w:val="24"/>
        </w:rPr>
      </w:pPr>
      <w:r>
        <w:rPr>
          <w:rFonts w:hint="eastAsia" w:ascii="宋体" w:hAnsi="宋体" w:eastAsia="宋体" w:cs="宋体"/>
          <w:b/>
          <w:color w:val="auto"/>
          <w:sz w:val="24"/>
        </w:rPr>
        <w:t>3.投标截止时间</w:t>
      </w:r>
    </w:p>
    <w:p w14:paraId="22D9947E">
      <w:pPr>
        <w:kinsoku w:val="0"/>
        <w:spacing w:line="44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（1）投标人</w:t>
      </w:r>
      <w:r>
        <w:rPr>
          <w:rFonts w:hint="eastAsia" w:ascii="宋体" w:hAnsi="宋体" w:eastAsia="宋体" w:cs="宋体"/>
          <w:color w:val="auto"/>
          <w:spacing w:val="6"/>
          <w:sz w:val="24"/>
        </w:rPr>
        <w:t>必须在招标文件规定的递交截止时间之前递交投标文件，</w:t>
      </w:r>
      <w:r>
        <w:rPr>
          <w:rFonts w:hint="eastAsia" w:ascii="宋体" w:hAnsi="宋体" w:eastAsia="宋体" w:cs="宋体"/>
          <w:color w:val="auto"/>
          <w:sz w:val="24"/>
        </w:rPr>
        <w:t>采购代理机构在截止时间后拒绝接收任何投标文件；</w:t>
      </w:r>
    </w:p>
    <w:p w14:paraId="79F8DF35">
      <w:pPr>
        <w:spacing w:line="44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（2）因采购人推迟投标截止时间时，采购代理机构应以书面（或传真、电话）的形式，通知所有投标人；在这种情况下，采购代理机构和投标人的权利和义务将受到新的截止期的约束。</w:t>
      </w:r>
    </w:p>
    <w:p w14:paraId="014D1828">
      <w:pPr>
        <w:spacing w:line="440" w:lineRule="exact"/>
        <w:ind w:left="-122" w:leftChars="-58" w:firstLine="482" w:firstLineChars="200"/>
        <w:rPr>
          <w:rFonts w:hint="eastAsia" w:ascii="宋体" w:hAnsi="宋体" w:eastAsia="宋体" w:cs="宋体"/>
          <w:b/>
          <w:color w:val="auto"/>
          <w:sz w:val="24"/>
        </w:rPr>
      </w:pPr>
      <w:r>
        <w:rPr>
          <w:rFonts w:hint="eastAsia" w:ascii="宋体" w:hAnsi="宋体" w:eastAsia="宋体" w:cs="宋体"/>
          <w:b/>
          <w:color w:val="auto"/>
          <w:sz w:val="24"/>
        </w:rPr>
        <w:t>4.投标文件的修改和撤回</w:t>
      </w:r>
    </w:p>
    <w:p w14:paraId="0C3E5049">
      <w:pPr>
        <w:spacing w:line="44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（1）投标文件递交后，如果投标人提出书面修改和撤回投标文件要求，在投标截止时间前以书面形式送达采购代理机构，采购代理机构可以予以接受，但不退还投标文件；</w:t>
      </w:r>
    </w:p>
    <w:p w14:paraId="26206E9F">
      <w:pPr>
        <w:spacing w:line="44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（2）投标人修改投标文件的书面材料，须密封送达采购代理机构，修改或补充的内容应按招标文件要求签署、盖章、密封、标记，并作为投标文件的组成部分；</w:t>
      </w:r>
    </w:p>
    <w:p w14:paraId="6EE1B1DD">
      <w:pPr>
        <w:spacing w:line="44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（3）撤回投标文件应以书面的形式通知采购代理机构；</w:t>
      </w:r>
    </w:p>
    <w:p w14:paraId="0CDAC65B">
      <w:pPr>
        <w:spacing w:line="44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（4）在投标截止时间后到招标文件规定的投标有效期满之间的这段时间内，投标人不得撤回其投标文件；</w:t>
      </w:r>
    </w:p>
    <w:p w14:paraId="1681D08E">
      <w:pPr>
        <w:spacing w:line="44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（5）投标人在投标文件递交截止时间后，不得对其投标文件做任何修改。</w:t>
      </w:r>
    </w:p>
    <w:p w14:paraId="50D8E14E">
      <w:pPr>
        <w:rPr>
          <w:rFonts w:hint="eastAsia" w:ascii="宋体" w:hAnsi="宋体" w:eastAsia="宋体" w:cs="宋体"/>
          <w:color w:val="auto"/>
        </w:rPr>
      </w:pPr>
    </w:p>
    <w:p w14:paraId="0559C55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43" w:firstLineChars="200"/>
        <w:jc w:val="center"/>
        <w:textAlignment w:val="auto"/>
        <w:rPr>
          <w:rStyle w:val="22"/>
          <w:rFonts w:hint="eastAsia" w:ascii="宋体" w:hAnsi="宋体" w:eastAsia="宋体" w:cs="宋体"/>
          <w:b/>
          <w:bCs/>
          <w:i w:val="0"/>
          <w:iCs w:val="0"/>
          <w:caps w:val="0"/>
          <w:color w:val="auto"/>
          <w:spacing w:val="0"/>
          <w:sz w:val="32"/>
          <w:szCs w:val="32"/>
          <w:shd w:val="clear" w:fill="FFFFFF"/>
        </w:rPr>
      </w:pPr>
      <w:r>
        <w:rPr>
          <w:rStyle w:val="22"/>
          <w:rFonts w:hint="eastAsia" w:ascii="宋体" w:hAnsi="宋体" w:eastAsia="宋体" w:cs="宋体"/>
          <w:b/>
          <w:bCs/>
          <w:i w:val="0"/>
          <w:iCs w:val="0"/>
          <w:caps w:val="0"/>
          <w:color w:val="auto"/>
          <w:spacing w:val="0"/>
          <w:sz w:val="32"/>
          <w:szCs w:val="32"/>
          <w:shd w:val="clear" w:fill="FFFFFF"/>
        </w:rPr>
        <w:t>六、开标、评标、定标</w:t>
      </w:r>
    </w:p>
    <w:p w14:paraId="0622691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0"/>
        <w:jc w:val="left"/>
        <w:textAlignment w:val="auto"/>
        <w:rPr>
          <w:rFonts w:hint="eastAsia" w:ascii="宋体" w:hAnsi="宋体" w:eastAsia="宋体" w:cs="宋体"/>
          <w:b w:val="0"/>
          <w:bCs w:val="0"/>
          <w:i w:val="0"/>
          <w:iCs w:val="0"/>
          <w:caps w:val="0"/>
          <w:color w:val="auto"/>
          <w:spacing w:val="0"/>
          <w:sz w:val="24"/>
          <w:szCs w:val="24"/>
          <w:shd w:val="clear" w:fill="FFFFFF"/>
        </w:rPr>
      </w:pPr>
      <w:r>
        <w:rPr>
          <w:rFonts w:hint="eastAsia" w:ascii="宋体" w:hAnsi="宋体" w:eastAsia="宋体" w:cs="宋体"/>
          <w:b w:val="0"/>
          <w:bCs w:val="0"/>
          <w:i w:val="0"/>
          <w:iCs w:val="0"/>
          <w:caps w:val="0"/>
          <w:color w:val="auto"/>
          <w:spacing w:val="0"/>
          <w:sz w:val="24"/>
          <w:szCs w:val="24"/>
          <w:shd w:val="clear" w:fill="FFFFFF"/>
        </w:rPr>
        <w:t>1</w:t>
      </w:r>
      <w:r>
        <w:rPr>
          <w:rFonts w:hint="eastAsia" w:ascii="宋体" w:hAnsi="宋体" w:eastAsia="宋体" w:cs="宋体"/>
          <w:b w:val="0"/>
          <w:bCs w:val="0"/>
          <w:i w:val="0"/>
          <w:iCs w:val="0"/>
          <w:caps w:val="0"/>
          <w:color w:val="auto"/>
          <w:spacing w:val="0"/>
          <w:sz w:val="24"/>
          <w:szCs w:val="24"/>
          <w:shd w:val="clear" w:fill="FFFFFF"/>
          <w:lang w:val="en-US" w:eastAsia="zh-CN"/>
        </w:rPr>
        <w:t>.</w:t>
      </w:r>
      <w:r>
        <w:rPr>
          <w:rFonts w:hint="eastAsia" w:ascii="宋体" w:hAnsi="宋体" w:eastAsia="宋体" w:cs="宋体"/>
          <w:b w:val="0"/>
          <w:bCs w:val="0"/>
          <w:i w:val="0"/>
          <w:iCs w:val="0"/>
          <w:caps w:val="0"/>
          <w:color w:val="auto"/>
          <w:spacing w:val="0"/>
          <w:sz w:val="24"/>
          <w:szCs w:val="24"/>
          <w:shd w:val="clear" w:fill="FFFFFF"/>
        </w:rPr>
        <w:t>开标</w:t>
      </w:r>
    </w:p>
    <w:p w14:paraId="0FE05EE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（1）采购代理机构按招标文件规定的时间、地点组织公开开标大会。</w:t>
      </w:r>
    </w:p>
    <w:p w14:paraId="6816938B">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（2）开标大会由采购代理机构主持，采购人参会人员及有关工作人员参加，参加开标的代表应在全国公共资源交易平台（陕西省）网站不见面开标大厅签名报到，以证明其出席。</w:t>
      </w:r>
    </w:p>
    <w:p w14:paraId="75FB32B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0"/>
        <w:jc w:val="left"/>
        <w:textAlignment w:val="auto"/>
        <w:rPr>
          <w:rFonts w:hint="eastAsia" w:ascii="宋体" w:hAnsi="宋体" w:eastAsia="宋体" w:cs="宋体"/>
          <w:b w:val="0"/>
          <w:bCs w:val="0"/>
          <w:i w:val="0"/>
          <w:iCs w:val="0"/>
          <w:caps w:val="0"/>
          <w:color w:val="auto"/>
          <w:spacing w:val="0"/>
          <w:sz w:val="24"/>
          <w:szCs w:val="24"/>
          <w:shd w:val="clear" w:fill="FFFFFF"/>
        </w:rPr>
      </w:pPr>
      <w:r>
        <w:rPr>
          <w:rFonts w:hint="eastAsia" w:ascii="宋体" w:hAnsi="宋体" w:eastAsia="宋体" w:cs="宋体"/>
          <w:b w:val="0"/>
          <w:bCs w:val="0"/>
          <w:i w:val="0"/>
          <w:iCs w:val="0"/>
          <w:caps w:val="0"/>
          <w:color w:val="auto"/>
          <w:spacing w:val="0"/>
          <w:sz w:val="24"/>
          <w:szCs w:val="24"/>
          <w:shd w:val="clear" w:fill="FFFFFF"/>
        </w:rPr>
        <w:t>2</w:t>
      </w:r>
      <w:r>
        <w:rPr>
          <w:rFonts w:hint="eastAsia" w:ascii="宋体" w:hAnsi="宋体" w:eastAsia="宋体" w:cs="宋体"/>
          <w:b w:val="0"/>
          <w:bCs w:val="0"/>
          <w:i w:val="0"/>
          <w:iCs w:val="0"/>
          <w:caps w:val="0"/>
          <w:color w:val="auto"/>
          <w:spacing w:val="0"/>
          <w:sz w:val="24"/>
          <w:szCs w:val="24"/>
          <w:shd w:val="clear" w:fill="FFFFFF"/>
          <w:lang w:val="en-US" w:eastAsia="zh-CN"/>
        </w:rPr>
        <w:t>.</w:t>
      </w:r>
      <w:r>
        <w:rPr>
          <w:rFonts w:hint="eastAsia" w:ascii="宋体" w:hAnsi="宋体" w:eastAsia="宋体" w:cs="宋体"/>
          <w:b w:val="0"/>
          <w:bCs w:val="0"/>
          <w:i w:val="0"/>
          <w:iCs w:val="0"/>
          <w:caps w:val="0"/>
          <w:color w:val="auto"/>
          <w:spacing w:val="0"/>
          <w:sz w:val="24"/>
          <w:szCs w:val="24"/>
          <w:shd w:val="clear" w:fill="FFFFFF"/>
        </w:rPr>
        <w:t>评标委员会组成与职责</w:t>
      </w:r>
    </w:p>
    <w:p w14:paraId="50F33B1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2.1为确保评标工作公开、公平、公正，依法成立评标委员会。评标委员会由采购人代表及评审专家组成，成员人数为5人以上单数，其中评审专家不得少于成员总数的三分之二，</w:t>
      </w:r>
      <w:r>
        <w:rPr>
          <w:rFonts w:hint="eastAsia" w:ascii="宋体" w:hAnsi="宋体" w:eastAsia="宋体" w:cs="宋体"/>
          <w:color w:val="auto"/>
          <w:spacing w:val="6"/>
          <w:sz w:val="24"/>
        </w:rPr>
        <w:t>采购预算金额在1000万元以上、技术复杂的项目或者社会影响较大的项目，评标委员会成员应当为7人以上。</w:t>
      </w:r>
      <w:r>
        <w:rPr>
          <w:rFonts w:hint="eastAsia" w:ascii="宋体" w:hAnsi="宋体" w:eastAsia="宋体" w:cs="宋体"/>
          <w:color w:val="auto"/>
          <w:sz w:val="24"/>
        </w:rPr>
        <w:t>专家名单由有关人员从省级以上的财政部门设立的政府采购评审专家库中随机抽取，评标委员会成员应当遵守并履行下列责任和义务：</w:t>
      </w:r>
    </w:p>
    <w:p w14:paraId="161214FB">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14:paraId="4416DC95">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B、审查、评价投标文件是否符合招标文件的商务、技术等实质性要求；</w:t>
      </w:r>
    </w:p>
    <w:p w14:paraId="1EA408B1">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C、要求投标人对投标文件有关事项作出澄清或说明；</w:t>
      </w:r>
    </w:p>
    <w:p w14:paraId="50DE1C94">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D、按招标文件规定的评审方法和标准，对投标文件进行比较和评价；对投标人的客观评分项的评分应当一致；</w:t>
      </w:r>
    </w:p>
    <w:p w14:paraId="3B1B6423">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E、要依法独立评审，按照招标文件的要求和评标标准进行评标，推荐中标候选人名单，对评审意见承担个人责任；</w:t>
      </w:r>
    </w:p>
    <w:p w14:paraId="7BE097CD">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F、对需要共同认定的事项存在争议的，按照少数服从多数的原则做出结论。持不同意见的评审委员会成员应当在评审报告上签署不同意见并说明理由，否则视为同意； </w:t>
      </w:r>
    </w:p>
    <w:p w14:paraId="11516471">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14:paraId="26EFF8C4">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H、向采购人、采购代理机构或者有关部门报告评标中发现的违法行为；</w:t>
      </w:r>
    </w:p>
    <w:p w14:paraId="0AD1D82A">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I、配合采购人、采购代理机构答复投标人提出的质疑；</w:t>
      </w:r>
    </w:p>
    <w:p w14:paraId="545BA0FF">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14:paraId="6EB50AC4">
      <w:pPr>
        <w:pStyle w:val="16"/>
        <w:spacing w:before="0" w:beforeAutospacing="0" w:after="0" w:afterAutospacing="0" w:line="360" w:lineRule="auto"/>
        <w:ind w:firstLine="480" w:firstLineChars="200"/>
        <w:rPr>
          <w:rFonts w:hint="eastAsia" w:ascii="宋体" w:hAnsi="宋体" w:eastAsia="宋体" w:cs="宋体"/>
          <w:bCs/>
          <w:color w:val="auto"/>
          <w:kern w:val="2"/>
        </w:rPr>
      </w:pPr>
      <w:r>
        <w:rPr>
          <w:rFonts w:hint="eastAsia" w:ascii="宋体" w:hAnsi="宋体" w:eastAsia="宋体" w:cs="宋体"/>
          <w:bCs/>
          <w:color w:val="auto"/>
          <w:kern w:val="2"/>
        </w:rPr>
        <w:t>对技术复杂、专业性强的采购项目，通过随机方式难以确定合适评审专家的，经主管预算单位同意，采购人或采购代理机构可以自行选定相应专业领域的评审专家。</w:t>
      </w:r>
    </w:p>
    <w:p w14:paraId="5E19EFA1">
      <w:pPr>
        <w:spacing w:line="360" w:lineRule="auto"/>
        <w:ind w:left="120" w:leftChars="57" w:firstLine="360" w:firstLineChars="150"/>
        <w:rPr>
          <w:rFonts w:hint="eastAsia" w:ascii="宋体" w:hAnsi="宋体" w:eastAsia="宋体" w:cs="宋体"/>
          <w:color w:val="auto"/>
          <w:sz w:val="24"/>
        </w:rPr>
      </w:pPr>
      <w:r>
        <w:rPr>
          <w:rFonts w:hint="eastAsia" w:ascii="宋体" w:hAnsi="宋体" w:eastAsia="宋体" w:cs="宋体"/>
          <w:color w:val="auto"/>
          <w:sz w:val="24"/>
        </w:rPr>
        <w:t>2.2评标委会成员到位后，推荐一名评审专家担任评标组长，并由评标组长牵头组织该项目评标工作，采购人授权的评审专家，不得担任评标组长。</w:t>
      </w:r>
    </w:p>
    <w:p w14:paraId="66491F9D">
      <w:pPr>
        <w:spacing w:line="360" w:lineRule="auto"/>
        <w:ind w:left="120" w:leftChars="57" w:firstLine="360" w:firstLineChars="150"/>
        <w:rPr>
          <w:rFonts w:hint="eastAsia" w:ascii="宋体" w:hAnsi="宋体" w:eastAsia="宋体" w:cs="宋体"/>
          <w:color w:val="auto"/>
          <w:sz w:val="24"/>
        </w:rPr>
      </w:pPr>
      <w:r>
        <w:rPr>
          <w:rFonts w:hint="eastAsia" w:ascii="宋体" w:hAnsi="宋体" w:eastAsia="宋体" w:cs="宋体"/>
          <w:color w:val="auto"/>
          <w:sz w:val="24"/>
        </w:rPr>
        <w:t>2.3评委会成员有下列情形之一的，应当回避：</w:t>
      </w:r>
    </w:p>
    <w:p w14:paraId="53913A6E">
      <w:pPr>
        <w:spacing w:line="360" w:lineRule="auto"/>
        <w:ind w:left="120" w:leftChars="57" w:firstLine="360" w:firstLineChars="150"/>
        <w:rPr>
          <w:rFonts w:hint="eastAsia" w:ascii="宋体" w:hAnsi="宋体" w:eastAsia="宋体" w:cs="宋体"/>
          <w:color w:val="auto"/>
          <w:sz w:val="24"/>
        </w:rPr>
      </w:pPr>
      <w:r>
        <w:rPr>
          <w:rFonts w:hint="eastAsia" w:ascii="宋体" w:hAnsi="宋体" w:eastAsia="宋体" w:cs="宋体"/>
          <w:color w:val="auto"/>
          <w:sz w:val="24"/>
        </w:rPr>
        <w:t>（1）采购人或投标人主要负责人的近亲属；</w:t>
      </w:r>
    </w:p>
    <w:p w14:paraId="16070A75">
      <w:pPr>
        <w:spacing w:line="360" w:lineRule="auto"/>
        <w:ind w:left="120" w:leftChars="57" w:firstLine="360" w:firstLineChars="150"/>
        <w:rPr>
          <w:rFonts w:hint="eastAsia" w:ascii="宋体" w:hAnsi="宋体" w:eastAsia="宋体" w:cs="宋体"/>
          <w:color w:val="auto"/>
          <w:sz w:val="24"/>
        </w:rPr>
      </w:pPr>
      <w:r>
        <w:rPr>
          <w:rFonts w:hint="eastAsia" w:ascii="宋体" w:hAnsi="宋体" w:eastAsia="宋体" w:cs="宋体"/>
          <w:color w:val="auto"/>
          <w:sz w:val="24"/>
        </w:rPr>
        <w:t>（2）与投标人有经济利益关系，可能影响对投标公正评审的；</w:t>
      </w:r>
    </w:p>
    <w:p w14:paraId="79D78EB0">
      <w:pPr>
        <w:spacing w:line="360" w:lineRule="auto"/>
        <w:ind w:left="120" w:leftChars="57" w:firstLine="360" w:firstLineChars="150"/>
        <w:rPr>
          <w:rFonts w:hint="eastAsia" w:ascii="宋体" w:hAnsi="宋体" w:eastAsia="宋体" w:cs="宋体"/>
          <w:color w:val="auto"/>
          <w:sz w:val="24"/>
        </w:rPr>
      </w:pPr>
      <w:r>
        <w:rPr>
          <w:rFonts w:hint="eastAsia" w:ascii="宋体" w:hAnsi="宋体" w:eastAsia="宋体" w:cs="宋体"/>
          <w:color w:val="auto"/>
          <w:sz w:val="24"/>
        </w:rPr>
        <w:t>（3）曾因在招标、评标以及其他与招标投标有关活动中从事违法行为而受过行政处罚或刑事处罚的。</w:t>
      </w:r>
    </w:p>
    <w:p w14:paraId="0C2F46D3">
      <w:pPr>
        <w:spacing w:line="360" w:lineRule="auto"/>
        <w:ind w:left="120" w:leftChars="57" w:firstLine="360" w:firstLineChars="150"/>
        <w:rPr>
          <w:rFonts w:hint="eastAsia" w:ascii="宋体" w:hAnsi="宋体" w:eastAsia="宋体" w:cs="宋体"/>
          <w:color w:val="auto"/>
          <w:sz w:val="24"/>
        </w:rPr>
      </w:pPr>
      <w:r>
        <w:rPr>
          <w:rFonts w:hint="eastAsia" w:ascii="宋体" w:hAnsi="宋体" w:eastAsia="宋体" w:cs="宋体"/>
          <w:color w:val="auto"/>
          <w:sz w:val="24"/>
        </w:rPr>
        <w:t>2.4 评委会成员名单在中标结果公告前，应当保密。</w:t>
      </w:r>
    </w:p>
    <w:p w14:paraId="2568B29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0"/>
        <w:jc w:val="left"/>
        <w:textAlignment w:val="auto"/>
        <w:rPr>
          <w:rFonts w:hint="eastAsia" w:ascii="宋体" w:hAnsi="宋体" w:eastAsia="宋体" w:cs="宋体"/>
          <w:b w:val="0"/>
          <w:bCs w:val="0"/>
          <w:i w:val="0"/>
          <w:iCs w:val="0"/>
          <w:caps w:val="0"/>
          <w:color w:val="auto"/>
          <w:spacing w:val="0"/>
          <w:sz w:val="24"/>
          <w:szCs w:val="24"/>
          <w:shd w:val="clear" w:fill="FFFFFF"/>
        </w:rPr>
      </w:pPr>
      <w:r>
        <w:rPr>
          <w:rFonts w:hint="eastAsia" w:ascii="宋体" w:hAnsi="宋体" w:eastAsia="宋体" w:cs="宋体"/>
          <w:b w:val="0"/>
          <w:bCs w:val="0"/>
          <w:i w:val="0"/>
          <w:iCs w:val="0"/>
          <w:caps w:val="0"/>
          <w:color w:val="auto"/>
          <w:spacing w:val="0"/>
          <w:sz w:val="24"/>
          <w:szCs w:val="24"/>
          <w:shd w:val="clear" w:fill="FFFFFF"/>
        </w:rPr>
        <w:t>3.投标人资格审查</w:t>
      </w:r>
    </w:p>
    <w:p w14:paraId="3BC22253">
      <w:pPr>
        <w:overflowPunct w:val="0"/>
        <w:adjustRightInd w:val="0"/>
        <w:snapToGrid w:val="0"/>
        <w:spacing w:line="360" w:lineRule="auto"/>
        <w:ind w:left="420"/>
        <w:rPr>
          <w:rFonts w:hint="eastAsia" w:ascii="宋体" w:hAnsi="宋体" w:eastAsia="宋体" w:cs="宋体"/>
          <w:color w:val="auto"/>
          <w:kern w:val="0"/>
          <w:sz w:val="24"/>
        </w:rPr>
      </w:pPr>
      <w:r>
        <w:rPr>
          <w:rFonts w:hint="eastAsia" w:ascii="宋体" w:hAnsi="宋体" w:eastAsia="宋体" w:cs="宋体"/>
          <w:color w:val="auto"/>
          <w:kern w:val="0"/>
          <w:sz w:val="24"/>
        </w:rPr>
        <w:t>3.1 投标人的资格性审查</w:t>
      </w:r>
    </w:p>
    <w:p w14:paraId="07015594">
      <w:pPr>
        <w:overflowPunct w:val="0"/>
        <w:adjustRightInd w:val="0"/>
        <w:snapToGrid w:val="0"/>
        <w:spacing w:line="360" w:lineRule="auto"/>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依据法律法规和招标文件的规定，由采购人或代理机构对投标人的资格证明文件进行审查，以确</w:t>
      </w:r>
      <w:r>
        <w:rPr>
          <w:rFonts w:hint="eastAsia" w:ascii="宋体" w:hAnsi="宋体" w:eastAsia="宋体" w:cs="宋体"/>
          <w:color w:val="auto"/>
          <w:kern w:val="0"/>
          <w:sz w:val="24"/>
          <w:lang w:val="en-US" w:eastAsia="zh-CN"/>
        </w:rPr>
        <w:t>定</w:t>
      </w:r>
      <w:r>
        <w:rPr>
          <w:rFonts w:hint="eastAsia" w:ascii="宋体" w:hAnsi="宋体" w:eastAsia="宋体" w:cs="宋体"/>
          <w:color w:val="auto"/>
          <w:kern w:val="0"/>
          <w:sz w:val="24"/>
        </w:rPr>
        <w:t>投标人是否具备相应资格。</w:t>
      </w:r>
    </w:p>
    <w:p w14:paraId="6ACF438D">
      <w:pPr>
        <w:overflowPunct w:val="0"/>
        <w:adjustRightInd w:val="0"/>
        <w:snapToGrid w:val="0"/>
        <w:spacing w:line="360" w:lineRule="auto"/>
        <w:ind w:left="420"/>
        <w:rPr>
          <w:rFonts w:hint="eastAsia" w:ascii="宋体" w:hAnsi="宋体" w:eastAsia="宋体" w:cs="宋体"/>
          <w:color w:val="auto"/>
          <w:kern w:val="0"/>
          <w:sz w:val="24"/>
        </w:rPr>
      </w:pPr>
      <w:r>
        <w:rPr>
          <w:rFonts w:hint="eastAsia" w:ascii="宋体" w:hAnsi="宋体" w:eastAsia="宋体" w:cs="宋体"/>
          <w:color w:val="auto"/>
          <w:kern w:val="0"/>
          <w:sz w:val="24"/>
        </w:rPr>
        <w:t xml:space="preserve"> 3.2 投标文件符合性审查</w:t>
      </w:r>
    </w:p>
    <w:p w14:paraId="42ABD8D1">
      <w:pPr>
        <w:pStyle w:val="10"/>
        <w:snapToGrid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kern w:val="0"/>
          <w:sz w:val="24"/>
          <w:szCs w:val="24"/>
        </w:rPr>
        <w:t>依据法律法规和招标文件的规定，由评标委员会对符合资格要求的投标人的投标文件有效性、完整性和对招标文件的响应程度进行符合性审查，以确定是否对招标文件的实质性内容作出响应。</w:t>
      </w:r>
      <w:r>
        <w:rPr>
          <w:rFonts w:hint="eastAsia" w:ascii="宋体" w:hAnsi="宋体" w:eastAsia="宋体" w:cs="宋体"/>
          <w:color w:val="auto"/>
          <w:sz w:val="24"/>
          <w:szCs w:val="24"/>
        </w:rPr>
        <w:t>投标文件的符合性评审（合格性、完整性、有效性），具体审查：</w:t>
      </w:r>
    </w:p>
    <w:tbl>
      <w:tblPr>
        <w:tblStyle w:val="2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6"/>
        <w:gridCol w:w="6707"/>
        <w:gridCol w:w="1926"/>
      </w:tblGrid>
      <w:tr w14:paraId="27A81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31" w:type="pct"/>
            <w:vAlign w:val="center"/>
          </w:tcPr>
          <w:p w14:paraId="5789231E">
            <w:pPr>
              <w:spacing w:line="360" w:lineRule="auto"/>
              <w:jc w:val="center"/>
              <w:rPr>
                <w:rFonts w:hint="eastAsia" w:ascii="宋体" w:hAnsi="宋体" w:eastAsia="宋体" w:cs="宋体"/>
                <w:color w:val="auto"/>
                <w:sz w:val="24"/>
              </w:rPr>
            </w:pPr>
            <w:r>
              <w:rPr>
                <w:rFonts w:hint="eastAsia" w:ascii="宋体" w:hAnsi="宋体" w:eastAsia="宋体" w:cs="宋体"/>
                <w:b/>
                <w:color w:val="auto"/>
                <w:sz w:val="24"/>
              </w:rPr>
              <w:t>序号</w:t>
            </w:r>
          </w:p>
        </w:tc>
        <w:tc>
          <w:tcPr>
            <w:tcW w:w="3471" w:type="pct"/>
            <w:vAlign w:val="center"/>
          </w:tcPr>
          <w:p w14:paraId="41437333">
            <w:pPr>
              <w:spacing w:line="360" w:lineRule="auto"/>
              <w:jc w:val="center"/>
              <w:rPr>
                <w:rFonts w:hint="eastAsia" w:ascii="宋体" w:hAnsi="宋体" w:eastAsia="宋体" w:cs="宋体"/>
                <w:color w:val="auto"/>
                <w:sz w:val="24"/>
              </w:rPr>
            </w:pPr>
            <w:r>
              <w:rPr>
                <w:rFonts w:hint="eastAsia" w:ascii="宋体" w:hAnsi="宋体" w:eastAsia="宋体" w:cs="宋体"/>
                <w:b/>
                <w:color w:val="auto"/>
                <w:sz w:val="24"/>
              </w:rPr>
              <w:t>符合性审查内容</w:t>
            </w:r>
          </w:p>
        </w:tc>
        <w:tc>
          <w:tcPr>
            <w:tcW w:w="997" w:type="pct"/>
            <w:vAlign w:val="center"/>
          </w:tcPr>
          <w:p w14:paraId="1B0AF7E5">
            <w:pPr>
              <w:spacing w:line="360" w:lineRule="auto"/>
              <w:jc w:val="center"/>
              <w:rPr>
                <w:rFonts w:hint="eastAsia" w:ascii="宋体" w:hAnsi="宋体" w:eastAsia="宋体" w:cs="宋体"/>
                <w:color w:val="auto"/>
                <w:sz w:val="24"/>
              </w:rPr>
            </w:pPr>
            <w:r>
              <w:rPr>
                <w:rFonts w:hint="eastAsia" w:ascii="宋体" w:hAnsi="宋体" w:eastAsia="宋体" w:cs="宋体"/>
                <w:b/>
                <w:color w:val="auto"/>
                <w:sz w:val="24"/>
              </w:rPr>
              <w:t>结论</w:t>
            </w:r>
          </w:p>
        </w:tc>
      </w:tr>
      <w:tr w14:paraId="0A040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pct"/>
            <w:vAlign w:val="center"/>
          </w:tcPr>
          <w:p w14:paraId="7C1CF58E">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1</w:t>
            </w:r>
          </w:p>
        </w:tc>
        <w:tc>
          <w:tcPr>
            <w:tcW w:w="3471" w:type="pct"/>
          </w:tcPr>
          <w:p w14:paraId="7131074E">
            <w:pPr>
              <w:pStyle w:val="10"/>
              <w:overflowPunct w:val="0"/>
              <w:adjustRightInd w:val="0"/>
              <w:snapToGrid w:val="0"/>
              <w:spacing w:line="360" w:lineRule="auto"/>
              <w:rPr>
                <w:rFonts w:hint="eastAsia" w:ascii="宋体" w:hAnsi="宋体" w:eastAsia="宋体" w:cs="宋体"/>
                <w:color w:val="auto"/>
                <w:sz w:val="24"/>
              </w:rPr>
            </w:pPr>
            <w:r>
              <w:rPr>
                <w:rFonts w:hint="eastAsia" w:ascii="宋体" w:hAnsi="宋体" w:eastAsia="宋体" w:cs="宋体"/>
                <w:color w:val="auto"/>
                <w:sz w:val="24"/>
              </w:rPr>
              <w:t>投标文件封面、投标函、法定代表人授权委托书三处的项目名称、项目编号三处均无遗漏，且与所投项目名称、项目编号完全一致。</w:t>
            </w:r>
          </w:p>
        </w:tc>
        <w:tc>
          <w:tcPr>
            <w:tcW w:w="997" w:type="pct"/>
            <w:vAlign w:val="center"/>
          </w:tcPr>
          <w:p w14:paraId="4DF4DB4D">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57690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pct"/>
            <w:vAlign w:val="center"/>
          </w:tcPr>
          <w:p w14:paraId="7D8A26C3">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2</w:t>
            </w:r>
          </w:p>
        </w:tc>
        <w:tc>
          <w:tcPr>
            <w:tcW w:w="3471" w:type="pct"/>
          </w:tcPr>
          <w:p w14:paraId="556F929A">
            <w:pPr>
              <w:pStyle w:val="10"/>
              <w:overflowPunct w:val="0"/>
              <w:adjustRightInd w:val="0"/>
              <w:snapToGrid w:val="0"/>
              <w:spacing w:line="360" w:lineRule="auto"/>
              <w:rPr>
                <w:rFonts w:hint="eastAsia" w:ascii="宋体" w:hAnsi="宋体" w:eastAsia="宋体" w:cs="宋体"/>
                <w:color w:val="auto"/>
                <w:sz w:val="24"/>
              </w:rPr>
            </w:pPr>
            <w:r>
              <w:rPr>
                <w:rFonts w:hint="eastAsia" w:ascii="宋体" w:hAnsi="宋体" w:eastAsia="宋体" w:cs="宋体"/>
                <w:color w:val="auto"/>
                <w:sz w:val="24"/>
              </w:rPr>
              <w:t>投标文件签署、盖章是否符合招标文件要求，且无遗漏；</w:t>
            </w:r>
          </w:p>
        </w:tc>
        <w:tc>
          <w:tcPr>
            <w:tcW w:w="997" w:type="pct"/>
            <w:vAlign w:val="center"/>
          </w:tcPr>
          <w:p w14:paraId="6CBC7120">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29B4F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pct"/>
            <w:vAlign w:val="center"/>
          </w:tcPr>
          <w:p w14:paraId="6B3B8406">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3</w:t>
            </w:r>
          </w:p>
        </w:tc>
        <w:tc>
          <w:tcPr>
            <w:tcW w:w="3471" w:type="pct"/>
          </w:tcPr>
          <w:p w14:paraId="275F8C8B">
            <w:pPr>
              <w:pStyle w:val="10"/>
              <w:overflowPunct w:val="0"/>
              <w:adjustRightInd w:val="0"/>
              <w:snapToGrid w:val="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服务</w:t>
            </w:r>
            <w:r>
              <w:rPr>
                <w:rFonts w:hint="eastAsia" w:ascii="宋体" w:hAnsi="宋体" w:eastAsia="宋体" w:cs="宋体"/>
                <w:color w:val="auto"/>
                <w:sz w:val="24"/>
                <w:lang w:val="en-US" w:eastAsia="zh-CN"/>
              </w:rPr>
              <w:t>期限</w:t>
            </w:r>
            <w:r>
              <w:rPr>
                <w:rFonts w:hint="eastAsia" w:ascii="宋体" w:hAnsi="宋体" w:eastAsia="宋体" w:cs="宋体"/>
                <w:color w:val="auto"/>
                <w:sz w:val="24"/>
                <w:lang w:eastAsia="zh-CN"/>
              </w:rPr>
              <w:t>、质量目标</w:t>
            </w:r>
            <w:r>
              <w:rPr>
                <w:rFonts w:hint="eastAsia" w:ascii="宋体" w:hAnsi="宋体" w:eastAsia="宋体" w:cs="宋体"/>
                <w:color w:val="auto"/>
                <w:sz w:val="24"/>
              </w:rPr>
              <w:t>是否满足招标文件要求；</w:t>
            </w:r>
          </w:p>
        </w:tc>
        <w:tc>
          <w:tcPr>
            <w:tcW w:w="997" w:type="pct"/>
            <w:vAlign w:val="center"/>
          </w:tcPr>
          <w:p w14:paraId="37AD2F57">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5EC0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1" w:type="pct"/>
            <w:vAlign w:val="center"/>
          </w:tcPr>
          <w:p w14:paraId="0BC83F16">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4</w:t>
            </w:r>
          </w:p>
        </w:tc>
        <w:tc>
          <w:tcPr>
            <w:tcW w:w="3471" w:type="pct"/>
          </w:tcPr>
          <w:p w14:paraId="4CFE9B8D">
            <w:pPr>
              <w:pStyle w:val="10"/>
              <w:overflowPunct w:val="0"/>
              <w:adjustRightInd w:val="0"/>
              <w:snapToGrid w:val="0"/>
              <w:spacing w:line="360" w:lineRule="auto"/>
              <w:rPr>
                <w:rFonts w:hint="eastAsia" w:ascii="宋体" w:hAnsi="宋体" w:eastAsia="宋体" w:cs="宋体"/>
                <w:color w:val="auto"/>
                <w:sz w:val="24"/>
              </w:rPr>
            </w:pPr>
            <w:r>
              <w:rPr>
                <w:rFonts w:hint="eastAsia" w:ascii="宋体" w:hAnsi="宋体" w:eastAsia="宋体" w:cs="宋体"/>
                <w:color w:val="auto"/>
                <w:sz w:val="24"/>
              </w:rPr>
              <w:t>投标有效期是否满足招标文件要求；</w:t>
            </w:r>
          </w:p>
        </w:tc>
        <w:tc>
          <w:tcPr>
            <w:tcW w:w="997" w:type="pct"/>
            <w:vAlign w:val="center"/>
          </w:tcPr>
          <w:p w14:paraId="18A69748">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1B81D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pct"/>
            <w:vAlign w:val="center"/>
          </w:tcPr>
          <w:p w14:paraId="0582AAF5">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5</w:t>
            </w:r>
          </w:p>
        </w:tc>
        <w:tc>
          <w:tcPr>
            <w:tcW w:w="3471" w:type="pct"/>
          </w:tcPr>
          <w:p w14:paraId="6A568F3C">
            <w:pPr>
              <w:pStyle w:val="10"/>
              <w:overflowPunct w:val="0"/>
              <w:adjustRightInd w:val="0"/>
              <w:snapToGrid w:val="0"/>
              <w:spacing w:line="360" w:lineRule="auto"/>
              <w:rPr>
                <w:rFonts w:hint="eastAsia" w:ascii="宋体" w:hAnsi="宋体" w:eastAsia="宋体" w:cs="宋体"/>
                <w:color w:val="auto"/>
                <w:sz w:val="24"/>
              </w:rPr>
            </w:pPr>
            <w:r>
              <w:rPr>
                <w:rFonts w:hint="eastAsia" w:ascii="宋体" w:hAnsi="宋体" w:eastAsia="宋体" w:cs="宋体"/>
                <w:color w:val="auto"/>
                <w:sz w:val="24"/>
              </w:rPr>
              <w:t>投标报价：同时满足以下条款：（1）投标报价符合唯一性要求：（2）开标一览表填写符合要求；(3)计量单位、报价货币均符合招标文件要求；（4）未超出采购预算或招标文件规定的最高限价；</w:t>
            </w:r>
          </w:p>
        </w:tc>
        <w:tc>
          <w:tcPr>
            <w:tcW w:w="997" w:type="pct"/>
            <w:vAlign w:val="center"/>
          </w:tcPr>
          <w:p w14:paraId="2EF7B464">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51515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pct"/>
            <w:vAlign w:val="center"/>
          </w:tcPr>
          <w:p w14:paraId="69580D9D">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6</w:t>
            </w:r>
          </w:p>
        </w:tc>
        <w:tc>
          <w:tcPr>
            <w:tcW w:w="3471" w:type="pct"/>
          </w:tcPr>
          <w:p w14:paraId="6C33DCBA">
            <w:pPr>
              <w:pStyle w:val="10"/>
              <w:overflowPunct w:val="0"/>
              <w:adjustRightInd w:val="0"/>
              <w:snapToGrid w:val="0"/>
              <w:spacing w:line="360" w:lineRule="auto"/>
              <w:rPr>
                <w:rFonts w:hint="eastAsia" w:ascii="宋体" w:hAnsi="宋体" w:eastAsia="宋体" w:cs="宋体"/>
                <w:color w:val="auto"/>
                <w:sz w:val="24"/>
              </w:rPr>
            </w:pPr>
            <w:r>
              <w:rPr>
                <w:rFonts w:hint="eastAsia" w:ascii="宋体" w:hAnsi="宋体" w:eastAsia="宋体" w:cs="宋体"/>
                <w:color w:val="auto"/>
                <w:sz w:val="24"/>
              </w:rPr>
              <w:t>技术/服务要求：是否完全理解并接受对合格供应商、合格的服务要求，技术/服务没有重大偏离和保留；</w:t>
            </w:r>
          </w:p>
        </w:tc>
        <w:tc>
          <w:tcPr>
            <w:tcW w:w="997" w:type="pct"/>
            <w:vAlign w:val="center"/>
          </w:tcPr>
          <w:p w14:paraId="3C302724">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6A20D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pct"/>
            <w:vAlign w:val="center"/>
          </w:tcPr>
          <w:p w14:paraId="082EB058">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7</w:t>
            </w:r>
          </w:p>
        </w:tc>
        <w:tc>
          <w:tcPr>
            <w:tcW w:w="3471" w:type="pct"/>
          </w:tcPr>
          <w:p w14:paraId="60B59267">
            <w:pPr>
              <w:pStyle w:val="10"/>
              <w:overflowPunct w:val="0"/>
              <w:adjustRightInd w:val="0"/>
              <w:snapToGrid w:val="0"/>
              <w:spacing w:line="360" w:lineRule="auto"/>
              <w:rPr>
                <w:rFonts w:hint="eastAsia" w:ascii="宋体" w:hAnsi="宋体" w:eastAsia="宋体" w:cs="宋体"/>
                <w:b/>
                <w:bCs/>
                <w:color w:val="auto"/>
                <w:sz w:val="24"/>
              </w:rPr>
            </w:pPr>
            <w:r>
              <w:rPr>
                <w:rFonts w:hint="eastAsia" w:ascii="宋体" w:hAnsi="宋体" w:eastAsia="宋体" w:cs="宋体"/>
                <w:color w:val="auto"/>
                <w:sz w:val="24"/>
              </w:rPr>
              <w:t>合同文本：是否完全理解并接受招标文件合同基本条款的要求。</w:t>
            </w:r>
          </w:p>
        </w:tc>
        <w:tc>
          <w:tcPr>
            <w:tcW w:w="997" w:type="pct"/>
            <w:vAlign w:val="center"/>
          </w:tcPr>
          <w:p w14:paraId="0DE59E2B">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5C271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1" w:type="pct"/>
            <w:vAlign w:val="center"/>
          </w:tcPr>
          <w:p w14:paraId="4D88FFD8">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8</w:t>
            </w:r>
          </w:p>
        </w:tc>
        <w:tc>
          <w:tcPr>
            <w:tcW w:w="3471" w:type="pct"/>
          </w:tcPr>
          <w:p w14:paraId="4CA4476B">
            <w:pPr>
              <w:pStyle w:val="10"/>
              <w:overflowPunct w:val="0"/>
              <w:adjustRightInd w:val="0"/>
              <w:snapToGrid w:val="0"/>
              <w:spacing w:line="360" w:lineRule="auto"/>
              <w:rPr>
                <w:rFonts w:hint="eastAsia" w:ascii="宋体" w:hAnsi="宋体" w:eastAsia="宋体" w:cs="宋体"/>
                <w:color w:val="auto"/>
                <w:sz w:val="24"/>
              </w:rPr>
            </w:pPr>
            <w:r>
              <w:rPr>
                <w:rFonts w:hint="eastAsia" w:ascii="宋体" w:hAnsi="宋体" w:eastAsia="宋体" w:cs="宋体"/>
                <w:color w:val="auto"/>
                <w:sz w:val="24"/>
              </w:rPr>
              <w:t>其他：完全理解并接受法律法规和招标文件对供应商的各项须知、规约要求和责任义务，没有出现法律法规或招标文件明确规定的其他被视为“无效投标”的情形。</w:t>
            </w:r>
          </w:p>
        </w:tc>
        <w:tc>
          <w:tcPr>
            <w:tcW w:w="997" w:type="pct"/>
            <w:vAlign w:val="center"/>
          </w:tcPr>
          <w:p w14:paraId="0ED43525">
            <w:pPr>
              <w:overflowPunct w:val="0"/>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bl>
    <w:p w14:paraId="790B264B">
      <w:pPr>
        <w:overflowPunct w:val="0"/>
        <w:adjustRightInd w:val="0"/>
        <w:snapToGrid w:val="0"/>
        <w:spacing w:line="360" w:lineRule="auto"/>
        <w:ind w:firstLine="480" w:firstLineChars="200"/>
        <w:rPr>
          <w:rFonts w:hint="eastAsia" w:ascii="宋体" w:hAnsi="宋体" w:eastAsia="宋体" w:cs="宋体"/>
          <w:color w:val="auto"/>
          <w:kern w:val="0"/>
          <w:sz w:val="24"/>
        </w:rPr>
      </w:pPr>
      <w:r>
        <w:rPr>
          <w:rFonts w:hint="eastAsia" w:ascii="宋体" w:hAnsi="宋体" w:eastAsia="宋体" w:cs="宋体"/>
          <w:color w:val="auto"/>
          <w:sz w:val="24"/>
        </w:rPr>
        <w:t>对通过审查的，被认为其投标文件完整、合格，投标有效，可进入下阶段的评标。</w:t>
      </w:r>
    </w:p>
    <w:p w14:paraId="1215CD24">
      <w:pPr>
        <w:overflowPunct w:val="0"/>
        <w:adjustRightInd w:val="0"/>
        <w:snapToGrid w:val="0"/>
        <w:spacing w:line="360" w:lineRule="auto"/>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 xml:space="preserve"> 3.3 经过对投标人资格审查及投标文件符合性审查，出现下列情况者（但不限于），按无效投标处理：</w:t>
      </w:r>
    </w:p>
    <w:p w14:paraId="24A41B91">
      <w:pPr>
        <w:kinsoku w:val="0"/>
        <w:spacing w:line="360" w:lineRule="auto"/>
        <w:ind w:firstLine="600" w:firstLineChars="250"/>
        <w:rPr>
          <w:rFonts w:hint="eastAsia" w:ascii="宋体" w:hAnsi="宋体" w:eastAsia="宋体" w:cs="宋体"/>
          <w:color w:val="auto"/>
          <w:sz w:val="24"/>
        </w:rPr>
      </w:pPr>
      <w:bookmarkStart w:id="0" w:name="OLE_LINK1"/>
      <w:r>
        <w:rPr>
          <w:rFonts w:hint="eastAsia" w:ascii="宋体" w:hAnsi="宋体" w:eastAsia="宋体" w:cs="宋体"/>
          <w:color w:val="auto"/>
          <w:sz w:val="24"/>
        </w:rPr>
        <w:t>A、投标人的投标报价超过采购预算或者最高限价；</w:t>
      </w:r>
    </w:p>
    <w:p w14:paraId="7CA47E03">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B、投标人未经过正常渠道下载招标文件，或投标人名称与下载招标文件时登记的投标人名称不符的；</w:t>
      </w:r>
    </w:p>
    <w:p w14:paraId="599F8372">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C、投标文件的签署、盖章不符合招标文件要求； </w:t>
      </w:r>
    </w:p>
    <w:p w14:paraId="5A487FD9">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D、投标文件的有效性和符合性不符合要求的；</w:t>
      </w:r>
    </w:p>
    <w:p w14:paraId="4034506D">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E、实质性内容不满足或未响应的（包括但不限于：</w:t>
      </w:r>
      <w:r>
        <w:rPr>
          <w:rFonts w:hint="eastAsia" w:ascii="宋体" w:hAnsi="宋体" w:eastAsia="宋体" w:cs="宋体"/>
          <w:color w:val="auto"/>
          <w:sz w:val="24"/>
          <w:lang w:eastAsia="zh-CN"/>
        </w:rPr>
        <w:t>服务</w:t>
      </w:r>
      <w:r>
        <w:rPr>
          <w:rFonts w:hint="eastAsia" w:ascii="宋体" w:hAnsi="宋体" w:eastAsia="宋体" w:cs="宋体"/>
          <w:color w:val="auto"/>
          <w:sz w:val="24"/>
          <w:lang w:val="en-US" w:eastAsia="zh-CN"/>
        </w:rPr>
        <w:t>期限</w:t>
      </w:r>
      <w:r>
        <w:rPr>
          <w:rFonts w:hint="eastAsia" w:ascii="宋体" w:hAnsi="宋体" w:eastAsia="宋体" w:cs="宋体"/>
          <w:color w:val="auto"/>
          <w:sz w:val="24"/>
          <w:lang w:eastAsia="zh-CN"/>
        </w:rPr>
        <w:t>、质量目标</w:t>
      </w:r>
      <w:r>
        <w:rPr>
          <w:rFonts w:hint="eastAsia" w:ascii="宋体" w:hAnsi="宋体" w:eastAsia="宋体" w:cs="宋体"/>
          <w:color w:val="auto"/>
          <w:sz w:val="24"/>
        </w:rPr>
        <w:t>、付款方式、主要技术指标等）；</w:t>
      </w:r>
    </w:p>
    <w:p w14:paraId="77C27E05">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F、投标文件未按招标文件要求的数量和方式胶装、签字、加盖公章的；</w:t>
      </w:r>
    </w:p>
    <w:p w14:paraId="2FDCF1E4">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G、无投标有效期或有效期达不到招标文件要求的； </w:t>
      </w:r>
    </w:p>
    <w:p w14:paraId="38B6ED82">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H、投标人针对同一项目递交两份或多份内容不同的投标文件，未书面声明哪一份是有效的或出现选择性报价的；</w:t>
      </w:r>
    </w:p>
    <w:p w14:paraId="41CB6F3E">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I、投标人有串通投标、弄虚作假（包括但不限于虚假资质、虚假证明、虚假应答等）、行贿等违法行为的；</w:t>
      </w:r>
    </w:p>
    <w:p w14:paraId="127A7FB7">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J、投标文件附加了采购人难以接受的条件或条款的；</w:t>
      </w:r>
    </w:p>
    <w:p w14:paraId="5201CD81">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K、在政府采购或其它重大项目履约过程中有不良记录，未能按期履约的；</w:t>
      </w:r>
    </w:p>
    <w:p w14:paraId="5CF4FE71">
      <w:pPr>
        <w:kinsoku w:val="0"/>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L、投标报价与市场价格偏离较大、低于成本、形成不正当竞争的；</w:t>
      </w:r>
    </w:p>
    <w:p w14:paraId="5F577A91">
      <w:pPr>
        <w:topLinePunct/>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M、投标报价子目出现漏项或报价数量与要求不符的；</w:t>
      </w:r>
    </w:p>
    <w:p w14:paraId="3BAB64AD">
      <w:pPr>
        <w:topLinePunct/>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N、投标产品的技术参数、性能指标与招标文件要求出现重大负偏差的；</w:t>
      </w:r>
    </w:p>
    <w:p w14:paraId="49703B4B">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O、投标文件未实质性响应招标文件要求的；</w:t>
      </w:r>
    </w:p>
    <w:p w14:paraId="617E4D59">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P、提供虚假技术性能指标的。</w:t>
      </w:r>
    </w:p>
    <w:bookmarkEnd w:id="0"/>
    <w:p w14:paraId="1DBAB577">
      <w:pPr>
        <w:overflowPunct w:val="0"/>
        <w:adjustRightInd w:val="0"/>
        <w:snapToGrid w:val="0"/>
        <w:spacing w:line="360" w:lineRule="auto"/>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3.4 如出现对招标文件作出实质性响应的投标人或者合格投标人不足三家的情况，不得评标。</w:t>
      </w:r>
    </w:p>
    <w:p w14:paraId="7F959719">
      <w:pPr>
        <w:overflowPunct w:val="0"/>
        <w:adjustRightInd w:val="0"/>
        <w:snapToGrid w:val="0"/>
        <w:spacing w:line="360" w:lineRule="auto"/>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3.5根据《政府采购货物和服务招标投标管理办法》相关规定，单一产品采购项目提供相同品牌产品或非单一产品采购项目多家投标单位提供的核心产品品牌相同的且通过资格审查、符合性审查的不同投标单位参加同一合同项下投标的，按一家投标单位计算，评审后得分最高的同品牌投标单位获得中标投标单位推荐资格；评审得分相同的，由采购人或者采购人委托评标委员会按照报价得分最高的方式确定一个投标单位获得中标投标单位推荐资格。</w:t>
      </w:r>
    </w:p>
    <w:p w14:paraId="2C147188">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3.6开标时，投标文件中出现下列情况，修正原则为：</w:t>
      </w:r>
    </w:p>
    <w:p w14:paraId="6A9591C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A、投标文件中开标一览表（报价表）内容与投标文件中相应内容不一致的，以开标一览表（报价表）为准；</w:t>
      </w:r>
    </w:p>
    <w:p w14:paraId="31764EF1">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B、大写金额和小写金额不一致的，以大写金额为准；</w:t>
      </w:r>
    </w:p>
    <w:p w14:paraId="72EF894E">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C、单价金额小数点或者百分比有明显错位的，以开标一览表的总价为准，并修改单价；</w:t>
      </w:r>
    </w:p>
    <w:p w14:paraId="7C7D0DF4">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D、总价金额与按单价汇总金额不一致的，以单价金额计算结果为准；</w:t>
      </w:r>
    </w:p>
    <w:p w14:paraId="0D29628B">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E、投标文件正本与副本不一致的，以正本为准；</w:t>
      </w:r>
    </w:p>
    <w:p w14:paraId="7AC4F420">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F、多处内容交叉不符的，以评标委员会评审结果为准；</w:t>
      </w:r>
    </w:p>
    <w:p w14:paraId="553447B3">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G、文字与图表不符的，以文字为准。</w:t>
      </w:r>
    </w:p>
    <w:p w14:paraId="6D664D2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同时出现两种以上不一致的，按照前款规定的顺序修正。按上述修正错误的原则及方法调整或修正投标文件的报价和内容，投标人同意后，调整后的报价和内容对投标人起约束作用。如果投标人不接受修正后的报价和内容，则其投标无效。</w:t>
      </w:r>
    </w:p>
    <w:p w14:paraId="0D62D315">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3.7公开开标后，直到向中标的投标人授予合同为止，凡审查、澄清、评价和比较投标的有关资料及被授标意见等内容，评标委员会成员均不得向投标人及与评标无关的其他人透露。</w:t>
      </w:r>
    </w:p>
    <w:p w14:paraId="569A1B7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0"/>
        <w:jc w:val="left"/>
        <w:textAlignment w:val="auto"/>
        <w:rPr>
          <w:rFonts w:hint="eastAsia" w:ascii="宋体" w:hAnsi="宋体" w:eastAsia="宋体" w:cs="宋体"/>
          <w:b w:val="0"/>
          <w:bCs w:val="0"/>
          <w:i w:val="0"/>
          <w:iCs w:val="0"/>
          <w:caps w:val="0"/>
          <w:color w:val="auto"/>
          <w:spacing w:val="0"/>
          <w:sz w:val="24"/>
          <w:szCs w:val="24"/>
          <w:shd w:val="clear" w:fill="FFFFFF"/>
        </w:rPr>
      </w:pPr>
      <w:r>
        <w:rPr>
          <w:rFonts w:hint="eastAsia" w:ascii="宋体" w:hAnsi="宋体" w:eastAsia="宋体" w:cs="宋体"/>
          <w:b w:val="0"/>
          <w:bCs w:val="0"/>
          <w:i w:val="0"/>
          <w:iCs w:val="0"/>
          <w:caps w:val="0"/>
          <w:color w:val="auto"/>
          <w:spacing w:val="0"/>
          <w:sz w:val="24"/>
          <w:szCs w:val="24"/>
          <w:shd w:val="clear" w:fill="FFFFFF"/>
        </w:rPr>
        <w:t>4</w:t>
      </w:r>
      <w:r>
        <w:rPr>
          <w:rFonts w:hint="eastAsia" w:ascii="宋体" w:hAnsi="宋体" w:eastAsia="宋体" w:cs="宋体"/>
          <w:b w:val="0"/>
          <w:bCs w:val="0"/>
          <w:i w:val="0"/>
          <w:iCs w:val="0"/>
          <w:caps w:val="0"/>
          <w:color w:val="auto"/>
          <w:spacing w:val="0"/>
          <w:sz w:val="24"/>
          <w:szCs w:val="24"/>
          <w:shd w:val="clear" w:fill="FFFFFF"/>
          <w:lang w:val="en-US" w:eastAsia="zh-CN"/>
        </w:rPr>
        <w:t>.</w:t>
      </w:r>
      <w:r>
        <w:rPr>
          <w:rFonts w:hint="eastAsia" w:ascii="宋体" w:hAnsi="宋体" w:eastAsia="宋体" w:cs="宋体"/>
          <w:b w:val="0"/>
          <w:bCs w:val="0"/>
          <w:i w:val="0"/>
          <w:iCs w:val="0"/>
          <w:caps w:val="0"/>
          <w:color w:val="auto"/>
          <w:spacing w:val="0"/>
          <w:sz w:val="24"/>
          <w:szCs w:val="24"/>
          <w:shd w:val="clear" w:fill="FFFFFF"/>
        </w:rPr>
        <w:t>有下列情形之一的，视为投标单位串通投标，评标委员会应当认定其投标文件无效：</w:t>
      </w:r>
    </w:p>
    <w:p w14:paraId="38CA5D4F">
      <w:pPr>
        <w:topLinePunct/>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A、不同投标人的投标文件由同一单位或者个人编制；</w:t>
      </w:r>
    </w:p>
    <w:p w14:paraId="0E3B6599">
      <w:pPr>
        <w:topLinePunct/>
        <w:spacing w:line="360" w:lineRule="auto"/>
        <w:rPr>
          <w:rFonts w:hint="eastAsia" w:ascii="宋体" w:hAnsi="宋体" w:eastAsia="宋体" w:cs="宋体"/>
          <w:color w:val="auto"/>
          <w:sz w:val="24"/>
        </w:rPr>
      </w:pPr>
      <w:r>
        <w:rPr>
          <w:rFonts w:hint="eastAsia" w:ascii="宋体" w:hAnsi="宋体" w:eastAsia="宋体" w:cs="宋体"/>
          <w:color w:val="auto"/>
          <w:sz w:val="24"/>
        </w:rPr>
        <w:t>　　 B、不同投标人委托同一单位或者个人办理投标事宜；</w:t>
      </w:r>
    </w:p>
    <w:p w14:paraId="09D0AA1B">
      <w:pPr>
        <w:topLinePunct/>
        <w:spacing w:line="360" w:lineRule="auto"/>
        <w:rPr>
          <w:rFonts w:hint="eastAsia" w:ascii="宋体" w:hAnsi="宋体" w:eastAsia="宋体" w:cs="宋体"/>
          <w:color w:val="auto"/>
          <w:sz w:val="24"/>
        </w:rPr>
      </w:pPr>
      <w:r>
        <w:rPr>
          <w:rFonts w:hint="eastAsia" w:ascii="宋体" w:hAnsi="宋体" w:eastAsia="宋体" w:cs="宋体"/>
          <w:color w:val="auto"/>
          <w:sz w:val="24"/>
        </w:rPr>
        <w:t>　　 C、不同投标人的投标文件载明的项目管理成员或者联系人员为同一人；</w:t>
      </w:r>
    </w:p>
    <w:p w14:paraId="12FB7857">
      <w:pPr>
        <w:topLinePunct/>
        <w:spacing w:line="360" w:lineRule="auto"/>
        <w:rPr>
          <w:rFonts w:hint="eastAsia" w:ascii="宋体" w:hAnsi="宋体" w:eastAsia="宋体" w:cs="宋体"/>
          <w:color w:val="auto"/>
          <w:sz w:val="24"/>
        </w:rPr>
      </w:pPr>
      <w:r>
        <w:rPr>
          <w:rFonts w:hint="eastAsia" w:ascii="宋体" w:hAnsi="宋体" w:eastAsia="宋体" w:cs="宋体"/>
          <w:color w:val="auto"/>
          <w:sz w:val="24"/>
        </w:rPr>
        <w:t>　　 D、不同投标人的投标文件异常一致或者投标报价呈规律性差异；</w:t>
      </w:r>
    </w:p>
    <w:p w14:paraId="156211AC">
      <w:pPr>
        <w:topLinePunct/>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E、不同投标人的投标文件相互混装</w:t>
      </w:r>
      <w:r>
        <w:rPr>
          <w:rFonts w:hint="eastAsia" w:ascii="宋体" w:hAnsi="宋体" w:cs="宋体"/>
          <w:color w:val="auto"/>
          <w:sz w:val="24"/>
          <w:lang w:eastAsia="zh-CN"/>
        </w:rPr>
        <w:t>。</w:t>
      </w:r>
    </w:p>
    <w:p w14:paraId="20009F5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0"/>
        <w:jc w:val="left"/>
        <w:textAlignment w:val="auto"/>
        <w:rPr>
          <w:rFonts w:hint="eastAsia" w:ascii="宋体" w:hAnsi="宋体" w:eastAsia="宋体" w:cs="宋体"/>
          <w:b w:val="0"/>
          <w:bCs w:val="0"/>
          <w:i w:val="0"/>
          <w:iCs w:val="0"/>
          <w:caps w:val="0"/>
          <w:color w:val="auto"/>
          <w:spacing w:val="0"/>
          <w:sz w:val="24"/>
          <w:szCs w:val="24"/>
          <w:shd w:val="clear" w:fill="FFFFFF"/>
        </w:rPr>
      </w:pPr>
      <w:r>
        <w:rPr>
          <w:rFonts w:hint="eastAsia" w:ascii="宋体" w:hAnsi="宋体" w:eastAsia="宋体" w:cs="宋体"/>
          <w:b w:val="0"/>
          <w:bCs w:val="0"/>
          <w:i w:val="0"/>
          <w:iCs w:val="0"/>
          <w:caps w:val="0"/>
          <w:color w:val="auto"/>
          <w:spacing w:val="0"/>
          <w:sz w:val="24"/>
          <w:szCs w:val="24"/>
          <w:shd w:val="clear" w:fill="FFFFFF"/>
        </w:rPr>
        <w:t>5.询标</w:t>
      </w:r>
    </w:p>
    <w:p w14:paraId="2A8E44C2">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如澄清、说明或者更正的内容与投标文件内容有重大相悖或矛盾，将被认定为无效投标文件。</w:t>
      </w:r>
    </w:p>
    <w:p w14:paraId="688BD9B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0"/>
        <w:jc w:val="left"/>
        <w:textAlignment w:val="auto"/>
        <w:rPr>
          <w:rFonts w:hint="eastAsia" w:ascii="宋体" w:hAnsi="宋体" w:eastAsia="宋体" w:cs="宋体"/>
          <w:b w:val="0"/>
          <w:bCs w:val="0"/>
          <w:i w:val="0"/>
          <w:iCs w:val="0"/>
          <w:caps w:val="0"/>
          <w:color w:val="auto"/>
          <w:spacing w:val="0"/>
          <w:sz w:val="24"/>
          <w:szCs w:val="24"/>
          <w:shd w:val="clear" w:fill="FFFFFF"/>
        </w:rPr>
      </w:pPr>
      <w:r>
        <w:rPr>
          <w:rFonts w:hint="eastAsia" w:ascii="宋体" w:hAnsi="宋体" w:eastAsia="宋体" w:cs="宋体"/>
          <w:b w:val="0"/>
          <w:bCs w:val="0"/>
          <w:i w:val="0"/>
          <w:iCs w:val="0"/>
          <w:caps w:val="0"/>
          <w:color w:val="auto"/>
          <w:spacing w:val="0"/>
          <w:sz w:val="24"/>
          <w:szCs w:val="24"/>
          <w:shd w:val="clear" w:fill="FFFFFF"/>
        </w:rPr>
        <w:t>6</w:t>
      </w:r>
      <w:r>
        <w:rPr>
          <w:rFonts w:hint="eastAsia" w:ascii="宋体" w:hAnsi="宋体" w:eastAsia="宋体" w:cs="宋体"/>
          <w:b w:val="0"/>
          <w:bCs w:val="0"/>
          <w:i w:val="0"/>
          <w:iCs w:val="0"/>
          <w:caps w:val="0"/>
          <w:color w:val="auto"/>
          <w:spacing w:val="0"/>
          <w:sz w:val="24"/>
          <w:szCs w:val="24"/>
          <w:shd w:val="clear" w:fill="FFFFFF"/>
          <w:lang w:val="en-US" w:eastAsia="zh-CN"/>
        </w:rPr>
        <w:t>.</w:t>
      </w:r>
      <w:r>
        <w:rPr>
          <w:rFonts w:hint="eastAsia" w:ascii="宋体" w:hAnsi="宋体" w:eastAsia="宋体" w:cs="宋体"/>
          <w:b w:val="0"/>
          <w:bCs w:val="0"/>
          <w:i w:val="0"/>
          <w:iCs w:val="0"/>
          <w:caps w:val="0"/>
          <w:color w:val="auto"/>
          <w:spacing w:val="0"/>
          <w:sz w:val="24"/>
          <w:szCs w:val="24"/>
          <w:shd w:val="clear" w:fill="FFFFFF"/>
        </w:rPr>
        <w:t xml:space="preserve">评审方法及内容 </w:t>
      </w:r>
    </w:p>
    <w:p w14:paraId="3BEB939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kern w:val="0"/>
          <w:sz w:val="24"/>
        </w:rPr>
        <w:t>采用综合评分法：评标结果按评审后得分由高到低顺序排列。得分相同的，按投标报价由低到高顺序排列。得分且投标报价相同的</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按</w:t>
      </w:r>
      <w:r>
        <w:rPr>
          <w:rFonts w:hint="eastAsia" w:ascii="宋体" w:hAnsi="宋体" w:eastAsia="宋体" w:cs="宋体"/>
          <w:color w:val="auto"/>
          <w:kern w:val="0"/>
          <w:sz w:val="24"/>
        </w:rPr>
        <w:t>投标文件满足招标文件全部</w:t>
      </w:r>
      <w:r>
        <w:rPr>
          <w:rFonts w:hint="eastAsia" w:ascii="宋体" w:hAnsi="宋体" w:eastAsia="宋体" w:cs="宋体"/>
          <w:color w:val="auto"/>
          <w:spacing w:val="-4"/>
          <w:kern w:val="0"/>
          <w:sz w:val="24"/>
        </w:rPr>
        <w:t>实质性要求，且按照评审因素的量化指标评审得分最高的投标人为排名第一的中标候选人。</w:t>
      </w:r>
      <w:r>
        <w:rPr>
          <w:rFonts w:hint="eastAsia" w:ascii="宋体" w:hAnsi="宋体" w:eastAsia="宋体" w:cs="宋体"/>
          <w:color w:val="auto"/>
          <w:kern w:val="0"/>
          <w:sz w:val="24"/>
        </w:rPr>
        <w:t xml:space="preserve"> </w:t>
      </w:r>
    </w:p>
    <w:p w14:paraId="068E1372">
      <w:pPr>
        <w:widowControl/>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单一产品采购项目中，提供相同品牌产品且通过资格审查、符合性审查的不同投标人参加同一合同项下投标的，按一家投标人计算，评审后得分最高的同品牌投标人获得中标人推荐资格；评审得分相同的，由评标委员会按照投标报价最低的方式确定一个投标人获得中标人推荐资格，其他同品牌投标人不作为中标候选人。</w:t>
      </w:r>
    </w:p>
    <w:p w14:paraId="4E8D860B">
      <w:pPr>
        <w:widowControl/>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非单一产品采购项目中，多家投标人提供的核心产品品牌相同的，且通过资格审查、符合性审查的不同投标人参加同一合同项下投标的，按一家投标人计算。遵照前款规定处理。　　</w:t>
      </w:r>
    </w:p>
    <w:p w14:paraId="501D03B8">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评标委员会根据以下内容进行综合比较，独立评审、自主打分，按最后得分由高到低汇总排序，推荐一至三名中标候选人；评标委员会根据评标结果写出评标报告。评标委员会成员对需要共同认定的事项存在争议的，应当按照少数服从多数的原则作出结论。持不同意见的评标委员会成员应当在评标报告上签署不同意见及理由，否则视为同意评标报告。</w:t>
      </w:r>
    </w:p>
    <w:p w14:paraId="52736B4A">
      <w:pPr>
        <w:numPr>
          <w:ilvl w:val="0"/>
          <w:numId w:val="2"/>
        </w:num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评标委员会成员须对畸高、畸低的重大差异评分进行复核或书面说明理由。 </w:t>
      </w:r>
    </w:p>
    <w:p w14:paraId="42E0EFCC">
      <w:pPr>
        <w:numPr>
          <w:ilvl w:val="0"/>
          <w:numId w:val="2"/>
        </w:num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评审指标分值构成及评审内容（总计100分）</w:t>
      </w:r>
    </w:p>
    <w:p w14:paraId="0E495A24">
      <w:pPr>
        <w:pStyle w:val="8"/>
        <w:spacing w:line="360" w:lineRule="auto"/>
        <w:ind w:firstLine="482" w:firstLineChars="200"/>
        <w:rPr>
          <w:rFonts w:hint="eastAsia" w:ascii="宋体" w:hAnsi="宋体" w:eastAsia="宋体" w:cs="宋体"/>
          <w:color w:val="auto"/>
        </w:rPr>
      </w:pPr>
      <w:r>
        <w:rPr>
          <w:rFonts w:hint="eastAsia" w:ascii="宋体" w:hAnsi="宋体" w:eastAsia="宋体" w:cs="宋体"/>
          <w:b/>
          <w:bCs/>
          <w:color w:val="auto"/>
        </w:rPr>
        <w:t>总分100分，每个投标人每项评分因</w:t>
      </w:r>
      <w:r>
        <w:rPr>
          <w:rFonts w:hint="eastAsia" w:ascii="宋体" w:hAnsi="宋体" w:eastAsia="宋体" w:cs="宋体"/>
          <w:b/>
          <w:color w:val="auto"/>
          <w:kern w:val="0"/>
        </w:rPr>
        <w:t>素得分汇总即为最后得分，各项评分因素具体内容及打分标准如下：</w:t>
      </w:r>
    </w:p>
    <w:tbl>
      <w:tblPr>
        <w:tblStyle w:val="19"/>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521"/>
        <w:gridCol w:w="1288"/>
        <w:gridCol w:w="6868"/>
      </w:tblGrid>
      <w:tr w14:paraId="4713C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6" w:type="pct"/>
            <w:shd w:val="clear" w:color="auto" w:fill="auto"/>
            <w:tcMar>
              <w:top w:w="120" w:type="dxa"/>
              <w:left w:w="120" w:type="dxa"/>
              <w:bottom w:w="120" w:type="dxa"/>
              <w:right w:w="120" w:type="dxa"/>
            </w:tcMar>
            <w:vAlign w:val="center"/>
          </w:tcPr>
          <w:p w14:paraId="1BB6036E">
            <w:pPr>
              <w:keepNext w:val="0"/>
              <w:keepLines w:val="0"/>
              <w:widowControl/>
              <w:suppressLineNumbers w:val="0"/>
              <w:spacing w:line="360" w:lineRule="auto"/>
              <w:jc w:val="center"/>
              <w:rPr>
                <w:b/>
                <w:bCs/>
                <w:color w:val="auto"/>
              </w:rPr>
            </w:pPr>
            <w:r>
              <w:rPr>
                <w:rFonts w:ascii="宋体" w:hAnsi="宋体" w:eastAsia="宋体" w:cs="宋体"/>
                <w:b/>
                <w:bCs/>
                <w:color w:val="auto"/>
                <w:kern w:val="0"/>
                <w:sz w:val="24"/>
                <w:szCs w:val="24"/>
                <w:lang w:val="en-US" w:eastAsia="zh-CN" w:bidi="ar"/>
              </w:rPr>
              <w:t>评审项名称</w:t>
            </w:r>
          </w:p>
        </w:tc>
        <w:tc>
          <w:tcPr>
            <w:tcW w:w="665" w:type="pct"/>
            <w:shd w:val="clear" w:color="auto" w:fill="auto"/>
            <w:tcMar>
              <w:top w:w="120" w:type="dxa"/>
              <w:left w:w="120" w:type="dxa"/>
              <w:bottom w:w="120" w:type="dxa"/>
              <w:right w:w="120" w:type="dxa"/>
            </w:tcMar>
            <w:vAlign w:val="center"/>
          </w:tcPr>
          <w:p w14:paraId="6750A1C6">
            <w:pPr>
              <w:keepNext w:val="0"/>
              <w:keepLines w:val="0"/>
              <w:widowControl/>
              <w:suppressLineNumbers w:val="0"/>
              <w:spacing w:line="360" w:lineRule="auto"/>
              <w:jc w:val="center"/>
              <w:rPr>
                <w:rFonts w:ascii="宋体" w:hAnsi="宋体" w:eastAsia="宋体" w:cs="宋体"/>
                <w:b/>
                <w:bCs/>
                <w:color w:val="auto"/>
                <w:kern w:val="0"/>
                <w:sz w:val="24"/>
                <w:szCs w:val="24"/>
                <w:lang w:val="en-US" w:eastAsia="zh-CN" w:bidi="ar"/>
              </w:rPr>
            </w:pPr>
            <w:r>
              <w:rPr>
                <w:rFonts w:ascii="宋体" w:hAnsi="宋体" w:eastAsia="宋体" w:cs="宋体"/>
                <w:b/>
                <w:bCs/>
                <w:color w:val="auto"/>
                <w:kern w:val="0"/>
                <w:sz w:val="24"/>
                <w:szCs w:val="24"/>
                <w:lang w:val="en-US" w:eastAsia="zh-CN" w:bidi="ar"/>
              </w:rPr>
              <w:t>分值</w:t>
            </w:r>
          </w:p>
        </w:tc>
        <w:tc>
          <w:tcPr>
            <w:tcW w:w="3547" w:type="pct"/>
            <w:shd w:val="clear" w:color="auto" w:fill="auto"/>
            <w:tcMar>
              <w:top w:w="120" w:type="dxa"/>
              <w:left w:w="120" w:type="dxa"/>
              <w:bottom w:w="120" w:type="dxa"/>
              <w:right w:w="120" w:type="dxa"/>
            </w:tcMar>
            <w:vAlign w:val="center"/>
          </w:tcPr>
          <w:p w14:paraId="216A94E9">
            <w:pPr>
              <w:keepNext w:val="0"/>
              <w:keepLines w:val="0"/>
              <w:widowControl/>
              <w:suppressLineNumbers w:val="0"/>
              <w:spacing w:line="360" w:lineRule="auto"/>
              <w:jc w:val="center"/>
              <w:rPr>
                <w:b/>
                <w:bCs/>
                <w:color w:val="auto"/>
              </w:rPr>
            </w:pPr>
            <w:r>
              <w:rPr>
                <w:rFonts w:ascii="宋体" w:hAnsi="宋体" w:eastAsia="宋体" w:cs="宋体"/>
                <w:b/>
                <w:bCs/>
                <w:color w:val="auto"/>
                <w:kern w:val="0"/>
                <w:sz w:val="24"/>
                <w:szCs w:val="24"/>
                <w:lang w:val="en-US" w:eastAsia="zh-CN" w:bidi="ar"/>
              </w:rPr>
              <w:t>评审细则</w:t>
            </w:r>
          </w:p>
        </w:tc>
      </w:tr>
      <w:tr w14:paraId="5BEF3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6" w:type="pct"/>
            <w:shd w:val="clear" w:color="auto" w:fill="auto"/>
            <w:tcMar>
              <w:top w:w="120" w:type="dxa"/>
              <w:left w:w="120" w:type="dxa"/>
              <w:bottom w:w="120" w:type="dxa"/>
              <w:right w:w="120" w:type="dxa"/>
            </w:tcMar>
            <w:vAlign w:val="center"/>
          </w:tcPr>
          <w:p w14:paraId="2C01A2DC">
            <w:pPr>
              <w:keepNext w:val="0"/>
              <w:keepLines w:val="0"/>
              <w:widowControl/>
              <w:suppressLineNumbers w:val="0"/>
              <w:spacing w:line="360" w:lineRule="auto"/>
              <w:jc w:val="center"/>
              <w:rPr>
                <w:color w:val="auto"/>
              </w:rPr>
            </w:pPr>
            <w:r>
              <w:rPr>
                <w:rFonts w:hint="eastAsia" w:ascii="宋体" w:hAnsi="宋体" w:eastAsia="宋体" w:cs="宋体"/>
                <w:color w:val="auto"/>
                <w:sz w:val="24"/>
                <w:szCs w:val="24"/>
              </w:rPr>
              <w:t>投标报价</w:t>
            </w:r>
          </w:p>
        </w:tc>
        <w:tc>
          <w:tcPr>
            <w:tcW w:w="665" w:type="pct"/>
            <w:shd w:val="clear" w:color="auto" w:fill="auto"/>
            <w:tcMar>
              <w:top w:w="120" w:type="dxa"/>
              <w:left w:w="120" w:type="dxa"/>
              <w:bottom w:w="120" w:type="dxa"/>
              <w:right w:w="120" w:type="dxa"/>
            </w:tcMar>
            <w:vAlign w:val="center"/>
          </w:tcPr>
          <w:p w14:paraId="50B4141F">
            <w:pPr>
              <w:keepNext w:val="0"/>
              <w:keepLines w:val="0"/>
              <w:widowControl/>
              <w:suppressLineNumbers w:val="0"/>
              <w:spacing w:line="360" w:lineRule="auto"/>
              <w:jc w:val="center"/>
              <w:rPr>
                <w:rFonts w:hint="eastAsia" w:ascii="宋体" w:hAnsi="宋体" w:eastAsia="宋体" w:cs="宋体"/>
                <w:color w:val="auto"/>
                <w:sz w:val="24"/>
                <w:szCs w:val="24"/>
              </w:rPr>
            </w:pPr>
            <w:r>
              <w:rPr>
                <w:rFonts w:ascii="宋体" w:hAnsi="宋体" w:eastAsia="宋体" w:cs="宋体"/>
                <w:color w:val="auto"/>
                <w:kern w:val="0"/>
                <w:sz w:val="24"/>
                <w:szCs w:val="24"/>
                <w:lang w:val="en-US" w:eastAsia="zh-CN" w:bidi="ar"/>
              </w:rPr>
              <w:t>10</w:t>
            </w:r>
          </w:p>
        </w:tc>
        <w:tc>
          <w:tcPr>
            <w:tcW w:w="3547" w:type="pct"/>
            <w:shd w:val="clear" w:color="auto" w:fill="auto"/>
            <w:tcMar>
              <w:top w:w="120" w:type="dxa"/>
              <w:left w:w="120" w:type="dxa"/>
              <w:bottom w:w="120" w:type="dxa"/>
              <w:right w:w="120" w:type="dxa"/>
            </w:tcMar>
            <w:vAlign w:val="center"/>
          </w:tcPr>
          <w:p w14:paraId="6FDFAFD1">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价格分统一采用低价优先法计算，即满足投标文件要求且投标价格最低的投标报价为投标基准价，其价格分为满分。其他投标人的价格分统一按照下列公式计算：</w:t>
            </w:r>
          </w:p>
          <w:p w14:paraId="61EB072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投标报价得分=(投标基准价／投标报价)×价格权值×100计算分数时四舍五入取小数点后两位</w:t>
            </w:r>
          </w:p>
          <w:p w14:paraId="674CF90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注：（1）根据《政府采购促进中小企业发展管理办法》的相关规定，对小型和微型企业的价格给予10%的扣除，用扣除后的价格参与评审。</w:t>
            </w:r>
          </w:p>
          <w:p w14:paraId="0C2D83E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（2）根据《财政部民政部中国残疾人联合会关于促进残疾人就业政府采购政策的通知》（财库〔2017〕141号）的规定，对符合条件的残疾人福利性单位产品的价格给予10%的扣除，用扣除后的价格参与评审。</w:t>
            </w:r>
          </w:p>
          <w:p w14:paraId="655821D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小型、微型企业和监狱企业级符合财政部、民政部、中国残疾人联合会关于促进残疾人就业政府采购政策的通知，以上政策同时具备的仅对其进行一次10%的价格扣除，不重复扣除。</w:t>
            </w:r>
          </w:p>
          <w:p w14:paraId="48BF7D2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（3）根据《国务院办公厅关于在政府采购中实施本国产品标准及相关政策的通知》（国办发〔2025〕34号）</w:t>
            </w:r>
            <w:r>
              <w:rPr>
                <w:rFonts w:hint="eastAsia" w:ascii="宋体" w:hAnsi="宋体" w:eastAsia="宋体" w:cs="宋体"/>
                <w:color w:val="auto"/>
                <w:sz w:val="24"/>
                <w:szCs w:val="24"/>
              </w:rPr>
              <w:t>的规定，对符合条件的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D27286C">
            <w:pPr>
              <w:keepNext w:val="0"/>
              <w:keepLines w:val="0"/>
              <w:widowControl/>
              <w:suppressLineNumbers w:val="0"/>
              <w:spacing w:line="360" w:lineRule="auto"/>
              <w:jc w:val="left"/>
              <w:rPr>
                <w:color w:val="auto"/>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tc>
      </w:tr>
      <w:tr w14:paraId="3E797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6" w:type="pct"/>
            <w:shd w:val="clear" w:color="auto" w:fill="auto"/>
            <w:tcMar>
              <w:top w:w="120" w:type="dxa"/>
              <w:left w:w="120" w:type="dxa"/>
              <w:bottom w:w="120" w:type="dxa"/>
              <w:right w:w="120" w:type="dxa"/>
            </w:tcMar>
            <w:vAlign w:val="center"/>
          </w:tcPr>
          <w:p w14:paraId="58C5939E">
            <w:pPr>
              <w:keepNext w:val="0"/>
              <w:keepLines w:val="0"/>
              <w:widowControl/>
              <w:suppressLineNumbers w:val="0"/>
              <w:spacing w:line="360" w:lineRule="auto"/>
              <w:jc w:val="center"/>
              <w:rPr>
                <w:color w:val="auto"/>
              </w:rPr>
            </w:pPr>
            <w:r>
              <w:rPr>
                <w:rFonts w:ascii="宋体" w:hAnsi="宋体" w:eastAsia="宋体" w:cs="宋体"/>
                <w:color w:val="auto"/>
                <w:kern w:val="0"/>
                <w:sz w:val="24"/>
                <w:szCs w:val="24"/>
                <w:lang w:val="en-US" w:eastAsia="zh-CN" w:bidi="ar"/>
              </w:rPr>
              <w:t>投标人综合服务实力</w:t>
            </w:r>
          </w:p>
        </w:tc>
        <w:tc>
          <w:tcPr>
            <w:tcW w:w="665" w:type="pct"/>
            <w:shd w:val="clear" w:color="auto" w:fill="auto"/>
            <w:tcMar>
              <w:top w:w="120" w:type="dxa"/>
              <w:left w:w="120" w:type="dxa"/>
              <w:bottom w:w="120" w:type="dxa"/>
              <w:right w:w="120" w:type="dxa"/>
            </w:tcMar>
            <w:vAlign w:val="center"/>
          </w:tcPr>
          <w:p w14:paraId="048A7A1E">
            <w:pPr>
              <w:keepNext w:val="0"/>
              <w:keepLines w:val="0"/>
              <w:widowControl/>
              <w:suppressLineNumbers w:val="0"/>
              <w:spacing w:line="360" w:lineRule="auto"/>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10</w:t>
            </w:r>
          </w:p>
        </w:tc>
        <w:tc>
          <w:tcPr>
            <w:tcW w:w="3547" w:type="pct"/>
            <w:shd w:val="clear" w:color="auto" w:fill="auto"/>
            <w:tcMar>
              <w:top w:w="120" w:type="dxa"/>
              <w:left w:w="120" w:type="dxa"/>
              <w:bottom w:w="120" w:type="dxa"/>
              <w:right w:w="120" w:type="dxa"/>
            </w:tcMar>
            <w:vAlign w:val="center"/>
          </w:tcPr>
          <w:p w14:paraId="01BC81C3">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1.投标人具备 ISO9001 质量管理体系认证证书，在有效期内；</w:t>
            </w:r>
          </w:p>
          <w:p w14:paraId="1BFF4738">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 投标人具备 ISO27001 信息安全管理体系认证证书，在有效期内；</w:t>
            </w:r>
          </w:p>
          <w:p w14:paraId="4A625AF3">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 投标人具备 ISO45001 职业健康安全管理体系认证证书，在有效期内；</w:t>
            </w:r>
          </w:p>
          <w:p w14:paraId="351F3251">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4. 投标人具备 ISO14001 环境管理体系认证证书，在有效期内；</w:t>
            </w:r>
          </w:p>
          <w:p w14:paraId="59AA51FF">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5. 投标人具备 CCCS 客户联络中心服务认证证书，在有效期内。</w:t>
            </w:r>
          </w:p>
          <w:p w14:paraId="33A9342B">
            <w:pPr>
              <w:keepNext w:val="0"/>
              <w:keepLines w:val="0"/>
              <w:widowControl/>
              <w:numPr>
                <w:ilvl w:val="0"/>
                <w:numId w:val="0"/>
              </w:numPr>
              <w:suppressLineNumbers w:val="0"/>
              <w:spacing w:line="360" w:lineRule="auto"/>
              <w:jc w:val="left"/>
              <w:rPr>
                <w:rFonts w:hint="default"/>
                <w:color w:val="auto"/>
                <w:lang w:val="en-US"/>
              </w:rPr>
            </w:pPr>
            <w:r>
              <w:rPr>
                <w:rFonts w:hint="eastAsia" w:ascii="宋体" w:hAnsi="宋体" w:eastAsia="宋体" w:cs="宋体"/>
                <w:color w:val="auto"/>
                <w:kern w:val="0"/>
                <w:sz w:val="24"/>
                <w:szCs w:val="24"/>
                <w:lang w:val="en-US" w:eastAsia="zh-CN" w:bidi="ar"/>
              </w:rPr>
              <w:t>以上证书每提供一项得</w:t>
            </w:r>
            <w:r>
              <w:rPr>
                <w:rFonts w:hint="eastAsia" w:ascii="宋体" w:hAnsi="宋体"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分，满分</w:t>
            </w:r>
            <w:r>
              <w:rPr>
                <w:rFonts w:hint="eastAsia" w:ascii="宋体" w:hAnsi="宋体" w:cs="宋体"/>
                <w:color w:val="auto"/>
                <w:kern w:val="0"/>
                <w:sz w:val="24"/>
                <w:szCs w:val="24"/>
                <w:lang w:val="en-US" w:eastAsia="zh-CN" w:bidi="ar"/>
              </w:rPr>
              <w:t>10</w:t>
            </w:r>
            <w:r>
              <w:rPr>
                <w:rFonts w:hint="eastAsia" w:ascii="宋体" w:hAnsi="宋体" w:eastAsia="宋体" w:cs="宋体"/>
                <w:color w:val="auto"/>
                <w:kern w:val="0"/>
                <w:sz w:val="24"/>
                <w:szCs w:val="24"/>
                <w:lang w:val="en-US" w:eastAsia="zh-CN" w:bidi="ar"/>
              </w:rPr>
              <w:t>分；未提供或材料无效不得分</w:t>
            </w:r>
            <w:r>
              <w:rPr>
                <w:rFonts w:hint="eastAsia" w:ascii="宋体" w:hAnsi="宋体" w:cs="宋体"/>
                <w:color w:val="auto"/>
                <w:kern w:val="0"/>
                <w:sz w:val="24"/>
                <w:szCs w:val="24"/>
                <w:lang w:val="en-US" w:eastAsia="zh-CN" w:bidi="ar"/>
              </w:rPr>
              <w:t xml:space="preserve">。 </w:t>
            </w:r>
          </w:p>
        </w:tc>
      </w:tr>
      <w:tr w14:paraId="25891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6" w:type="pct"/>
            <w:shd w:val="clear" w:color="auto" w:fill="auto"/>
            <w:tcMar>
              <w:top w:w="120" w:type="dxa"/>
              <w:left w:w="120" w:type="dxa"/>
              <w:bottom w:w="120" w:type="dxa"/>
              <w:right w:w="120" w:type="dxa"/>
            </w:tcMar>
            <w:vAlign w:val="center"/>
          </w:tcPr>
          <w:p w14:paraId="524C2DCD">
            <w:pPr>
              <w:keepNext w:val="0"/>
              <w:keepLines w:val="0"/>
              <w:widowControl/>
              <w:suppressLineNumbers w:val="0"/>
              <w:spacing w:line="360" w:lineRule="auto"/>
              <w:jc w:val="center"/>
              <w:rPr>
                <w:color w:val="auto"/>
              </w:rPr>
            </w:pPr>
            <w:r>
              <w:rPr>
                <w:rFonts w:ascii="宋体" w:hAnsi="宋体" w:eastAsia="宋体" w:cs="宋体"/>
                <w:color w:val="auto"/>
                <w:kern w:val="0"/>
                <w:sz w:val="24"/>
                <w:szCs w:val="24"/>
                <w:lang w:val="en-US" w:eastAsia="zh-CN" w:bidi="ar"/>
              </w:rPr>
              <w:t>类似业绩</w:t>
            </w:r>
          </w:p>
        </w:tc>
        <w:tc>
          <w:tcPr>
            <w:tcW w:w="665" w:type="pct"/>
            <w:shd w:val="clear" w:color="auto" w:fill="auto"/>
            <w:tcMar>
              <w:top w:w="120" w:type="dxa"/>
              <w:left w:w="120" w:type="dxa"/>
              <w:bottom w:w="120" w:type="dxa"/>
              <w:right w:w="120" w:type="dxa"/>
            </w:tcMar>
            <w:vAlign w:val="center"/>
          </w:tcPr>
          <w:p w14:paraId="2DC630EA">
            <w:pPr>
              <w:keepNext w:val="0"/>
              <w:keepLines w:val="0"/>
              <w:widowControl/>
              <w:suppressLineNumbers w:val="0"/>
              <w:spacing w:line="360" w:lineRule="auto"/>
              <w:jc w:val="center"/>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w:t>
            </w:r>
            <w:r>
              <w:rPr>
                <w:rFonts w:hint="eastAsia" w:ascii="宋体" w:hAnsi="宋体" w:cs="宋体"/>
                <w:color w:val="auto"/>
                <w:kern w:val="0"/>
                <w:sz w:val="24"/>
                <w:szCs w:val="24"/>
                <w:lang w:val="en-US" w:eastAsia="zh-CN" w:bidi="ar"/>
              </w:rPr>
              <w:t>1</w:t>
            </w:r>
          </w:p>
        </w:tc>
        <w:tc>
          <w:tcPr>
            <w:tcW w:w="3547" w:type="pct"/>
            <w:shd w:val="clear" w:color="auto" w:fill="auto"/>
            <w:tcMar>
              <w:top w:w="120" w:type="dxa"/>
              <w:left w:w="120" w:type="dxa"/>
              <w:bottom w:w="120" w:type="dxa"/>
              <w:right w:w="120" w:type="dxa"/>
            </w:tcMar>
            <w:vAlign w:val="center"/>
          </w:tcPr>
          <w:p w14:paraId="0F2CC9E0">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一、</w:t>
            </w:r>
            <w:r>
              <w:rPr>
                <w:rFonts w:ascii="宋体" w:hAnsi="宋体" w:eastAsia="宋体" w:cs="宋体"/>
                <w:b/>
                <w:bCs/>
                <w:color w:val="auto"/>
                <w:kern w:val="0"/>
                <w:sz w:val="24"/>
                <w:szCs w:val="24"/>
                <w:lang w:val="en-US" w:eastAsia="zh-CN" w:bidi="ar"/>
              </w:rPr>
              <w:t>评审内容：</w:t>
            </w:r>
            <w:r>
              <w:rPr>
                <w:rFonts w:ascii="宋体" w:hAnsi="宋体" w:eastAsia="宋体" w:cs="宋体"/>
                <w:color w:val="auto"/>
                <w:kern w:val="0"/>
                <w:sz w:val="24"/>
                <w:szCs w:val="24"/>
                <w:lang w:val="en-US" w:eastAsia="zh-CN" w:bidi="ar"/>
              </w:rPr>
              <w:t>本项评审投标人的同类项目服务经验，核查 2023 年 1 月 1 日以来的呼叫中心热线服务业绩，优先认可公安 / 应急类、政务类热线服务业绩，业绩需提供完整合同及</w:t>
            </w:r>
            <w:r>
              <w:rPr>
                <w:rFonts w:hint="eastAsia" w:ascii="宋体" w:hAnsi="宋体" w:cs="宋体"/>
                <w:color w:val="auto"/>
                <w:kern w:val="0"/>
                <w:sz w:val="24"/>
                <w:szCs w:val="24"/>
                <w:lang w:val="en-US" w:eastAsia="zh-CN" w:bidi="ar"/>
              </w:rPr>
              <w:t>该合同下的任意一张</w:t>
            </w:r>
            <w:r>
              <w:rPr>
                <w:rFonts w:ascii="宋体" w:hAnsi="宋体" w:eastAsia="宋体" w:cs="宋体"/>
                <w:color w:val="auto"/>
                <w:kern w:val="0"/>
                <w:sz w:val="24"/>
                <w:szCs w:val="24"/>
                <w:lang w:val="en-US" w:eastAsia="zh-CN" w:bidi="ar"/>
              </w:rPr>
              <w:t>结算发票作为有效证明材料。</w:t>
            </w:r>
          </w:p>
          <w:p w14:paraId="1E462B07">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二、</w:t>
            </w:r>
            <w:r>
              <w:rPr>
                <w:rFonts w:ascii="宋体" w:hAnsi="宋体" w:eastAsia="宋体" w:cs="宋体"/>
                <w:b/>
                <w:bCs/>
                <w:color w:val="auto"/>
                <w:kern w:val="0"/>
                <w:sz w:val="24"/>
                <w:szCs w:val="24"/>
                <w:lang w:val="en-US" w:eastAsia="zh-CN" w:bidi="ar"/>
              </w:rPr>
              <w:t>评分标准：</w:t>
            </w:r>
          </w:p>
          <w:p w14:paraId="66B749A0">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 投标人提供的业绩为 2023 年 1 月 1 日以来签订的，合同及结算发票真实有效；</w:t>
            </w:r>
          </w:p>
          <w:p w14:paraId="7A5F2734">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 业绩属于 Ⅰ 类公安 / 应急类热线（110、119、120、12122 等）；</w:t>
            </w:r>
          </w:p>
          <w:p w14:paraId="7F6BB980">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 业绩属于 Ⅱ 类政务类热线（12345、12393、12309、12313、12366、12367 等）；</w:t>
            </w:r>
          </w:p>
          <w:p w14:paraId="3D0117D3">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4. 业绩属于 Ⅲ 类其他呼叫中心热线类业绩。</w:t>
            </w:r>
          </w:p>
          <w:p w14:paraId="1933BBF9">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b/>
                <w:bCs/>
                <w:color w:val="auto"/>
                <w:kern w:val="0"/>
                <w:sz w:val="24"/>
                <w:szCs w:val="24"/>
                <w:lang w:val="en-US" w:eastAsia="zh-CN" w:bidi="ar"/>
              </w:rPr>
            </w:pPr>
            <w:r>
              <w:rPr>
                <w:rFonts w:ascii="宋体" w:hAnsi="宋体" w:eastAsia="宋体" w:cs="宋体"/>
                <w:b/>
                <w:bCs/>
                <w:color w:val="auto"/>
                <w:kern w:val="0"/>
                <w:sz w:val="24"/>
                <w:szCs w:val="24"/>
                <w:lang w:val="en-US" w:eastAsia="zh-CN" w:bidi="ar"/>
              </w:rPr>
              <w:t>三、赋分标准：</w:t>
            </w:r>
          </w:p>
          <w:p w14:paraId="6B483238">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 每提供</w:t>
            </w:r>
            <w:r>
              <w:rPr>
                <w:rFonts w:hint="eastAsia" w:ascii="宋体" w:hAnsi="宋体" w:eastAsia="宋体" w:cs="宋体"/>
                <w:color w:val="auto"/>
                <w:kern w:val="0"/>
                <w:sz w:val="24"/>
                <w:szCs w:val="24"/>
                <w:lang w:val="en-US" w:eastAsia="zh-CN" w:bidi="ar"/>
              </w:rPr>
              <w:t xml:space="preserve"> </w:t>
            </w:r>
            <w:r>
              <w:rPr>
                <w:rFonts w:ascii="宋体" w:hAnsi="宋体" w:eastAsia="宋体"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 xml:space="preserve"> </w:t>
            </w:r>
            <w:r>
              <w:rPr>
                <w:rFonts w:ascii="宋体" w:hAnsi="宋体" w:eastAsia="宋体" w:cs="宋体"/>
                <w:color w:val="auto"/>
                <w:kern w:val="0"/>
                <w:sz w:val="24"/>
                <w:szCs w:val="24"/>
                <w:lang w:val="en-US" w:eastAsia="zh-CN" w:bidi="ar"/>
              </w:rPr>
              <w:t>个</w:t>
            </w:r>
            <w:r>
              <w:rPr>
                <w:rFonts w:hint="eastAsia" w:ascii="宋体" w:hAnsi="宋体" w:eastAsia="宋体" w:cs="宋体"/>
                <w:color w:val="auto"/>
                <w:kern w:val="0"/>
                <w:sz w:val="24"/>
                <w:szCs w:val="24"/>
                <w:lang w:val="en-US" w:eastAsia="zh-CN" w:bidi="ar"/>
              </w:rPr>
              <w:t xml:space="preserve"> </w:t>
            </w:r>
            <w:r>
              <w:rPr>
                <w:rFonts w:ascii="宋体" w:hAnsi="宋体" w:eastAsia="宋体" w:cs="宋体"/>
                <w:color w:val="auto"/>
                <w:kern w:val="0"/>
                <w:sz w:val="24"/>
                <w:szCs w:val="24"/>
                <w:lang w:val="en-US" w:eastAsia="zh-CN" w:bidi="ar"/>
              </w:rPr>
              <w:t>Ⅰ 类有效业绩，服务区域覆盖</w:t>
            </w:r>
            <w:r>
              <w:rPr>
                <w:rFonts w:hint="eastAsia" w:ascii="宋体" w:hAnsi="宋体" w:eastAsia="宋体" w:cs="宋体"/>
                <w:color w:val="auto"/>
                <w:kern w:val="0"/>
                <w:sz w:val="24"/>
                <w:szCs w:val="24"/>
                <w:lang w:val="en-US" w:eastAsia="zh-CN" w:bidi="ar"/>
              </w:rPr>
              <w:t>陕西省的，得</w:t>
            </w:r>
            <w:r>
              <w:rPr>
                <w:rFonts w:hint="eastAsia" w:ascii="宋体" w:hAnsi="宋体" w:cs="宋体"/>
                <w:color w:val="auto"/>
                <w:kern w:val="0"/>
                <w:sz w:val="24"/>
                <w:szCs w:val="24"/>
                <w:lang w:val="en-US" w:eastAsia="zh-CN" w:bidi="ar"/>
              </w:rPr>
              <w:t>4</w:t>
            </w:r>
            <w:r>
              <w:rPr>
                <w:rFonts w:ascii="宋体" w:hAnsi="宋体" w:eastAsia="宋体" w:cs="宋体"/>
                <w:color w:val="auto"/>
                <w:kern w:val="0"/>
                <w:sz w:val="24"/>
                <w:szCs w:val="24"/>
                <w:lang w:val="en-US" w:eastAsia="zh-CN" w:bidi="ar"/>
              </w:rPr>
              <w:t>分，非</w:t>
            </w:r>
            <w:r>
              <w:rPr>
                <w:rFonts w:hint="eastAsia" w:ascii="宋体" w:hAnsi="宋体" w:eastAsia="宋体" w:cs="宋体"/>
                <w:color w:val="auto"/>
                <w:kern w:val="0"/>
                <w:sz w:val="24"/>
                <w:szCs w:val="24"/>
                <w:lang w:val="en-US" w:eastAsia="zh-CN" w:bidi="ar"/>
              </w:rPr>
              <w:t>陕西省的，</w:t>
            </w:r>
            <w:r>
              <w:rPr>
                <w:rFonts w:ascii="宋体" w:hAnsi="宋体" w:eastAsia="宋体" w:cs="宋体"/>
                <w:color w:val="auto"/>
                <w:kern w:val="0"/>
                <w:sz w:val="24"/>
                <w:szCs w:val="24"/>
                <w:lang w:val="en-US" w:eastAsia="zh-CN" w:bidi="ar"/>
              </w:rPr>
              <w:t>得1分，本项最高得</w:t>
            </w:r>
            <w:r>
              <w:rPr>
                <w:rFonts w:hint="eastAsia" w:ascii="宋体" w:hAnsi="宋体" w:cs="宋体"/>
                <w:color w:val="auto"/>
                <w:kern w:val="0"/>
                <w:sz w:val="24"/>
                <w:szCs w:val="24"/>
                <w:lang w:val="en-US" w:eastAsia="zh-CN" w:bidi="ar"/>
              </w:rPr>
              <w:t>4</w:t>
            </w:r>
            <w:r>
              <w:rPr>
                <w:rFonts w:ascii="宋体" w:hAnsi="宋体" w:eastAsia="宋体" w:cs="宋体"/>
                <w:color w:val="auto"/>
                <w:kern w:val="0"/>
                <w:sz w:val="24"/>
                <w:szCs w:val="24"/>
                <w:lang w:val="en-US" w:eastAsia="zh-CN" w:bidi="ar"/>
              </w:rPr>
              <w:t>分；</w:t>
            </w:r>
          </w:p>
          <w:p w14:paraId="3D0932AB">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 xml:space="preserve">2. 每提供 1 个 Ⅱ 类有效业绩得 2 分，本项最高得 </w:t>
            </w:r>
            <w:r>
              <w:rPr>
                <w:rFonts w:hint="eastAsia" w:ascii="宋体" w:hAnsi="宋体" w:cs="宋体"/>
                <w:color w:val="auto"/>
                <w:kern w:val="0"/>
                <w:sz w:val="24"/>
                <w:szCs w:val="24"/>
                <w:lang w:val="en-US" w:eastAsia="zh-CN" w:bidi="ar"/>
              </w:rPr>
              <w:t>4</w:t>
            </w:r>
            <w:r>
              <w:rPr>
                <w:rFonts w:ascii="宋体" w:hAnsi="宋体" w:eastAsia="宋体" w:cs="宋体"/>
                <w:color w:val="auto"/>
                <w:kern w:val="0"/>
                <w:sz w:val="24"/>
                <w:szCs w:val="24"/>
                <w:lang w:val="en-US" w:eastAsia="zh-CN" w:bidi="ar"/>
              </w:rPr>
              <w:t xml:space="preserve"> 分；</w:t>
            </w:r>
          </w:p>
          <w:p w14:paraId="19E3E1E4">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 xml:space="preserve">3. 每提供 1 个 Ⅲ 类有效业绩得 1 分，本项最高得 </w:t>
            </w:r>
            <w:r>
              <w:rPr>
                <w:rFonts w:hint="eastAsia" w:ascii="宋体" w:hAnsi="宋体" w:cs="宋体"/>
                <w:color w:val="auto"/>
                <w:kern w:val="0"/>
                <w:sz w:val="24"/>
                <w:szCs w:val="24"/>
                <w:lang w:val="en-US" w:eastAsia="zh-CN" w:bidi="ar"/>
              </w:rPr>
              <w:t>3</w:t>
            </w:r>
            <w:r>
              <w:rPr>
                <w:rFonts w:ascii="宋体" w:hAnsi="宋体" w:eastAsia="宋体" w:cs="宋体"/>
                <w:color w:val="auto"/>
                <w:kern w:val="0"/>
                <w:sz w:val="24"/>
                <w:szCs w:val="24"/>
                <w:lang w:val="en-US" w:eastAsia="zh-CN" w:bidi="ar"/>
              </w:rPr>
              <w:t>分；</w:t>
            </w:r>
          </w:p>
          <w:p w14:paraId="28339D79">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4. 未提供任何有效业绩证明材料的，本项得 0 分；</w:t>
            </w:r>
          </w:p>
          <w:p w14:paraId="404B4AC4">
            <w:pPr>
              <w:keepNext w:val="0"/>
              <w:keepLines w:val="0"/>
              <w:widowControl/>
              <w:numPr>
                <w:ilvl w:val="0"/>
                <w:numId w:val="0"/>
              </w:numPr>
              <w:suppressLineNumbers w:val="0"/>
              <w:spacing w:line="360" w:lineRule="auto"/>
              <w:ind w:left="0" w:leftChars="0" w:firstLine="0" w:firstLineChars="0"/>
              <w:jc w:val="left"/>
              <w:rPr>
                <w:color w:val="auto"/>
              </w:rPr>
            </w:pPr>
            <w:r>
              <w:rPr>
                <w:rFonts w:ascii="宋体" w:hAnsi="宋体" w:eastAsia="宋体" w:cs="宋体"/>
                <w:color w:val="auto"/>
                <w:kern w:val="0"/>
                <w:sz w:val="24"/>
                <w:szCs w:val="24"/>
                <w:lang w:val="en-US" w:eastAsia="zh-CN" w:bidi="ar"/>
              </w:rPr>
              <w:t>5. 同类型业绩不重复计分，同一业绩只计一次分值，如一个业绩包含多个类别，按最高类别分值计分。</w:t>
            </w:r>
          </w:p>
        </w:tc>
      </w:tr>
      <w:tr w14:paraId="6A56B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6" w:type="pct"/>
            <w:shd w:val="clear" w:color="auto" w:fill="auto"/>
            <w:tcMar>
              <w:top w:w="120" w:type="dxa"/>
              <w:left w:w="120" w:type="dxa"/>
              <w:bottom w:w="120" w:type="dxa"/>
              <w:right w:w="120" w:type="dxa"/>
            </w:tcMar>
            <w:vAlign w:val="center"/>
          </w:tcPr>
          <w:p w14:paraId="12A075FE">
            <w:pPr>
              <w:keepNext w:val="0"/>
              <w:keepLines w:val="0"/>
              <w:widowControl/>
              <w:suppressLineNumbers w:val="0"/>
              <w:spacing w:line="360" w:lineRule="auto"/>
              <w:jc w:val="center"/>
              <w:rPr>
                <w:color w:val="auto"/>
              </w:rPr>
            </w:pPr>
            <w:r>
              <w:rPr>
                <w:rFonts w:ascii="宋体" w:hAnsi="宋体" w:eastAsia="宋体" w:cs="宋体"/>
                <w:color w:val="auto"/>
                <w:kern w:val="0"/>
                <w:sz w:val="24"/>
                <w:szCs w:val="24"/>
                <w:lang w:val="en-US" w:eastAsia="zh-CN" w:bidi="ar"/>
              </w:rPr>
              <w:t>项目需求理解与分析</w:t>
            </w:r>
          </w:p>
        </w:tc>
        <w:tc>
          <w:tcPr>
            <w:tcW w:w="665" w:type="pct"/>
            <w:shd w:val="clear" w:color="auto" w:fill="auto"/>
            <w:tcMar>
              <w:top w:w="120" w:type="dxa"/>
              <w:left w:w="120" w:type="dxa"/>
              <w:bottom w:w="120" w:type="dxa"/>
              <w:right w:w="120" w:type="dxa"/>
            </w:tcMar>
            <w:vAlign w:val="center"/>
          </w:tcPr>
          <w:p w14:paraId="06B09DAD">
            <w:pPr>
              <w:keepNext w:val="0"/>
              <w:keepLines w:val="0"/>
              <w:widowControl/>
              <w:suppressLineNumbers w:val="0"/>
              <w:spacing w:line="360" w:lineRule="auto"/>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8</w:t>
            </w:r>
          </w:p>
        </w:tc>
        <w:tc>
          <w:tcPr>
            <w:tcW w:w="3547" w:type="pct"/>
            <w:shd w:val="clear" w:color="auto" w:fill="auto"/>
            <w:tcMar>
              <w:top w:w="120" w:type="dxa"/>
              <w:left w:w="120" w:type="dxa"/>
              <w:bottom w:w="120" w:type="dxa"/>
              <w:right w:w="120" w:type="dxa"/>
            </w:tcMar>
            <w:vAlign w:val="center"/>
          </w:tcPr>
          <w:p w14:paraId="1A58CB6D">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一、</w:t>
            </w:r>
            <w:r>
              <w:rPr>
                <w:rFonts w:ascii="宋体" w:hAnsi="宋体" w:eastAsia="宋体" w:cs="宋体"/>
                <w:b/>
                <w:bCs/>
                <w:color w:val="auto"/>
                <w:kern w:val="0"/>
                <w:sz w:val="24"/>
                <w:szCs w:val="24"/>
                <w:lang w:val="en-US" w:eastAsia="zh-CN" w:bidi="ar"/>
              </w:rPr>
              <w:t>评审内容：</w:t>
            </w:r>
            <w:r>
              <w:rPr>
                <w:rFonts w:ascii="宋体" w:hAnsi="宋体" w:eastAsia="宋体" w:cs="宋体"/>
                <w:color w:val="auto"/>
                <w:kern w:val="0"/>
                <w:sz w:val="24"/>
                <w:szCs w:val="24"/>
                <w:highlight w:val="none"/>
                <w:lang w:val="en-US" w:eastAsia="zh-CN" w:bidi="ar"/>
              </w:rPr>
              <w:t>投标人对本项目市县两级 110 统一</w:t>
            </w:r>
            <w:r>
              <w:rPr>
                <w:rFonts w:hint="eastAsia" w:ascii="宋体" w:hAnsi="宋体" w:cs="宋体"/>
                <w:color w:val="auto"/>
                <w:kern w:val="0"/>
                <w:sz w:val="24"/>
                <w:szCs w:val="24"/>
                <w:highlight w:val="none"/>
                <w:lang w:val="en-US" w:eastAsia="zh-CN" w:bidi="ar"/>
              </w:rPr>
              <w:t>报警接线</w:t>
            </w:r>
            <w:r>
              <w:rPr>
                <w:rFonts w:ascii="宋体" w:hAnsi="宋体" w:eastAsia="宋体" w:cs="宋体"/>
                <w:color w:val="auto"/>
                <w:kern w:val="0"/>
                <w:sz w:val="24"/>
                <w:szCs w:val="24"/>
                <w:highlight w:val="none"/>
                <w:lang w:val="en-US" w:eastAsia="zh-CN" w:bidi="ar"/>
              </w:rPr>
              <w:t>服务的理解与认知，</w:t>
            </w:r>
            <w:r>
              <w:rPr>
                <w:rFonts w:ascii="宋体" w:hAnsi="宋体" w:eastAsia="宋体" w:cs="宋体"/>
                <w:color w:val="auto"/>
                <w:kern w:val="0"/>
                <w:sz w:val="24"/>
                <w:szCs w:val="24"/>
                <w:lang w:val="en-US" w:eastAsia="zh-CN" w:bidi="ar"/>
              </w:rPr>
              <w:t>核查是否精准把握项目背景、服务目标、公安业务核心需求、延安本地警务工作模式，是否贴合项目实际建设需求。</w:t>
            </w:r>
          </w:p>
          <w:p w14:paraId="52B63BE1">
            <w:pPr>
              <w:keepNext w:val="0"/>
              <w:keepLines w:val="0"/>
              <w:widowControl/>
              <w:numPr>
                <w:ilvl w:val="0"/>
                <w:numId w:val="0"/>
              </w:numPr>
              <w:suppressLineNumbers w:val="0"/>
              <w:spacing w:line="360" w:lineRule="auto"/>
              <w:jc w:val="left"/>
              <w:rPr>
                <w:rFonts w:ascii="宋体" w:hAnsi="宋体" w:eastAsia="宋体" w:cs="宋体"/>
                <w:b/>
                <w:bCs/>
                <w:color w:val="auto"/>
                <w:kern w:val="0"/>
                <w:sz w:val="24"/>
                <w:szCs w:val="24"/>
                <w:lang w:val="en-US" w:eastAsia="zh-CN" w:bidi="ar"/>
              </w:rPr>
            </w:pPr>
            <w:r>
              <w:rPr>
                <w:rFonts w:ascii="宋体" w:hAnsi="宋体" w:eastAsia="宋体" w:cs="宋体"/>
                <w:b/>
                <w:bCs/>
                <w:color w:val="auto"/>
                <w:kern w:val="0"/>
                <w:sz w:val="24"/>
                <w:szCs w:val="24"/>
                <w:lang w:val="en-US" w:eastAsia="zh-CN" w:bidi="ar"/>
              </w:rPr>
              <w:t>二、评分标准：</w:t>
            </w:r>
          </w:p>
          <w:p w14:paraId="4ABC74AA">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 对项目背景、服务目标理解精准，完全贴合延安公安 110</w:t>
            </w:r>
            <w:r>
              <w:rPr>
                <w:rFonts w:hint="eastAsia" w:ascii="宋体" w:hAnsi="宋体" w:cs="宋体"/>
                <w:color w:val="auto"/>
                <w:kern w:val="0"/>
                <w:sz w:val="24"/>
                <w:szCs w:val="24"/>
                <w:lang w:val="en-US" w:eastAsia="zh-CN" w:bidi="ar"/>
              </w:rPr>
              <w:t>报警接线</w:t>
            </w:r>
            <w:r>
              <w:rPr>
                <w:rFonts w:ascii="宋体" w:hAnsi="宋体" w:eastAsia="宋体" w:cs="宋体"/>
                <w:color w:val="auto"/>
                <w:kern w:val="0"/>
                <w:sz w:val="24"/>
                <w:szCs w:val="24"/>
                <w:lang w:val="en-US" w:eastAsia="zh-CN" w:bidi="ar"/>
              </w:rPr>
              <w:t>服务业务实际需求；</w:t>
            </w:r>
          </w:p>
          <w:p w14:paraId="797746FB">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 对</w:t>
            </w:r>
            <w:r>
              <w:rPr>
                <w:rFonts w:ascii="宋体" w:hAnsi="宋体" w:eastAsia="宋体" w:cs="宋体"/>
                <w:color w:val="auto"/>
                <w:kern w:val="0"/>
                <w:sz w:val="24"/>
                <w:szCs w:val="24"/>
                <w:highlight w:val="none"/>
                <w:lang w:val="en-US" w:eastAsia="zh-CN" w:bidi="ar"/>
              </w:rPr>
              <w:t>市县两级110统一</w:t>
            </w:r>
            <w:r>
              <w:rPr>
                <w:rFonts w:hint="eastAsia" w:ascii="宋体" w:hAnsi="宋体" w:cs="宋体"/>
                <w:color w:val="auto"/>
                <w:kern w:val="0"/>
                <w:sz w:val="24"/>
                <w:szCs w:val="24"/>
                <w:highlight w:val="none"/>
                <w:lang w:val="en-US" w:eastAsia="zh-CN" w:bidi="ar"/>
              </w:rPr>
              <w:t>报警接线</w:t>
            </w:r>
            <w:r>
              <w:rPr>
                <w:rFonts w:ascii="宋体" w:hAnsi="宋体" w:eastAsia="宋体" w:cs="宋体"/>
                <w:color w:val="auto"/>
                <w:kern w:val="0"/>
                <w:sz w:val="24"/>
                <w:szCs w:val="24"/>
                <w:highlight w:val="none"/>
                <w:lang w:val="en-US" w:eastAsia="zh-CN" w:bidi="ar"/>
              </w:rPr>
              <w:t>服务的</w:t>
            </w:r>
            <w:r>
              <w:rPr>
                <w:rFonts w:ascii="宋体" w:hAnsi="宋体" w:eastAsia="宋体" w:cs="宋体"/>
                <w:color w:val="auto"/>
                <w:kern w:val="0"/>
                <w:sz w:val="24"/>
                <w:szCs w:val="24"/>
                <w:lang w:val="en-US" w:eastAsia="zh-CN" w:bidi="ar"/>
              </w:rPr>
              <w:t>核心痛点、业务重点把握精准，认知全面到位；</w:t>
            </w:r>
          </w:p>
          <w:p w14:paraId="654FD12F">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 对110</w:t>
            </w:r>
            <w:r>
              <w:rPr>
                <w:rFonts w:hint="eastAsia" w:ascii="宋体" w:hAnsi="宋体" w:cs="宋体"/>
                <w:color w:val="auto"/>
                <w:kern w:val="0"/>
                <w:sz w:val="24"/>
                <w:szCs w:val="24"/>
                <w:lang w:val="en-US" w:eastAsia="zh-CN" w:bidi="ar"/>
              </w:rPr>
              <w:t>报警接线</w:t>
            </w:r>
            <w:r>
              <w:rPr>
                <w:rFonts w:ascii="宋体" w:hAnsi="宋体" w:eastAsia="宋体" w:cs="宋体"/>
                <w:color w:val="auto"/>
                <w:kern w:val="0"/>
                <w:sz w:val="24"/>
                <w:szCs w:val="24"/>
                <w:lang w:val="en-US" w:eastAsia="zh-CN" w:bidi="ar"/>
              </w:rPr>
              <w:t>服务的公安业务属性、保密要求、应急处置要求有清晰、深刻的认知；</w:t>
            </w:r>
          </w:p>
          <w:p w14:paraId="1255C72B">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4. 需求分析内容完整，逻辑清晰，针对性强，无明显偏差。</w:t>
            </w:r>
          </w:p>
          <w:p w14:paraId="61732916">
            <w:pPr>
              <w:keepNext w:val="0"/>
              <w:keepLines w:val="0"/>
              <w:widowControl/>
              <w:numPr>
                <w:ilvl w:val="0"/>
                <w:numId w:val="0"/>
              </w:numPr>
              <w:suppressLineNumbers w:val="0"/>
              <w:spacing w:line="360" w:lineRule="auto"/>
              <w:jc w:val="left"/>
              <w:rPr>
                <w:rFonts w:ascii="宋体" w:hAnsi="宋体" w:eastAsia="宋体" w:cs="宋体"/>
                <w:b/>
                <w:bCs/>
                <w:color w:val="auto"/>
                <w:kern w:val="0"/>
                <w:sz w:val="24"/>
                <w:szCs w:val="24"/>
                <w:lang w:val="en-US" w:eastAsia="zh-CN" w:bidi="ar"/>
              </w:rPr>
            </w:pPr>
            <w:r>
              <w:rPr>
                <w:rFonts w:ascii="宋体" w:hAnsi="宋体" w:eastAsia="宋体" w:cs="宋体"/>
                <w:b/>
                <w:bCs/>
                <w:color w:val="auto"/>
                <w:kern w:val="0"/>
                <w:sz w:val="24"/>
                <w:szCs w:val="24"/>
                <w:lang w:val="en-US" w:eastAsia="zh-CN" w:bidi="ar"/>
              </w:rPr>
              <w:t>三、赋分标准：</w:t>
            </w:r>
          </w:p>
          <w:p w14:paraId="34B513B9">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 完全满足全部评分标准，理解精准透彻，认知全面到位，得</w:t>
            </w:r>
            <w:r>
              <w:rPr>
                <w:rFonts w:hint="eastAsia" w:ascii="宋体" w:hAnsi="宋体" w:cs="宋体"/>
                <w:color w:val="auto"/>
                <w:kern w:val="0"/>
                <w:sz w:val="24"/>
                <w:szCs w:val="24"/>
                <w:lang w:val="en-US" w:eastAsia="zh-CN" w:bidi="ar"/>
              </w:rPr>
              <w:t>8</w:t>
            </w:r>
            <w:r>
              <w:rPr>
                <w:rFonts w:ascii="宋体" w:hAnsi="宋体" w:eastAsia="宋体" w:cs="宋体"/>
                <w:color w:val="auto"/>
                <w:kern w:val="0"/>
                <w:sz w:val="24"/>
                <w:szCs w:val="24"/>
                <w:lang w:val="en-US" w:eastAsia="zh-CN" w:bidi="ar"/>
              </w:rPr>
              <w:t xml:space="preserve"> 分；</w:t>
            </w:r>
          </w:p>
          <w:p w14:paraId="1189E46E">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 xml:space="preserve">2. 满足 3 项评分标准，理解较为到位，认知无明显偏差，基本贴合项目核心需求，得 </w:t>
            </w:r>
            <w:r>
              <w:rPr>
                <w:rFonts w:hint="eastAsia" w:ascii="宋体" w:hAnsi="宋体" w:cs="宋体"/>
                <w:color w:val="auto"/>
                <w:kern w:val="0"/>
                <w:sz w:val="24"/>
                <w:szCs w:val="24"/>
                <w:lang w:val="en-US" w:eastAsia="zh-CN" w:bidi="ar"/>
              </w:rPr>
              <w:t>6</w:t>
            </w:r>
            <w:r>
              <w:rPr>
                <w:rFonts w:ascii="宋体" w:hAnsi="宋体" w:eastAsia="宋体" w:cs="宋体"/>
                <w:color w:val="auto"/>
                <w:kern w:val="0"/>
                <w:sz w:val="24"/>
                <w:szCs w:val="24"/>
                <w:lang w:val="en-US" w:eastAsia="zh-CN" w:bidi="ar"/>
              </w:rPr>
              <w:t xml:space="preserve"> 分；</w:t>
            </w:r>
          </w:p>
          <w:p w14:paraId="12EEAAF6">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 xml:space="preserve">3. 满足 2 项评分标准，理解浅显笼统，认知存在部分偏差，对项目核心需求把握不足，得 </w:t>
            </w:r>
            <w:r>
              <w:rPr>
                <w:rFonts w:hint="eastAsia" w:ascii="宋体" w:hAnsi="宋体" w:cs="宋体"/>
                <w:color w:val="auto"/>
                <w:kern w:val="0"/>
                <w:sz w:val="24"/>
                <w:szCs w:val="24"/>
                <w:lang w:val="en-US" w:eastAsia="zh-CN" w:bidi="ar"/>
              </w:rPr>
              <w:t>4</w:t>
            </w:r>
            <w:r>
              <w:rPr>
                <w:rFonts w:ascii="宋体" w:hAnsi="宋体" w:eastAsia="宋体" w:cs="宋体"/>
                <w:color w:val="auto"/>
                <w:kern w:val="0"/>
                <w:sz w:val="24"/>
                <w:szCs w:val="24"/>
                <w:lang w:val="en-US" w:eastAsia="zh-CN" w:bidi="ar"/>
              </w:rPr>
              <w:t xml:space="preserve"> 分；</w:t>
            </w:r>
          </w:p>
          <w:p w14:paraId="3AAE9DAE">
            <w:pPr>
              <w:keepNext w:val="0"/>
              <w:keepLines w:val="0"/>
              <w:widowControl/>
              <w:numPr>
                <w:ilvl w:val="0"/>
                <w:numId w:val="0"/>
              </w:numPr>
              <w:suppressLineNumbers w:val="0"/>
              <w:spacing w:line="360" w:lineRule="auto"/>
              <w:jc w:val="left"/>
              <w:rPr>
                <w:color w:val="auto"/>
              </w:rPr>
            </w:pPr>
            <w:r>
              <w:rPr>
                <w:rFonts w:ascii="宋体" w:hAnsi="宋体" w:eastAsia="宋体" w:cs="宋体"/>
                <w:color w:val="auto"/>
                <w:kern w:val="0"/>
                <w:sz w:val="24"/>
                <w:szCs w:val="24"/>
                <w:lang w:val="en-US" w:eastAsia="zh-CN" w:bidi="ar"/>
              </w:rPr>
              <w:t>4. 满足 1 项及以下评分标准，理解严重不足，对项目需求认知存在重大偏差，或未阐述相关内容，得 0-</w:t>
            </w:r>
            <w:r>
              <w:rPr>
                <w:rFonts w:hint="eastAsia" w:ascii="宋体" w:hAnsi="宋体" w:cs="宋体"/>
                <w:color w:val="auto"/>
                <w:kern w:val="0"/>
                <w:sz w:val="24"/>
                <w:szCs w:val="24"/>
                <w:lang w:val="en-US" w:eastAsia="zh-CN" w:bidi="ar"/>
              </w:rPr>
              <w:t>2</w:t>
            </w:r>
            <w:r>
              <w:rPr>
                <w:rFonts w:ascii="宋体" w:hAnsi="宋体" w:eastAsia="宋体" w:cs="宋体"/>
                <w:color w:val="auto"/>
                <w:kern w:val="0"/>
                <w:sz w:val="24"/>
                <w:szCs w:val="24"/>
                <w:lang w:val="en-US" w:eastAsia="zh-CN" w:bidi="ar"/>
              </w:rPr>
              <w:t xml:space="preserve"> 分。</w:t>
            </w:r>
          </w:p>
        </w:tc>
      </w:tr>
      <w:tr w14:paraId="43674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6" w:type="pct"/>
            <w:shd w:val="clear" w:color="auto" w:fill="auto"/>
            <w:tcMar>
              <w:top w:w="120" w:type="dxa"/>
              <w:left w:w="120" w:type="dxa"/>
              <w:bottom w:w="120" w:type="dxa"/>
              <w:right w:w="120" w:type="dxa"/>
            </w:tcMar>
            <w:vAlign w:val="center"/>
          </w:tcPr>
          <w:p w14:paraId="2E29555C">
            <w:pPr>
              <w:keepNext w:val="0"/>
              <w:keepLines w:val="0"/>
              <w:widowControl/>
              <w:suppressLineNumbers w:val="0"/>
              <w:spacing w:line="360" w:lineRule="auto"/>
              <w:jc w:val="center"/>
              <w:rPr>
                <w:color w:val="auto"/>
              </w:rPr>
            </w:pPr>
            <w:r>
              <w:rPr>
                <w:rFonts w:ascii="宋体" w:hAnsi="宋体" w:eastAsia="宋体" w:cs="宋体"/>
                <w:color w:val="auto"/>
                <w:kern w:val="0"/>
                <w:sz w:val="24"/>
                <w:szCs w:val="24"/>
                <w:lang w:val="en-US" w:eastAsia="zh-CN" w:bidi="ar"/>
              </w:rPr>
              <w:t>项目管理团队配置</w:t>
            </w:r>
          </w:p>
        </w:tc>
        <w:tc>
          <w:tcPr>
            <w:tcW w:w="665" w:type="pct"/>
            <w:shd w:val="clear" w:color="auto" w:fill="auto"/>
            <w:tcMar>
              <w:top w:w="120" w:type="dxa"/>
              <w:left w:w="120" w:type="dxa"/>
              <w:bottom w:w="120" w:type="dxa"/>
              <w:right w:w="120" w:type="dxa"/>
            </w:tcMar>
            <w:vAlign w:val="center"/>
          </w:tcPr>
          <w:p w14:paraId="38C222AD">
            <w:pPr>
              <w:keepNext w:val="0"/>
              <w:keepLines w:val="0"/>
              <w:widowControl/>
              <w:suppressLineNumbers w:val="0"/>
              <w:spacing w:line="360" w:lineRule="auto"/>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20</w:t>
            </w:r>
          </w:p>
        </w:tc>
        <w:tc>
          <w:tcPr>
            <w:tcW w:w="3547" w:type="pct"/>
            <w:shd w:val="clear" w:color="auto" w:fill="auto"/>
            <w:tcMar>
              <w:top w:w="120" w:type="dxa"/>
              <w:left w:w="120" w:type="dxa"/>
              <w:bottom w:w="120" w:type="dxa"/>
              <w:right w:w="120" w:type="dxa"/>
            </w:tcMar>
            <w:vAlign w:val="center"/>
          </w:tcPr>
          <w:p w14:paraId="362D2A2F">
            <w:pPr>
              <w:keepNext w:val="0"/>
              <w:keepLines w:val="0"/>
              <w:widowControl/>
              <w:numPr>
                <w:ilvl w:val="0"/>
                <w:numId w:val="0"/>
              </w:numPr>
              <w:suppressLineNumbers w:val="0"/>
              <w:spacing w:line="360" w:lineRule="auto"/>
              <w:jc w:val="left"/>
              <w:rPr>
                <w:rFonts w:hint="default" w:ascii="宋体" w:hAnsi="宋体" w:eastAsia="宋体" w:cs="宋体"/>
                <w:b/>
                <w:bCs/>
                <w:color w:val="auto"/>
                <w:kern w:val="0"/>
                <w:sz w:val="24"/>
                <w:szCs w:val="24"/>
                <w:lang w:val="en-US" w:eastAsia="zh-CN" w:bidi="ar"/>
              </w:rPr>
            </w:pPr>
            <w:r>
              <w:rPr>
                <w:rFonts w:hint="eastAsia" w:ascii="宋体" w:hAnsi="宋体" w:cs="宋体"/>
                <w:b/>
                <w:bCs/>
                <w:color w:val="auto"/>
                <w:kern w:val="0"/>
                <w:sz w:val="24"/>
                <w:szCs w:val="24"/>
                <w:lang w:val="en-US" w:eastAsia="zh-CN" w:bidi="ar"/>
              </w:rPr>
              <w:t>（一）项目经理（6分）；</w:t>
            </w:r>
          </w:p>
          <w:p w14:paraId="1A4A0A22">
            <w:pPr>
              <w:keepNext w:val="0"/>
              <w:keepLines w:val="0"/>
              <w:widowControl/>
              <w:numPr>
                <w:ilvl w:val="0"/>
                <w:numId w:val="0"/>
              </w:numPr>
              <w:suppressLineNumbers w:val="0"/>
              <w:spacing w:line="360" w:lineRule="auto"/>
              <w:jc w:val="left"/>
              <w:rPr>
                <w:rFonts w:hint="eastAsia" w:ascii="宋体" w:hAnsi="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w:t>
            </w:r>
            <w:r>
              <w:rPr>
                <w:rFonts w:hint="eastAsia" w:ascii="宋体" w:hAnsi="宋体" w:cs="宋体"/>
                <w:color w:val="auto"/>
                <w:kern w:val="0"/>
                <w:sz w:val="24"/>
                <w:szCs w:val="24"/>
                <w:lang w:val="en-US" w:eastAsia="zh-CN" w:bidi="ar"/>
              </w:rPr>
              <w:t>须提供</w:t>
            </w:r>
            <w:r>
              <w:rPr>
                <w:rFonts w:ascii="宋体" w:hAnsi="宋体" w:eastAsia="宋体" w:cs="宋体"/>
                <w:color w:val="auto"/>
                <w:kern w:val="0"/>
                <w:sz w:val="24"/>
                <w:szCs w:val="24"/>
                <w:lang w:val="en-US" w:eastAsia="zh-CN" w:bidi="ar"/>
              </w:rPr>
              <w:t>本科及以上学历、PMP 项目管理专业人士资格证书、注册信息安全管理人员 (CISO) 资质</w:t>
            </w:r>
            <w:r>
              <w:rPr>
                <w:rFonts w:hint="eastAsia" w:ascii="宋体" w:hAnsi="宋体" w:cs="宋体"/>
                <w:color w:val="auto"/>
                <w:kern w:val="0"/>
                <w:sz w:val="24"/>
                <w:szCs w:val="24"/>
                <w:lang w:val="en-US" w:eastAsia="zh-CN" w:bidi="ar"/>
              </w:rPr>
              <w:t>等信息类管理资质，每提供一项证件得1分，满分3分；</w:t>
            </w:r>
          </w:p>
          <w:p w14:paraId="7C781FDE">
            <w:pPr>
              <w:keepNext w:val="0"/>
              <w:keepLines w:val="0"/>
              <w:widowControl/>
              <w:numPr>
                <w:ilvl w:val="0"/>
                <w:numId w:val="0"/>
              </w:numPr>
              <w:suppressLineNumbers w:val="0"/>
              <w:spacing w:line="360" w:lineRule="auto"/>
              <w:jc w:val="left"/>
              <w:rPr>
                <w:rFonts w:hint="default" w:ascii="宋体" w:hAnsi="宋体" w:eastAsia="宋体" w:cs="宋体"/>
                <w:b/>
                <w:bCs/>
                <w:color w:val="auto"/>
                <w:kern w:val="0"/>
                <w:sz w:val="24"/>
                <w:szCs w:val="24"/>
                <w:highlight w:val="yellow"/>
                <w:lang w:val="en-US" w:eastAsia="zh-CN" w:bidi="ar"/>
              </w:rPr>
            </w:pPr>
            <w:r>
              <w:rPr>
                <w:rFonts w:hint="eastAsia" w:ascii="宋体" w:hAnsi="宋体" w:cs="宋体"/>
                <w:color w:val="auto"/>
                <w:kern w:val="0"/>
                <w:sz w:val="24"/>
                <w:szCs w:val="24"/>
                <w:lang w:val="en-US" w:eastAsia="zh-CN" w:bidi="ar"/>
              </w:rPr>
              <w:t>2.具有</w:t>
            </w:r>
            <w:r>
              <w:rPr>
                <w:rFonts w:ascii="宋体" w:hAnsi="宋体" w:eastAsia="宋体" w:cs="宋体"/>
                <w:color w:val="auto"/>
                <w:kern w:val="0"/>
                <w:sz w:val="24"/>
                <w:szCs w:val="24"/>
                <w:highlight w:val="none"/>
                <w:lang w:val="en-US" w:eastAsia="zh-CN" w:bidi="ar"/>
              </w:rPr>
              <w:t>呼叫热线运营管理经验</w:t>
            </w:r>
            <w:r>
              <w:rPr>
                <w:rFonts w:hint="eastAsia" w:ascii="宋体" w:hAnsi="宋体" w:cs="宋体"/>
                <w:color w:val="auto"/>
                <w:kern w:val="0"/>
                <w:sz w:val="24"/>
                <w:szCs w:val="24"/>
                <w:highlight w:val="none"/>
                <w:lang w:val="en-US" w:eastAsia="zh-CN" w:bidi="ar"/>
              </w:rPr>
              <w:t>，1年得1分，2年得2分,3年及以上得3分；</w:t>
            </w:r>
            <w:r>
              <w:rPr>
                <w:rFonts w:hint="eastAsia" w:ascii="宋体" w:hAnsi="宋体" w:cs="宋体"/>
                <w:b/>
                <w:bCs/>
                <w:color w:val="auto"/>
                <w:kern w:val="0"/>
                <w:sz w:val="24"/>
                <w:szCs w:val="24"/>
                <w:highlight w:val="none"/>
                <w:lang w:val="en-US" w:eastAsia="zh-CN" w:bidi="ar"/>
              </w:rPr>
              <w:t>（须提供呼叫热线相关工作证明材料）</w:t>
            </w:r>
          </w:p>
          <w:p w14:paraId="670EC596">
            <w:pPr>
              <w:keepNext w:val="0"/>
              <w:keepLines w:val="0"/>
              <w:widowControl/>
              <w:numPr>
                <w:ilvl w:val="0"/>
                <w:numId w:val="0"/>
              </w:numPr>
              <w:suppressLineNumbers w:val="0"/>
              <w:spacing w:line="360" w:lineRule="auto"/>
              <w:jc w:val="left"/>
              <w:rPr>
                <w:rFonts w:hint="default" w:ascii="宋体" w:hAnsi="宋体" w:eastAsia="宋体" w:cs="宋体"/>
                <w:b/>
                <w:bCs/>
                <w:color w:val="auto"/>
                <w:kern w:val="0"/>
                <w:sz w:val="24"/>
                <w:szCs w:val="24"/>
                <w:lang w:val="en-US" w:eastAsia="zh-CN" w:bidi="ar"/>
              </w:rPr>
            </w:pPr>
            <w:r>
              <w:rPr>
                <w:rFonts w:hint="eastAsia" w:ascii="宋体" w:hAnsi="宋体" w:cs="宋体"/>
                <w:b/>
                <w:bCs/>
                <w:color w:val="auto"/>
                <w:kern w:val="0"/>
                <w:sz w:val="24"/>
                <w:szCs w:val="24"/>
                <w:lang w:val="en-US" w:eastAsia="zh-CN" w:bidi="ar"/>
              </w:rPr>
              <w:t>（二）项目团队（14）；</w:t>
            </w:r>
          </w:p>
          <w:p w14:paraId="4F67B787">
            <w:pPr>
              <w:keepNext w:val="0"/>
              <w:keepLines w:val="0"/>
              <w:widowControl/>
              <w:numPr>
                <w:ilvl w:val="0"/>
                <w:numId w:val="0"/>
              </w:numPr>
              <w:suppressLineNumbers w:val="0"/>
              <w:spacing w:line="360" w:lineRule="auto"/>
              <w:jc w:val="left"/>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1</w:t>
            </w:r>
            <w:r>
              <w:rPr>
                <w:rFonts w:ascii="宋体" w:hAnsi="宋体" w:eastAsia="宋体" w:cs="宋体"/>
                <w:color w:val="auto"/>
                <w:kern w:val="0"/>
                <w:sz w:val="24"/>
                <w:szCs w:val="24"/>
                <w:lang w:val="en-US" w:eastAsia="zh-CN" w:bidi="ar"/>
              </w:rPr>
              <w:t>.为项目配置接线员</w:t>
            </w:r>
            <w:r>
              <w:rPr>
                <w:rFonts w:hint="eastAsia" w:ascii="宋体" w:hAnsi="宋体" w:cs="宋体"/>
                <w:color w:val="auto"/>
                <w:kern w:val="0"/>
                <w:sz w:val="24"/>
                <w:szCs w:val="24"/>
                <w:lang w:val="en-US" w:eastAsia="zh-CN" w:bidi="ar"/>
              </w:rPr>
              <w:t>58</w:t>
            </w:r>
            <w:r>
              <w:rPr>
                <w:rFonts w:ascii="宋体" w:hAnsi="宋体" w:eastAsia="宋体" w:cs="宋体"/>
                <w:color w:val="auto"/>
                <w:kern w:val="0"/>
                <w:sz w:val="24"/>
                <w:szCs w:val="24"/>
                <w:lang w:val="en-US" w:eastAsia="zh-CN" w:bidi="ar"/>
              </w:rPr>
              <w:t>名</w:t>
            </w:r>
            <w:r>
              <w:rPr>
                <w:rFonts w:hint="eastAsia" w:ascii="宋体" w:hAnsi="宋体" w:cs="宋体"/>
                <w:color w:val="auto"/>
                <w:kern w:val="0"/>
                <w:sz w:val="24"/>
                <w:szCs w:val="24"/>
                <w:lang w:val="en-US" w:eastAsia="zh-CN" w:bidi="ar"/>
              </w:rPr>
              <w:t>（</w:t>
            </w:r>
            <w:r>
              <w:rPr>
                <w:rFonts w:ascii="宋体" w:hAnsi="宋体" w:eastAsia="宋体" w:cs="宋体"/>
                <w:color w:val="auto"/>
                <w:kern w:val="0"/>
                <w:sz w:val="24"/>
                <w:szCs w:val="24"/>
                <w:lang w:val="en-US" w:eastAsia="zh-CN" w:bidi="ar"/>
              </w:rPr>
              <w:t>其中男性接线员不少于15人</w:t>
            </w:r>
            <w:r>
              <w:rPr>
                <w:rFonts w:hint="eastAsia" w:ascii="宋体" w:hAnsi="宋体" w:cs="宋体"/>
                <w:color w:val="auto"/>
                <w:kern w:val="0"/>
                <w:sz w:val="24"/>
                <w:szCs w:val="24"/>
                <w:lang w:val="en-US" w:eastAsia="zh-CN" w:bidi="ar"/>
              </w:rPr>
              <w:t>），得5分，每增加1名加0.5分，最高加2分；</w:t>
            </w:r>
          </w:p>
          <w:p w14:paraId="75FEE706">
            <w:pPr>
              <w:keepNext w:val="0"/>
              <w:keepLines w:val="0"/>
              <w:widowControl/>
              <w:numPr>
                <w:ilvl w:val="0"/>
                <w:numId w:val="0"/>
              </w:numPr>
              <w:suppressLineNumbers w:val="0"/>
              <w:spacing w:line="360" w:lineRule="auto"/>
              <w:jc w:val="left"/>
              <w:rPr>
                <w:color w:val="auto"/>
              </w:rPr>
            </w:pPr>
            <w:r>
              <w:rPr>
                <w:rFonts w:hint="eastAsia" w:ascii="宋体" w:hAnsi="宋体" w:cs="宋体"/>
                <w:color w:val="auto"/>
                <w:kern w:val="0"/>
                <w:sz w:val="24"/>
                <w:szCs w:val="24"/>
                <w:lang w:val="en-US" w:eastAsia="zh-CN" w:bidi="ar"/>
              </w:rPr>
              <w:t>2.</w:t>
            </w:r>
            <w:r>
              <w:rPr>
                <w:rFonts w:ascii="宋体" w:hAnsi="宋体" w:eastAsia="宋体" w:cs="宋体"/>
                <w:color w:val="auto"/>
                <w:kern w:val="0"/>
                <w:sz w:val="24"/>
                <w:szCs w:val="24"/>
                <w:lang w:val="en-US" w:eastAsia="zh-CN" w:bidi="ar"/>
              </w:rPr>
              <w:t>为项目配置讲解员2名</w:t>
            </w:r>
            <w:r>
              <w:rPr>
                <w:rFonts w:hint="eastAsia" w:ascii="宋体" w:hAnsi="宋体" w:cs="宋体"/>
                <w:color w:val="auto"/>
                <w:kern w:val="0"/>
                <w:sz w:val="24"/>
                <w:szCs w:val="24"/>
                <w:lang w:val="en-US" w:eastAsia="zh-CN" w:bidi="ar"/>
              </w:rPr>
              <w:t>、会议保障人员2名、计算机维护人员2名、</w:t>
            </w:r>
            <w:r>
              <w:rPr>
                <w:rFonts w:hint="eastAsia" w:ascii="宋体" w:hAnsi="宋体" w:eastAsia="宋体" w:cs="宋体"/>
                <w:b w:val="0"/>
                <w:bCs/>
                <w:color w:val="auto"/>
                <w:kern w:val="0"/>
                <w:sz w:val="24"/>
                <w:szCs w:val="24"/>
                <w:highlight w:val="none"/>
                <w:lang w:val="en-US" w:eastAsia="zh-CN" w:bidi="ar"/>
              </w:rPr>
              <w:t>专职</w:t>
            </w:r>
            <w:r>
              <w:rPr>
                <w:rFonts w:hint="eastAsia" w:ascii="宋体" w:hAnsi="宋体" w:cs="宋体"/>
                <w:b w:val="0"/>
                <w:bCs/>
                <w:color w:val="auto"/>
                <w:kern w:val="0"/>
                <w:sz w:val="24"/>
                <w:szCs w:val="24"/>
                <w:highlight w:val="none"/>
                <w:lang w:val="en-US" w:eastAsia="zh-CN" w:bidi="ar"/>
              </w:rPr>
              <w:t>司机1名，</w:t>
            </w:r>
            <w:r>
              <w:rPr>
                <w:rFonts w:hint="eastAsia" w:ascii="宋体" w:hAnsi="宋体" w:cs="宋体"/>
                <w:color w:val="auto"/>
                <w:kern w:val="0"/>
                <w:sz w:val="24"/>
                <w:szCs w:val="24"/>
                <w:lang w:val="en-US" w:eastAsia="zh-CN" w:bidi="ar"/>
              </w:rPr>
              <w:t>得4分，每增加1名加0.5分，最高加3分；</w:t>
            </w:r>
          </w:p>
        </w:tc>
      </w:tr>
      <w:tr w14:paraId="0F9B2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6" w:type="pct"/>
            <w:shd w:val="clear" w:color="auto" w:fill="auto"/>
            <w:tcMar>
              <w:top w:w="120" w:type="dxa"/>
              <w:left w:w="120" w:type="dxa"/>
              <w:bottom w:w="120" w:type="dxa"/>
              <w:right w:w="120" w:type="dxa"/>
            </w:tcMar>
            <w:vAlign w:val="center"/>
          </w:tcPr>
          <w:p w14:paraId="56CBEACF">
            <w:pPr>
              <w:keepNext w:val="0"/>
              <w:keepLines w:val="0"/>
              <w:widowControl/>
              <w:suppressLineNumbers w:val="0"/>
              <w:spacing w:line="360" w:lineRule="auto"/>
              <w:jc w:val="center"/>
              <w:rPr>
                <w:color w:val="auto"/>
              </w:rPr>
            </w:pPr>
            <w:r>
              <w:rPr>
                <w:rFonts w:ascii="宋体" w:hAnsi="宋体" w:eastAsia="宋体" w:cs="宋体"/>
                <w:color w:val="auto"/>
                <w:kern w:val="0"/>
                <w:sz w:val="24"/>
                <w:szCs w:val="24"/>
                <w:lang w:val="en-US" w:eastAsia="zh-CN" w:bidi="ar"/>
              </w:rPr>
              <w:t>接警服务实施方案</w:t>
            </w:r>
          </w:p>
        </w:tc>
        <w:tc>
          <w:tcPr>
            <w:tcW w:w="665" w:type="pct"/>
            <w:shd w:val="clear" w:color="auto" w:fill="auto"/>
            <w:tcMar>
              <w:top w:w="120" w:type="dxa"/>
              <w:left w:w="120" w:type="dxa"/>
              <w:bottom w:w="120" w:type="dxa"/>
              <w:right w:w="120" w:type="dxa"/>
            </w:tcMar>
            <w:vAlign w:val="center"/>
          </w:tcPr>
          <w:p w14:paraId="1BC684B9">
            <w:pPr>
              <w:keepNext w:val="0"/>
              <w:keepLines w:val="0"/>
              <w:widowControl/>
              <w:suppressLineNumbers w:val="0"/>
              <w:spacing w:line="360" w:lineRule="auto"/>
              <w:jc w:val="center"/>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10</w:t>
            </w:r>
          </w:p>
        </w:tc>
        <w:tc>
          <w:tcPr>
            <w:tcW w:w="3547" w:type="pct"/>
            <w:shd w:val="clear" w:color="auto" w:fill="auto"/>
            <w:tcMar>
              <w:top w:w="120" w:type="dxa"/>
              <w:left w:w="120" w:type="dxa"/>
              <w:bottom w:w="120" w:type="dxa"/>
              <w:right w:w="120" w:type="dxa"/>
            </w:tcMar>
            <w:vAlign w:val="center"/>
          </w:tcPr>
          <w:p w14:paraId="0A7FA812">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lang w:val="en-US" w:eastAsia="zh-CN" w:bidi="ar"/>
              </w:rPr>
              <w:t>一、</w:t>
            </w:r>
            <w:r>
              <w:rPr>
                <w:rFonts w:ascii="宋体" w:hAnsi="宋体" w:eastAsia="宋体" w:cs="宋体"/>
                <w:b/>
                <w:bCs/>
                <w:color w:val="auto"/>
                <w:kern w:val="0"/>
                <w:sz w:val="24"/>
                <w:szCs w:val="24"/>
                <w:lang w:val="en-US" w:eastAsia="zh-CN" w:bidi="ar"/>
              </w:rPr>
              <w:t>评审内容：</w:t>
            </w:r>
            <w:r>
              <w:rPr>
                <w:rFonts w:ascii="宋体" w:hAnsi="宋体" w:eastAsia="宋体" w:cs="宋体"/>
                <w:color w:val="auto"/>
                <w:kern w:val="0"/>
                <w:sz w:val="24"/>
                <w:szCs w:val="24"/>
                <w:lang w:val="en-US" w:eastAsia="zh-CN" w:bidi="ar"/>
              </w:rPr>
              <w:t xml:space="preserve">投标人针对本项目制定的贴合 110 </w:t>
            </w:r>
            <w:r>
              <w:rPr>
                <w:rFonts w:hint="eastAsia" w:ascii="宋体" w:hAnsi="宋体" w:cs="宋体"/>
                <w:color w:val="auto"/>
                <w:kern w:val="0"/>
                <w:sz w:val="24"/>
                <w:szCs w:val="24"/>
                <w:lang w:val="en-US" w:eastAsia="zh-CN" w:bidi="ar"/>
              </w:rPr>
              <w:t>报警接线</w:t>
            </w:r>
            <w:r>
              <w:rPr>
                <w:rFonts w:ascii="宋体" w:hAnsi="宋体" w:eastAsia="宋体" w:cs="宋体"/>
                <w:color w:val="auto"/>
                <w:kern w:val="0"/>
                <w:sz w:val="24"/>
                <w:szCs w:val="24"/>
                <w:lang w:val="en-US" w:eastAsia="zh-CN" w:bidi="ar"/>
              </w:rPr>
              <w:t>工作特殊性的项目实施方案，核查是否包含项目整体规划、接警处置全流程、7×24 小时排班值守方案、</w:t>
            </w:r>
            <w:r>
              <w:rPr>
                <w:rFonts w:ascii="宋体" w:hAnsi="宋体" w:eastAsia="宋体" w:cs="宋体"/>
                <w:color w:val="auto"/>
                <w:kern w:val="0"/>
                <w:sz w:val="24"/>
                <w:szCs w:val="24"/>
                <w:highlight w:val="none"/>
                <w:lang w:val="en-US" w:eastAsia="zh-CN" w:bidi="ar"/>
              </w:rPr>
              <w:t>市县两级接处警协同联动机制，是否完全匹配延安公安接警规范。</w:t>
            </w:r>
          </w:p>
          <w:p w14:paraId="70B6AFBD">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二、</w:t>
            </w:r>
            <w:r>
              <w:rPr>
                <w:rFonts w:ascii="宋体" w:hAnsi="宋体" w:eastAsia="宋体" w:cs="宋体"/>
                <w:b/>
                <w:bCs/>
                <w:color w:val="auto"/>
                <w:kern w:val="0"/>
                <w:sz w:val="24"/>
                <w:szCs w:val="24"/>
                <w:lang w:val="en-US" w:eastAsia="zh-CN" w:bidi="ar"/>
              </w:rPr>
              <w:t>评分标准：</w:t>
            </w:r>
          </w:p>
          <w:p w14:paraId="195C384F">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 方案包含适配延安公安接警规范、市县两级一体化警务工作模式的整体服务规划，贴合 110 接警工作特殊性；</w:t>
            </w:r>
          </w:p>
          <w:p w14:paraId="2294B8CA">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 方案覆盖来电接听、10 秒内响应、信息登记、分类研判、工单流转、联动处置、回访归档、疑难警情上报的全流程，流程清晰、规范；</w:t>
            </w:r>
          </w:p>
          <w:p w14:paraId="1B5C8D19">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 方案包含 7×24 小时排班值守方案，</w:t>
            </w:r>
            <w:r>
              <w:rPr>
                <w:rFonts w:hint="eastAsia" w:ascii="宋体" w:hAnsi="宋体" w:eastAsia="宋体" w:cs="宋体"/>
                <w:color w:val="auto"/>
                <w:kern w:val="0"/>
                <w:sz w:val="24"/>
                <w:szCs w:val="24"/>
                <w:lang w:val="en-US" w:eastAsia="zh-CN" w:bidi="ar"/>
              </w:rPr>
              <w:t>日常会议、警务调度会议、应急指挥视频会议的全程保障、设备运维及现场服务工作</w:t>
            </w:r>
            <w:r>
              <w:rPr>
                <w:rFonts w:hint="eastAsia" w:ascii="宋体" w:hAnsi="宋体" w:cs="宋体"/>
                <w:color w:val="auto"/>
                <w:kern w:val="0"/>
                <w:sz w:val="24"/>
                <w:szCs w:val="24"/>
                <w:lang w:val="en-US" w:eastAsia="zh-CN" w:bidi="ar"/>
              </w:rPr>
              <w:t>及接警终端、办公电脑、指挥调度设备及配套网络设施的日常运维、故障抢修、安全隐患排查、系统运行保障等工作，</w:t>
            </w:r>
            <w:r>
              <w:rPr>
                <w:rFonts w:ascii="宋体" w:hAnsi="宋体" w:eastAsia="宋体" w:cs="宋体"/>
                <w:color w:val="auto"/>
                <w:kern w:val="0"/>
                <w:sz w:val="24"/>
                <w:szCs w:val="24"/>
                <w:highlight w:val="none"/>
                <w:lang w:val="en-US" w:eastAsia="zh-CN" w:bidi="ar"/>
              </w:rPr>
              <w:t>班次设</w:t>
            </w:r>
            <w:r>
              <w:rPr>
                <w:rFonts w:ascii="宋体" w:hAnsi="宋体" w:eastAsia="宋体" w:cs="宋体"/>
                <w:color w:val="auto"/>
                <w:kern w:val="0"/>
                <w:sz w:val="24"/>
                <w:szCs w:val="24"/>
                <w:lang w:val="en-US" w:eastAsia="zh-CN" w:bidi="ar"/>
              </w:rPr>
              <w:t>置合理、轮岗机制完善、无值守空档，适配高峰警情处置需求；</w:t>
            </w:r>
          </w:p>
          <w:p w14:paraId="5D30B111">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lang w:val="en-US" w:eastAsia="zh-CN" w:bidi="ar"/>
              </w:rPr>
              <w:t>4</w:t>
            </w:r>
            <w:r>
              <w:rPr>
                <w:rFonts w:ascii="宋体" w:hAnsi="宋体" w:eastAsia="宋体" w:cs="宋体"/>
                <w:color w:val="auto"/>
                <w:kern w:val="0"/>
                <w:sz w:val="24"/>
                <w:szCs w:val="24"/>
                <w:highlight w:val="none"/>
                <w:lang w:val="en-US" w:eastAsia="zh-CN" w:bidi="ar"/>
              </w:rPr>
              <w:t>. 方案包含市县两级接处警协同联动机制，权责清晰、联动顺畅，贴合延安本地警务工作模式；</w:t>
            </w:r>
          </w:p>
          <w:p w14:paraId="44D34145">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5. 方案内容完整、逻辑清晰、可落地性强，无明显漏洞。</w:t>
            </w:r>
          </w:p>
          <w:p w14:paraId="279AC038">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b/>
                <w:bCs/>
                <w:color w:val="auto"/>
                <w:kern w:val="0"/>
                <w:sz w:val="24"/>
                <w:szCs w:val="24"/>
                <w:lang w:val="en-US" w:eastAsia="zh-CN" w:bidi="ar"/>
              </w:rPr>
              <w:t>三、赋分标准：</w:t>
            </w:r>
          </w:p>
          <w:p w14:paraId="53D5F628">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 完全满足全部 5 项评分标准，方案内容完整全面、充分理解并满足项目的公安业务需求、规范标准且科学合理、可行性强、针对性极强，完全适配市县两级一体化警务工作模式，得 10 分；</w:t>
            </w:r>
          </w:p>
          <w:p w14:paraId="5A8AB1F1">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 满足 4 项评分标准，方案内容完整全面、基本满足项目的需求、方案较合理、具有较强的可行性，具备针对性，可覆盖核心接警业务需求，得 8 分；</w:t>
            </w:r>
          </w:p>
          <w:p w14:paraId="090B6AE2">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 满足 3 项评分标准，方案内容完整全面、需求理解不充分、方案合理性较差，可行性一般，针对性较差，仅能覆盖基础接警流程，得 5 分；</w:t>
            </w:r>
          </w:p>
          <w:p w14:paraId="4FB52629">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4. 满足 2 项及以下评分标准，方案内容不全、需求理解不充分、技术方案内容不全，可行性一般，不具备针对性，存在明显业务缺口，得 2 分；</w:t>
            </w:r>
          </w:p>
          <w:p w14:paraId="1F8796CE">
            <w:pPr>
              <w:keepNext w:val="0"/>
              <w:keepLines w:val="0"/>
              <w:widowControl/>
              <w:numPr>
                <w:ilvl w:val="0"/>
                <w:numId w:val="0"/>
              </w:numPr>
              <w:suppressLineNumbers w:val="0"/>
              <w:spacing w:line="360" w:lineRule="auto"/>
              <w:ind w:left="0" w:leftChars="0" w:firstLine="0" w:firstLineChars="0"/>
              <w:jc w:val="left"/>
              <w:rPr>
                <w:color w:val="auto"/>
              </w:rPr>
            </w:pPr>
            <w:r>
              <w:rPr>
                <w:rFonts w:ascii="宋体" w:hAnsi="宋体" w:eastAsia="宋体" w:cs="宋体"/>
                <w:color w:val="auto"/>
                <w:kern w:val="0"/>
                <w:sz w:val="24"/>
                <w:szCs w:val="24"/>
                <w:lang w:val="en-US" w:eastAsia="zh-CN" w:bidi="ar"/>
              </w:rPr>
              <w:t>5. 未提供方案的，本项不得分。</w:t>
            </w:r>
          </w:p>
        </w:tc>
      </w:tr>
      <w:tr w14:paraId="52BE8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6" w:type="pct"/>
            <w:shd w:val="clear" w:color="auto" w:fill="auto"/>
            <w:tcMar>
              <w:top w:w="120" w:type="dxa"/>
              <w:left w:w="120" w:type="dxa"/>
              <w:bottom w:w="120" w:type="dxa"/>
              <w:right w:w="120" w:type="dxa"/>
            </w:tcMar>
            <w:vAlign w:val="center"/>
          </w:tcPr>
          <w:p w14:paraId="0BA83761">
            <w:pPr>
              <w:keepNext w:val="0"/>
              <w:keepLines w:val="0"/>
              <w:widowControl/>
              <w:suppressLineNumbers w:val="0"/>
              <w:spacing w:line="360" w:lineRule="auto"/>
              <w:jc w:val="center"/>
              <w:rPr>
                <w:color w:val="auto"/>
              </w:rPr>
            </w:pPr>
            <w:r>
              <w:rPr>
                <w:rFonts w:ascii="宋体" w:hAnsi="宋体" w:eastAsia="宋体" w:cs="宋体"/>
                <w:color w:val="auto"/>
                <w:kern w:val="0"/>
                <w:sz w:val="24"/>
                <w:szCs w:val="24"/>
                <w:lang w:val="en-US" w:eastAsia="zh-CN" w:bidi="ar"/>
              </w:rPr>
              <w:t>应急处置与保障方案</w:t>
            </w:r>
          </w:p>
        </w:tc>
        <w:tc>
          <w:tcPr>
            <w:tcW w:w="665" w:type="pct"/>
            <w:shd w:val="clear" w:color="auto" w:fill="auto"/>
            <w:tcMar>
              <w:top w:w="120" w:type="dxa"/>
              <w:left w:w="120" w:type="dxa"/>
              <w:bottom w:w="120" w:type="dxa"/>
              <w:right w:w="120" w:type="dxa"/>
            </w:tcMar>
            <w:vAlign w:val="center"/>
          </w:tcPr>
          <w:p w14:paraId="59104417">
            <w:pPr>
              <w:keepNext w:val="0"/>
              <w:keepLines w:val="0"/>
              <w:widowControl/>
              <w:suppressLineNumbers w:val="0"/>
              <w:spacing w:line="360" w:lineRule="auto"/>
              <w:jc w:val="center"/>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5</w:t>
            </w:r>
          </w:p>
        </w:tc>
        <w:tc>
          <w:tcPr>
            <w:tcW w:w="3547" w:type="pct"/>
            <w:shd w:val="clear" w:color="auto" w:fill="auto"/>
            <w:tcMar>
              <w:top w:w="120" w:type="dxa"/>
              <w:left w:w="120" w:type="dxa"/>
              <w:bottom w:w="120" w:type="dxa"/>
              <w:right w:w="120" w:type="dxa"/>
            </w:tcMar>
            <w:vAlign w:val="center"/>
          </w:tcPr>
          <w:p w14:paraId="2329B836">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一、</w:t>
            </w:r>
            <w:r>
              <w:rPr>
                <w:rFonts w:ascii="宋体" w:hAnsi="宋体" w:eastAsia="宋体" w:cs="宋体"/>
                <w:b/>
                <w:bCs/>
                <w:color w:val="auto"/>
                <w:kern w:val="0"/>
                <w:sz w:val="24"/>
                <w:szCs w:val="24"/>
                <w:lang w:val="en-US" w:eastAsia="zh-CN" w:bidi="ar"/>
              </w:rPr>
              <w:t>评审内容：</w:t>
            </w:r>
            <w:r>
              <w:rPr>
                <w:rFonts w:ascii="宋体" w:hAnsi="宋体" w:eastAsia="宋体" w:cs="宋体"/>
                <w:color w:val="auto"/>
                <w:kern w:val="0"/>
                <w:sz w:val="24"/>
                <w:szCs w:val="24"/>
                <w:lang w:val="en-US" w:eastAsia="zh-CN" w:bidi="ar"/>
              </w:rPr>
              <w:t>投标人针对突发警情、重大突发事件、重复报警、舆情警情、系统故障、人员应急、极端天气等场景的应急处置流程、响应时效、保障措施，核查是否贴合公安应急处置要求，是否满足 7×24 小时不间断服务需求。</w:t>
            </w:r>
          </w:p>
          <w:p w14:paraId="1EA1BFC1">
            <w:pPr>
              <w:keepNext w:val="0"/>
              <w:keepLines w:val="0"/>
              <w:widowControl/>
              <w:numPr>
                <w:ilvl w:val="0"/>
                <w:numId w:val="0"/>
              </w:numPr>
              <w:suppressLineNumbers w:val="0"/>
              <w:spacing w:line="360" w:lineRule="auto"/>
              <w:jc w:val="left"/>
              <w:rPr>
                <w:rFonts w:ascii="宋体" w:hAnsi="宋体" w:eastAsia="宋体" w:cs="宋体"/>
                <w:b/>
                <w:bCs/>
                <w:color w:val="auto"/>
                <w:kern w:val="0"/>
                <w:sz w:val="24"/>
                <w:szCs w:val="24"/>
                <w:lang w:val="en-US" w:eastAsia="zh-CN" w:bidi="ar"/>
              </w:rPr>
            </w:pPr>
            <w:r>
              <w:rPr>
                <w:rFonts w:ascii="宋体" w:hAnsi="宋体" w:eastAsia="宋体" w:cs="宋体"/>
                <w:b/>
                <w:bCs/>
                <w:color w:val="auto"/>
                <w:kern w:val="0"/>
                <w:sz w:val="24"/>
                <w:szCs w:val="24"/>
                <w:lang w:val="en-US" w:eastAsia="zh-CN" w:bidi="ar"/>
              </w:rPr>
              <w:t>二、评分标准：</w:t>
            </w:r>
          </w:p>
          <w:p w14:paraId="0DB035BA">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 方案覆盖突发警情、重大突发事件、重复报警、舆情警情、系统故障、人员应急、极端天气等全部核心应急场景；</w:t>
            </w:r>
          </w:p>
          <w:p w14:paraId="6B2F9CEC">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 每个场景的应急处置流程清晰、响应时效明确，完全符合公安应急处置要求；</w:t>
            </w:r>
          </w:p>
          <w:p w14:paraId="077E7A71">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 方案包含应急保障措施，人员、物资、技术保障到位，可支撑 7×24 小时不间断服务；</w:t>
            </w:r>
          </w:p>
          <w:p w14:paraId="50C748E6">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4. 方案包含应急联动机制，可与公安指挥中心、相关部门顺畅联动。</w:t>
            </w:r>
          </w:p>
          <w:p w14:paraId="223615BD">
            <w:pPr>
              <w:keepNext w:val="0"/>
              <w:keepLines w:val="0"/>
              <w:widowControl/>
              <w:numPr>
                <w:ilvl w:val="0"/>
                <w:numId w:val="0"/>
              </w:numPr>
              <w:suppressLineNumbers w:val="0"/>
              <w:spacing w:line="360" w:lineRule="auto"/>
              <w:jc w:val="left"/>
              <w:rPr>
                <w:rFonts w:ascii="宋体" w:hAnsi="宋体" w:eastAsia="宋体" w:cs="宋体"/>
                <w:b/>
                <w:bCs/>
                <w:color w:val="auto"/>
                <w:kern w:val="0"/>
                <w:sz w:val="24"/>
                <w:szCs w:val="24"/>
                <w:lang w:val="en-US" w:eastAsia="zh-CN" w:bidi="ar"/>
              </w:rPr>
            </w:pPr>
            <w:r>
              <w:rPr>
                <w:rFonts w:ascii="宋体" w:hAnsi="宋体" w:eastAsia="宋体" w:cs="宋体"/>
                <w:b/>
                <w:bCs/>
                <w:color w:val="auto"/>
                <w:kern w:val="0"/>
                <w:sz w:val="24"/>
                <w:szCs w:val="24"/>
                <w:lang w:val="en-US" w:eastAsia="zh-CN" w:bidi="ar"/>
              </w:rPr>
              <w:t>三、赋分标准：</w:t>
            </w:r>
          </w:p>
          <w:p w14:paraId="7CD38729">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 完全满足全部 4 项评分标准，应急场景覆盖全面，处置流程清晰，响应时效完全符合公安应急处置要求，保障措施到位，具备完善的应急联动机制，得 5 分；</w:t>
            </w:r>
          </w:p>
          <w:p w14:paraId="0C486683">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 满足 3 项评分标准，应急场景覆盖较全面，流程基本合理，可满足基础应急需求，无重大应急缺口，得 3 分；</w:t>
            </w:r>
          </w:p>
          <w:p w14:paraId="117264EC">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 满足 2 项及以下评分标准，方案存在明显漏洞，应急处置措施不可落地，无法满足突发警情处置需求，得 1 分；</w:t>
            </w:r>
          </w:p>
          <w:p w14:paraId="1A269AEE">
            <w:pPr>
              <w:keepNext w:val="0"/>
              <w:keepLines w:val="0"/>
              <w:widowControl/>
              <w:numPr>
                <w:ilvl w:val="0"/>
                <w:numId w:val="0"/>
              </w:numPr>
              <w:suppressLineNumbers w:val="0"/>
              <w:spacing w:line="360" w:lineRule="auto"/>
              <w:jc w:val="left"/>
              <w:rPr>
                <w:color w:val="auto"/>
              </w:rPr>
            </w:pPr>
            <w:r>
              <w:rPr>
                <w:rFonts w:ascii="宋体" w:hAnsi="宋体" w:eastAsia="宋体" w:cs="宋体"/>
                <w:color w:val="auto"/>
                <w:kern w:val="0"/>
                <w:sz w:val="24"/>
                <w:szCs w:val="24"/>
                <w:lang w:val="en-US" w:eastAsia="zh-CN" w:bidi="ar"/>
              </w:rPr>
              <w:t>4. 未提供方案的，本项不得分。</w:t>
            </w:r>
          </w:p>
        </w:tc>
      </w:tr>
      <w:tr w14:paraId="377B4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6" w:type="pct"/>
            <w:shd w:val="clear" w:color="auto" w:fill="auto"/>
            <w:tcMar>
              <w:top w:w="120" w:type="dxa"/>
              <w:left w:w="120" w:type="dxa"/>
              <w:bottom w:w="120" w:type="dxa"/>
              <w:right w:w="120" w:type="dxa"/>
            </w:tcMar>
            <w:vAlign w:val="center"/>
          </w:tcPr>
          <w:p w14:paraId="018D8349">
            <w:pPr>
              <w:keepNext w:val="0"/>
              <w:keepLines w:val="0"/>
              <w:widowControl/>
              <w:suppressLineNumbers w:val="0"/>
              <w:spacing w:line="360" w:lineRule="auto"/>
              <w:jc w:val="center"/>
              <w:rPr>
                <w:color w:val="auto"/>
              </w:rPr>
            </w:pPr>
            <w:r>
              <w:rPr>
                <w:rFonts w:ascii="宋体" w:hAnsi="宋体" w:eastAsia="宋体" w:cs="宋体"/>
                <w:color w:val="auto"/>
                <w:kern w:val="0"/>
                <w:sz w:val="24"/>
                <w:szCs w:val="24"/>
                <w:lang w:val="en-US" w:eastAsia="zh-CN" w:bidi="ar"/>
              </w:rPr>
              <w:t>服务质量保障与考核方案</w:t>
            </w:r>
          </w:p>
        </w:tc>
        <w:tc>
          <w:tcPr>
            <w:tcW w:w="665" w:type="pct"/>
            <w:shd w:val="clear" w:color="auto" w:fill="auto"/>
            <w:tcMar>
              <w:top w:w="120" w:type="dxa"/>
              <w:left w:w="120" w:type="dxa"/>
              <w:bottom w:w="120" w:type="dxa"/>
              <w:right w:w="120" w:type="dxa"/>
            </w:tcMar>
            <w:vAlign w:val="center"/>
          </w:tcPr>
          <w:p w14:paraId="52351614">
            <w:pPr>
              <w:keepNext w:val="0"/>
              <w:keepLines w:val="0"/>
              <w:widowControl/>
              <w:suppressLineNumbers w:val="0"/>
              <w:spacing w:line="360" w:lineRule="auto"/>
              <w:jc w:val="center"/>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5</w:t>
            </w:r>
          </w:p>
        </w:tc>
        <w:tc>
          <w:tcPr>
            <w:tcW w:w="3547" w:type="pct"/>
            <w:shd w:val="clear" w:color="auto" w:fill="auto"/>
            <w:tcMar>
              <w:top w:w="120" w:type="dxa"/>
              <w:left w:w="120" w:type="dxa"/>
              <w:bottom w:w="120" w:type="dxa"/>
              <w:right w:w="120" w:type="dxa"/>
            </w:tcMar>
            <w:vAlign w:val="center"/>
          </w:tcPr>
          <w:p w14:paraId="0F9E4B06">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一、</w:t>
            </w:r>
            <w:r>
              <w:rPr>
                <w:rFonts w:ascii="宋体" w:hAnsi="宋体" w:eastAsia="宋体" w:cs="宋体"/>
                <w:b/>
                <w:bCs/>
                <w:color w:val="auto"/>
                <w:kern w:val="0"/>
                <w:sz w:val="24"/>
                <w:szCs w:val="24"/>
                <w:lang w:val="en-US" w:eastAsia="zh-CN" w:bidi="ar"/>
              </w:rPr>
              <w:t>评审内容：</w:t>
            </w:r>
            <w:r>
              <w:rPr>
                <w:rFonts w:ascii="宋体" w:hAnsi="宋体" w:eastAsia="宋体" w:cs="宋体"/>
                <w:color w:val="auto"/>
                <w:kern w:val="0"/>
                <w:sz w:val="24"/>
                <w:szCs w:val="24"/>
                <w:lang w:val="en-US" w:eastAsia="zh-CN" w:bidi="ar"/>
              </w:rPr>
              <w:t>投标人针对110</w:t>
            </w:r>
            <w:r>
              <w:rPr>
                <w:rFonts w:hint="eastAsia" w:ascii="宋体" w:hAnsi="宋体" w:cs="宋体"/>
                <w:color w:val="auto"/>
                <w:kern w:val="0"/>
                <w:sz w:val="24"/>
                <w:szCs w:val="24"/>
                <w:lang w:val="en-US" w:eastAsia="zh-CN" w:bidi="ar"/>
              </w:rPr>
              <w:t>报警接线</w:t>
            </w:r>
            <w:r>
              <w:rPr>
                <w:rFonts w:ascii="宋体" w:hAnsi="宋体" w:eastAsia="宋体" w:cs="宋体"/>
                <w:color w:val="auto"/>
                <w:kern w:val="0"/>
                <w:sz w:val="24"/>
                <w:szCs w:val="24"/>
                <w:lang w:val="en-US" w:eastAsia="zh-CN" w:bidi="ar"/>
              </w:rPr>
              <w:t>服务制定的服务质量监控、质检标准、考核机制、投诉处理、服务改进、不合格项处置方案，核查是否贴合110</w:t>
            </w:r>
            <w:r>
              <w:rPr>
                <w:rFonts w:hint="eastAsia" w:ascii="宋体" w:hAnsi="宋体" w:cs="宋体"/>
                <w:color w:val="auto"/>
                <w:kern w:val="0"/>
                <w:sz w:val="24"/>
                <w:szCs w:val="24"/>
                <w:lang w:val="en-US" w:eastAsia="zh-CN" w:bidi="ar"/>
              </w:rPr>
              <w:t>报警接线</w:t>
            </w:r>
            <w:r>
              <w:rPr>
                <w:rFonts w:ascii="宋体" w:hAnsi="宋体" w:eastAsia="宋体" w:cs="宋体"/>
                <w:color w:val="auto"/>
                <w:kern w:val="0"/>
                <w:sz w:val="24"/>
                <w:szCs w:val="24"/>
                <w:lang w:val="en-US" w:eastAsia="zh-CN" w:bidi="ar"/>
              </w:rPr>
              <w:t>服务服务质量管控要求，是否具备可落地的闭环管理机制。</w:t>
            </w:r>
          </w:p>
          <w:p w14:paraId="5E48A35F">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二、</w:t>
            </w:r>
            <w:r>
              <w:rPr>
                <w:rFonts w:ascii="宋体" w:hAnsi="宋体" w:eastAsia="宋体" w:cs="宋体"/>
                <w:b/>
                <w:bCs/>
                <w:color w:val="auto"/>
                <w:kern w:val="0"/>
                <w:sz w:val="24"/>
                <w:szCs w:val="24"/>
                <w:lang w:val="en-US" w:eastAsia="zh-CN" w:bidi="ar"/>
              </w:rPr>
              <w:t>评分标准：</w:t>
            </w:r>
          </w:p>
          <w:p w14:paraId="4BE8CC78">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 xml:space="preserve">1. 方案包含清晰可量化的 110 </w:t>
            </w:r>
            <w:r>
              <w:rPr>
                <w:rFonts w:hint="eastAsia" w:ascii="宋体" w:hAnsi="宋体" w:cs="宋体"/>
                <w:color w:val="auto"/>
                <w:kern w:val="0"/>
                <w:sz w:val="24"/>
                <w:szCs w:val="24"/>
                <w:lang w:val="en-US" w:eastAsia="zh-CN" w:bidi="ar"/>
              </w:rPr>
              <w:t>报警接线</w:t>
            </w:r>
            <w:r>
              <w:rPr>
                <w:rFonts w:ascii="宋体" w:hAnsi="宋体" w:eastAsia="宋体" w:cs="宋体"/>
                <w:color w:val="auto"/>
                <w:kern w:val="0"/>
                <w:sz w:val="24"/>
                <w:szCs w:val="24"/>
                <w:lang w:val="en-US" w:eastAsia="zh-CN" w:bidi="ar"/>
              </w:rPr>
              <w:t>服务服务质检标准，覆盖</w:t>
            </w:r>
            <w:r>
              <w:rPr>
                <w:rFonts w:hint="eastAsia" w:ascii="宋体" w:hAnsi="宋体" w:cs="宋体"/>
                <w:color w:val="auto"/>
                <w:kern w:val="0"/>
                <w:sz w:val="24"/>
                <w:szCs w:val="24"/>
                <w:lang w:val="en-US" w:eastAsia="zh-CN" w:bidi="ar"/>
              </w:rPr>
              <w:t>报警接线</w:t>
            </w:r>
            <w:r>
              <w:rPr>
                <w:rFonts w:ascii="宋体" w:hAnsi="宋体" w:eastAsia="宋体" w:cs="宋体"/>
                <w:color w:val="auto"/>
                <w:kern w:val="0"/>
                <w:sz w:val="24"/>
                <w:szCs w:val="24"/>
                <w:lang w:val="en-US" w:eastAsia="zh-CN" w:bidi="ar"/>
              </w:rPr>
              <w:t>服务响应、</w:t>
            </w:r>
            <w:r>
              <w:rPr>
                <w:rFonts w:hint="eastAsia" w:ascii="宋体" w:hAnsi="宋体" w:cs="宋体"/>
                <w:color w:val="auto"/>
                <w:kern w:val="0"/>
                <w:sz w:val="24"/>
                <w:szCs w:val="24"/>
                <w:lang w:val="en-US" w:eastAsia="zh-CN" w:bidi="ar"/>
              </w:rPr>
              <w:t>服务规范</w:t>
            </w:r>
            <w:r>
              <w:rPr>
                <w:rFonts w:ascii="宋体" w:hAnsi="宋体" w:eastAsia="宋体" w:cs="宋体"/>
                <w:color w:val="auto"/>
                <w:kern w:val="0"/>
                <w:sz w:val="24"/>
                <w:szCs w:val="24"/>
                <w:lang w:val="en-US" w:eastAsia="zh-CN" w:bidi="ar"/>
              </w:rPr>
              <w:t>、服务态度、信息录入等全维度；</w:t>
            </w:r>
          </w:p>
          <w:p w14:paraId="02FC267C">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 方案包含完善的服务质量监控机制，可实现全时段、全量录音质检、抽检，监控频次合理；</w:t>
            </w:r>
          </w:p>
          <w:p w14:paraId="5C920BB1">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 方案包含可落地的考核机制，考核指标与服务质量强关联，奖惩措施明确；</w:t>
            </w:r>
          </w:p>
          <w:p w14:paraId="4EB50FC4">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4. 方案包含闭环的投诉处理、服务改进、不合格项处置流程，可实现服务质量持续优化。</w:t>
            </w:r>
          </w:p>
          <w:p w14:paraId="587BAE0C">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b/>
                <w:bCs/>
                <w:color w:val="auto"/>
                <w:kern w:val="0"/>
                <w:sz w:val="24"/>
                <w:szCs w:val="24"/>
                <w:lang w:val="en-US" w:eastAsia="zh-CN" w:bidi="ar"/>
              </w:rPr>
            </w:pPr>
            <w:r>
              <w:rPr>
                <w:rFonts w:ascii="宋体" w:hAnsi="宋体" w:eastAsia="宋体" w:cs="宋体"/>
                <w:b/>
                <w:bCs/>
                <w:color w:val="auto"/>
                <w:kern w:val="0"/>
                <w:sz w:val="24"/>
                <w:szCs w:val="24"/>
                <w:lang w:val="en-US" w:eastAsia="zh-CN" w:bidi="ar"/>
              </w:rPr>
              <w:t>三、赋分标准：</w:t>
            </w:r>
          </w:p>
          <w:p w14:paraId="144A2133">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 完全满足全部 4 项评分标准，质检标准清晰可量化，考核机制可落地，投诉处理闭环完整，服务改进措施明确，完全满足公安 110 接警服务质量管控要求，得 5 分；</w:t>
            </w:r>
          </w:p>
          <w:p w14:paraId="713558FF">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 满足 3 项评分标准，方案基本完整，可落地性一般，能满足基础服务质量管控需求，无重大管控漏洞，得 3 分；</w:t>
            </w:r>
          </w:p>
          <w:p w14:paraId="5DA4690C">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 满足 2 项及以下评分标准，方案存在明显缺陷，无法有效保障服务质量，管控机制不闭环，得 1 分；</w:t>
            </w:r>
          </w:p>
          <w:p w14:paraId="45F7C309">
            <w:pPr>
              <w:keepNext w:val="0"/>
              <w:keepLines w:val="0"/>
              <w:widowControl/>
              <w:numPr>
                <w:ilvl w:val="0"/>
                <w:numId w:val="0"/>
              </w:numPr>
              <w:suppressLineNumbers w:val="0"/>
              <w:spacing w:line="360" w:lineRule="auto"/>
              <w:ind w:left="0" w:leftChars="0" w:firstLine="0" w:firstLineChars="0"/>
              <w:jc w:val="left"/>
              <w:rPr>
                <w:color w:val="auto"/>
              </w:rPr>
            </w:pPr>
            <w:r>
              <w:rPr>
                <w:rFonts w:ascii="宋体" w:hAnsi="宋体" w:eastAsia="宋体" w:cs="宋体"/>
                <w:color w:val="auto"/>
                <w:kern w:val="0"/>
                <w:sz w:val="24"/>
                <w:szCs w:val="24"/>
                <w:lang w:val="en-US" w:eastAsia="zh-CN" w:bidi="ar"/>
              </w:rPr>
              <w:t>4. 未提供方案的，本项不得分。</w:t>
            </w:r>
          </w:p>
        </w:tc>
      </w:tr>
      <w:tr w14:paraId="6A0FE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6" w:type="pct"/>
            <w:shd w:val="clear" w:color="auto" w:fill="auto"/>
            <w:tcMar>
              <w:top w:w="120" w:type="dxa"/>
              <w:left w:w="120" w:type="dxa"/>
              <w:bottom w:w="120" w:type="dxa"/>
              <w:right w:w="120" w:type="dxa"/>
            </w:tcMar>
            <w:vAlign w:val="center"/>
          </w:tcPr>
          <w:p w14:paraId="153A778B">
            <w:pPr>
              <w:keepNext w:val="0"/>
              <w:keepLines w:val="0"/>
              <w:widowControl/>
              <w:suppressLineNumbers w:val="0"/>
              <w:spacing w:line="360" w:lineRule="auto"/>
              <w:jc w:val="center"/>
              <w:rPr>
                <w:color w:val="auto"/>
              </w:rPr>
            </w:pPr>
            <w:r>
              <w:rPr>
                <w:rFonts w:ascii="宋体" w:hAnsi="宋体" w:eastAsia="宋体" w:cs="宋体"/>
                <w:color w:val="auto"/>
                <w:kern w:val="0"/>
                <w:sz w:val="24"/>
                <w:szCs w:val="24"/>
                <w:lang w:val="en-US" w:eastAsia="zh-CN" w:bidi="ar"/>
              </w:rPr>
              <w:t>保密管理方案</w:t>
            </w:r>
          </w:p>
        </w:tc>
        <w:tc>
          <w:tcPr>
            <w:tcW w:w="665" w:type="pct"/>
            <w:shd w:val="clear" w:color="auto" w:fill="auto"/>
            <w:tcMar>
              <w:top w:w="120" w:type="dxa"/>
              <w:left w:w="120" w:type="dxa"/>
              <w:bottom w:w="120" w:type="dxa"/>
              <w:right w:w="120" w:type="dxa"/>
            </w:tcMar>
            <w:vAlign w:val="center"/>
          </w:tcPr>
          <w:p w14:paraId="2EB1FFE2">
            <w:pPr>
              <w:keepNext w:val="0"/>
              <w:keepLines w:val="0"/>
              <w:widowControl/>
              <w:suppressLineNumbers w:val="0"/>
              <w:spacing w:line="360" w:lineRule="auto"/>
              <w:jc w:val="center"/>
              <w:rPr>
                <w:rFonts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5</w:t>
            </w:r>
          </w:p>
        </w:tc>
        <w:tc>
          <w:tcPr>
            <w:tcW w:w="3547" w:type="pct"/>
            <w:shd w:val="clear" w:color="auto" w:fill="auto"/>
            <w:tcMar>
              <w:top w:w="120" w:type="dxa"/>
              <w:left w:w="120" w:type="dxa"/>
              <w:bottom w:w="120" w:type="dxa"/>
              <w:right w:w="120" w:type="dxa"/>
            </w:tcMar>
            <w:vAlign w:val="center"/>
          </w:tcPr>
          <w:p w14:paraId="51EBCBF9">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一、</w:t>
            </w:r>
            <w:r>
              <w:rPr>
                <w:rFonts w:ascii="宋体" w:hAnsi="宋体" w:eastAsia="宋体" w:cs="宋体"/>
                <w:b/>
                <w:bCs/>
                <w:color w:val="auto"/>
                <w:kern w:val="0"/>
                <w:sz w:val="24"/>
                <w:szCs w:val="24"/>
                <w:lang w:val="en-US" w:eastAsia="zh-CN" w:bidi="ar"/>
              </w:rPr>
              <w:t>评审内容：</w:t>
            </w:r>
            <w:r>
              <w:rPr>
                <w:rFonts w:ascii="宋体" w:hAnsi="宋体" w:eastAsia="宋体" w:cs="宋体"/>
                <w:color w:val="auto"/>
                <w:kern w:val="0"/>
                <w:sz w:val="24"/>
                <w:szCs w:val="24"/>
                <w:lang w:val="en-US" w:eastAsia="zh-CN" w:bidi="ar"/>
              </w:rPr>
              <w:t>投标人针对 110 接警信息、公民个人信息、公安工作秘密、案件信息等制定的保密管理制度、保密措施、人员保密管理、泄密应急处置方案，核查是否完全符合公安保密管理相关规定，是否能保障公安信息安全。</w:t>
            </w:r>
          </w:p>
          <w:p w14:paraId="76F17581">
            <w:pPr>
              <w:keepNext w:val="0"/>
              <w:keepLines w:val="0"/>
              <w:widowControl/>
              <w:numPr>
                <w:ilvl w:val="0"/>
                <w:numId w:val="0"/>
              </w:numPr>
              <w:suppressLineNumbers w:val="0"/>
              <w:spacing w:line="360" w:lineRule="auto"/>
              <w:jc w:val="left"/>
              <w:rPr>
                <w:rFonts w:ascii="宋体" w:hAnsi="宋体" w:eastAsia="宋体" w:cs="宋体"/>
                <w:b/>
                <w:bCs/>
                <w:color w:val="auto"/>
                <w:kern w:val="0"/>
                <w:sz w:val="24"/>
                <w:szCs w:val="24"/>
                <w:lang w:val="en-US" w:eastAsia="zh-CN" w:bidi="ar"/>
              </w:rPr>
            </w:pPr>
            <w:r>
              <w:rPr>
                <w:rFonts w:ascii="宋体" w:hAnsi="宋体" w:eastAsia="宋体" w:cs="宋体"/>
                <w:b/>
                <w:bCs/>
                <w:color w:val="auto"/>
                <w:kern w:val="0"/>
                <w:sz w:val="24"/>
                <w:szCs w:val="24"/>
                <w:lang w:val="en-US" w:eastAsia="zh-CN" w:bidi="ar"/>
              </w:rPr>
              <w:t>二、评分标准：</w:t>
            </w:r>
          </w:p>
          <w:p w14:paraId="0D311CFD">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 方案包含完善的保密管理制度，完全符合公安保密管理相关规定，覆盖 110 接警信息、公民个人信息、公安工作秘密、案件信息等全类别；</w:t>
            </w:r>
          </w:p>
          <w:p w14:paraId="0D814E9C">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 方案包含全流程的保密管控措施，从信息采集、传输、存储、使用、销毁全环节落实保密要求；</w:t>
            </w:r>
          </w:p>
          <w:p w14:paraId="27BB722C">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 方案包含严格的人员保密管理机制，岗前保密培训、在岗保密教育、离职保密管理全流程覆盖；</w:t>
            </w:r>
          </w:p>
          <w:p w14:paraId="1171335A">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4. 方案包含泄密应急处置流程，响应及时、处置规范，可有效降低泄密风险。</w:t>
            </w:r>
          </w:p>
          <w:p w14:paraId="290EB28E">
            <w:pPr>
              <w:keepNext w:val="0"/>
              <w:keepLines w:val="0"/>
              <w:widowControl/>
              <w:numPr>
                <w:ilvl w:val="0"/>
                <w:numId w:val="0"/>
              </w:numPr>
              <w:suppressLineNumbers w:val="0"/>
              <w:spacing w:line="360" w:lineRule="auto"/>
              <w:jc w:val="left"/>
              <w:rPr>
                <w:rFonts w:ascii="宋体" w:hAnsi="宋体" w:eastAsia="宋体" w:cs="宋体"/>
                <w:b/>
                <w:bCs/>
                <w:color w:val="auto"/>
                <w:kern w:val="0"/>
                <w:sz w:val="24"/>
                <w:szCs w:val="24"/>
                <w:lang w:val="en-US" w:eastAsia="zh-CN" w:bidi="ar"/>
              </w:rPr>
            </w:pPr>
            <w:r>
              <w:rPr>
                <w:rFonts w:ascii="宋体" w:hAnsi="宋体" w:eastAsia="宋体" w:cs="宋体"/>
                <w:b/>
                <w:bCs/>
                <w:color w:val="auto"/>
                <w:kern w:val="0"/>
                <w:sz w:val="24"/>
                <w:szCs w:val="24"/>
                <w:lang w:val="en-US" w:eastAsia="zh-CN" w:bidi="ar"/>
              </w:rPr>
              <w:t>三、赋分标准：</w:t>
            </w:r>
          </w:p>
          <w:p w14:paraId="0ECB3CFF">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 xml:space="preserve">1. 完全满足全部 4 项评分标准，保密制度完善，措施完全贴合公安保密管理要求，人员保密管理、泄密应急处置流程完整，具备全流程保密管控机制，得 </w:t>
            </w:r>
            <w:r>
              <w:rPr>
                <w:rFonts w:hint="eastAsia" w:ascii="宋体" w:hAnsi="宋体" w:cs="宋体"/>
                <w:color w:val="auto"/>
                <w:kern w:val="0"/>
                <w:sz w:val="24"/>
                <w:szCs w:val="24"/>
                <w:lang w:val="en-US" w:eastAsia="zh-CN" w:bidi="ar"/>
              </w:rPr>
              <w:t>5</w:t>
            </w:r>
            <w:r>
              <w:rPr>
                <w:rFonts w:ascii="宋体" w:hAnsi="宋体" w:eastAsia="宋体" w:cs="宋体"/>
                <w:color w:val="auto"/>
                <w:kern w:val="0"/>
                <w:sz w:val="24"/>
                <w:szCs w:val="24"/>
                <w:lang w:val="en-US" w:eastAsia="zh-CN" w:bidi="ar"/>
              </w:rPr>
              <w:t xml:space="preserve"> 分；</w:t>
            </w:r>
          </w:p>
          <w:p w14:paraId="78E205EC">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 xml:space="preserve">2. 满足 3 项评分标准，保密制度基本完善，无明显漏洞，可满足基础保密管理要求，得 </w:t>
            </w:r>
            <w:r>
              <w:rPr>
                <w:rFonts w:hint="eastAsia" w:ascii="宋体" w:hAnsi="宋体" w:cs="宋体"/>
                <w:color w:val="auto"/>
                <w:kern w:val="0"/>
                <w:sz w:val="24"/>
                <w:szCs w:val="24"/>
                <w:lang w:val="en-US" w:eastAsia="zh-CN" w:bidi="ar"/>
              </w:rPr>
              <w:t>3</w:t>
            </w:r>
            <w:r>
              <w:rPr>
                <w:rFonts w:ascii="宋体" w:hAnsi="宋体" w:eastAsia="宋体" w:cs="宋体"/>
                <w:color w:val="auto"/>
                <w:kern w:val="0"/>
                <w:sz w:val="24"/>
                <w:szCs w:val="24"/>
                <w:lang w:val="en-US" w:eastAsia="zh-CN" w:bidi="ar"/>
              </w:rPr>
              <w:t xml:space="preserve"> 分；</w:t>
            </w:r>
          </w:p>
          <w:p w14:paraId="3AFF2D62">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 满足 2 项及以下评分标准，方案存在明显缺陷，无法保障公安信息安全，保密管控存在重大漏洞，得 1 分；</w:t>
            </w:r>
          </w:p>
          <w:p w14:paraId="1B187D49">
            <w:pPr>
              <w:keepNext w:val="0"/>
              <w:keepLines w:val="0"/>
              <w:widowControl/>
              <w:numPr>
                <w:ilvl w:val="0"/>
                <w:numId w:val="0"/>
              </w:numPr>
              <w:suppressLineNumbers w:val="0"/>
              <w:spacing w:line="360" w:lineRule="auto"/>
              <w:jc w:val="left"/>
              <w:rPr>
                <w:color w:val="auto"/>
              </w:rPr>
            </w:pPr>
            <w:r>
              <w:rPr>
                <w:rFonts w:ascii="宋体" w:hAnsi="宋体" w:eastAsia="宋体" w:cs="宋体"/>
                <w:color w:val="auto"/>
                <w:kern w:val="0"/>
                <w:sz w:val="24"/>
                <w:szCs w:val="24"/>
                <w:lang w:val="en-US" w:eastAsia="zh-CN" w:bidi="ar"/>
              </w:rPr>
              <w:t>4. 未提供方案的，本项不得分。</w:t>
            </w:r>
          </w:p>
        </w:tc>
      </w:tr>
      <w:tr w14:paraId="4BEC9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6" w:type="pct"/>
            <w:shd w:val="clear" w:color="auto" w:fill="auto"/>
            <w:tcMar>
              <w:top w:w="120" w:type="dxa"/>
              <w:left w:w="120" w:type="dxa"/>
              <w:bottom w:w="120" w:type="dxa"/>
              <w:right w:w="120" w:type="dxa"/>
            </w:tcMar>
            <w:vAlign w:val="center"/>
          </w:tcPr>
          <w:p w14:paraId="2EE830CD">
            <w:pPr>
              <w:keepNext w:val="0"/>
              <w:keepLines w:val="0"/>
              <w:widowControl/>
              <w:suppressLineNumbers w:val="0"/>
              <w:spacing w:line="360" w:lineRule="auto"/>
              <w:jc w:val="center"/>
              <w:rPr>
                <w:color w:val="auto"/>
              </w:rPr>
            </w:pPr>
            <w:r>
              <w:rPr>
                <w:rFonts w:ascii="宋体" w:hAnsi="宋体" w:eastAsia="宋体" w:cs="宋体"/>
                <w:color w:val="auto"/>
                <w:kern w:val="0"/>
                <w:sz w:val="24"/>
                <w:szCs w:val="24"/>
                <w:lang w:val="en-US" w:eastAsia="zh-CN" w:bidi="ar"/>
              </w:rPr>
              <w:t>人员培训方案</w:t>
            </w:r>
          </w:p>
        </w:tc>
        <w:tc>
          <w:tcPr>
            <w:tcW w:w="665" w:type="pct"/>
            <w:shd w:val="clear" w:color="auto" w:fill="auto"/>
            <w:tcMar>
              <w:top w:w="120" w:type="dxa"/>
              <w:left w:w="120" w:type="dxa"/>
              <w:bottom w:w="120" w:type="dxa"/>
              <w:right w:w="120" w:type="dxa"/>
            </w:tcMar>
            <w:vAlign w:val="center"/>
          </w:tcPr>
          <w:p w14:paraId="4A218396">
            <w:pPr>
              <w:keepNext w:val="0"/>
              <w:keepLines w:val="0"/>
              <w:widowControl/>
              <w:suppressLineNumbers w:val="0"/>
              <w:spacing w:line="360" w:lineRule="auto"/>
              <w:jc w:val="center"/>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5</w:t>
            </w:r>
          </w:p>
        </w:tc>
        <w:tc>
          <w:tcPr>
            <w:tcW w:w="3547" w:type="pct"/>
            <w:shd w:val="clear" w:color="auto" w:fill="auto"/>
            <w:tcMar>
              <w:top w:w="120" w:type="dxa"/>
              <w:left w:w="120" w:type="dxa"/>
              <w:bottom w:w="120" w:type="dxa"/>
              <w:right w:w="120" w:type="dxa"/>
            </w:tcMar>
            <w:vAlign w:val="center"/>
          </w:tcPr>
          <w:p w14:paraId="5F0748EB">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一、</w:t>
            </w:r>
            <w:r>
              <w:rPr>
                <w:rFonts w:ascii="宋体" w:hAnsi="宋体" w:eastAsia="宋体" w:cs="宋体"/>
                <w:b/>
                <w:bCs/>
                <w:color w:val="auto"/>
                <w:kern w:val="0"/>
                <w:sz w:val="24"/>
                <w:szCs w:val="24"/>
                <w:lang w:val="en-US" w:eastAsia="zh-CN" w:bidi="ar"/>
              </w:rPr>
              <w:t>评审内容：</w:t>
            </w:r>
            <w:r>
              <w:rPr>
                <w:rFonts w:ascii="宋体" w:hAnsi="宋体" w:eastAsia="宋体" w:cs="宋体"/>
                <w:color w:val="auto"/>
                <w:kern w:val="0"/>
                <w:sz w:val="24"/>
                <w:szCs w:val="24"/>
                <w:lang w:val="en-US" w:eastAsia="zh-CN" w:bidi="ar"/>
              </w:rPr>
              <w:t>投标人针对接线员制定的岗前培训、在岗常态化培训、公安业务专项培训、考核机制、复训机制，核查培训内容是否贴合 110 接警业务、公安法律法规、应急处置、保密管理等核心需求，是否具备完善的培训体系。</w:t>
            </w:r>
          </w:p>
          <w:p w14:paraId="610E1C4E">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二、</w:t>
            </w:r>
            <w:r>
              <w:rPr>
                <w:rFonts w:ascii="宋体" w:hAnsi="宋体" w:eastAsia="宋体" w:cs="宋体"/>
                <w:b/>
                <w:bCs/>
                <w:color w:val="auto"/>
                <w:kern w:val="0"/>
                <w:sz w:val="24"/>
                <w:szCs w:val="24"/>
                <w:lang w:val="en-US" w:eastAsia="zh-CN" w:bidi="ar"/>
              </w:rPr>
              <w:t>评分标准：</w:t>
            </w:r>
          </w:p>
          <w:p w14:paraId="4307E5A9">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 方案包含完整的岗前培训体系，培训内容覆盖 110 接警业务规范、公安法律法规、应急处置流程、保密管理要求、服务规范等核心内容；</w:t>
            </w:r>
          </w:p>
          <w:p w14:paraId="2706F4CF">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 方案包含在岗常态化培训、公安业务专项培训机制，培训频次合理，内容贴合延安本地公安业务实际；</w:t>
            </w:r>
          </w:p>
          <w:p w14:paraId="6C5B1806">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 方案包含完善的培训考核机制，岗前培训考核不合格不得上岗，在岗培训考核与绩效挂钩；</w:t>
            </w:r>
          </w:p>
          <w:p w14:paraId="12A6CC77">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4. 方案包含复训机制，针对考核不合格人员、业务更新内容开展定期复训，保障接线员业务能力持续达标。</w:t>
            </w:r>
          </w:p>
          <w:p w14:paraId="2D7E6645">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b/>
                <w:bCs/>
                <w:color w:val="auto"/>
                <w:kern w:val="0"/>
                <w:sz w:val="24"/>
                <w:szCs w:val="24"/>
                <w:lang w:val="en-US" w:eastAsia="zh-CN" w:bidi="ar"/>
              </w:rPr>
            </w:pPr>
            <w:r>
              <w:rPr>
                <w:rFonts w:ascii="宋体" w:hAnsi="宋体" w:eastAsia="宋体" w:cs="宋体"/>
                <w:b/>
                <w:bCs/>
                <w:color w:val="auto"/>
                <w:kern w:val="0"/>
                <w:sz w:val="24"/>
                <w:szCs w:val="24"/>
                <w:lang w:val="en-US" w:eastAsia="zh-CN" w:bidi="ar"/>
              </w:rPr>
              <w:t>三、赋分标准：</w:t>
            </w:r>
          </w:p>
          <w:p w14:paraId="1D200E51">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 完全满足全部 4 项评分标准，培训体系完整，内容完全贴合 110 接警业务实际需求，培训、考核、复训机制完善，可有效提升接线员业务能力，保障服务质量，得 5 分；</w:t>
            </w:r>
          </w:p>
          <w:p w14:paraId="23E29B59">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 满足 3 项评分标准，培训方案基本完整，可满足基础培训需求，无重大培训缺口，得 2 分；</w:t>
            </w:r>
          </w:p>
          <w:p w14:paraId="3396F123">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 满足 2 项及以下评分标准，方案存在明显缺陷，无法满足 110 接警业务培训需求，得 1 分；</w:t>
            </w:r>
          </w:p>
          <w:p w14:paraId="5A7CCAAB">
            <w:pPr>
              <w:keepNext w:val="0"/>
              <w:keepLines w:val="0"/>
              <w:widowControl/>
              <w:numPr>
                <w:ilvl w:val="0"/>
                <w:numId w:val="0"/>
              </w:numPr>
              <w:suppressLineNumbers w:val="0"/>
              <w:spacing w:line="360" w:lineRule="auto"/>
              <w:ind w:left="0" w:leftChars="0" w:firstLine="0" w:firstLineChars="0"/>
              <w:jc w:val="left"/>
              <w:rPr>
                <w:color w:val="auto"/>
              </w:rPr>
            </w:pPr>
            <w:r>
              <w:rPr>
                <w:rFonts w:ascii="宋体" w:hAnsi="宋体" w:eastAsia="宋体" w:cs="宋体"/>
                <w:color w:val="auto"/>
                <w:kern w:val="0"/>
                <w:sz w:val="24"/>
                <w:szCs w:val="24"/>
                <w:lang w:val="en-US" w:eastAsia="zh-CN" w:bidi="ar"/>
              </w:rPr>
              <w:t>4. 未提供方案的，本项不得分。</w:t>
            </w:r>
          </w:p>
        </w:tc>
      </w:tr>
      <w:tr w14:paraId="700FF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6" w:type="pct"/>
            <w:shd w:val="clear" w:color="auto" w:fill="auto"/>
            <w:tcMar>
              <w:top w:w="120" w:type="dxa"/>
              <w:left w:w="120" w:type="dxa"/>
              <w:bottom w:w="120" w:type="dxa"/>
              <w:right w:w="120" w:type="dxa"/>
            </w:tcMar>
            <w:vAlign w:val="center"/>
          </w:tcPr>
          <w:p w14:paraId="3BF6A4F6">
            <w:pPr>
              <w:keepNext w:val="0"/>
              <w:keepLines w:val="0"/>
              <w:widowControl/>
              <w:suppressLineNumbers w:val="0"/>
              <w:spacing w:line="360" w:lineRule="auto"/>
              <w:jc w:val="center"/>
              <w:rPr>
                <w:color w:val="auto"/>
              </w:rPr>
            </w:pPr>
            <w:r>
              <w:rPr>
                <w:rFonts w:ascii="宋体" w:hAnsi="宋体" w:eastAsia="宋体" w:cs="宋体"/>
                <w:color w:val="auto"/>
                <w:kern w:val="0"/>
                <w:sz w:val="24"/>
                <w:szCs w:val="24"/>
                <w:lang w:val="en-US" w:eastAsia="zh-CN" w:bidi="ar"/>
              </w:rPr>
              <w:t>接线服务效能统计分析方案</w:t>
            </w:r>
          </w:p>
        </w:tc>
        <w:tc>
          <w:tcPr>
            <w:tcW w:w="665" w:type="pct"/>
            <w:shd w:val="clear" w:color="auto" w:fill="auto"/>
            <w:tcMar>
              <w:top w:w="120" w:type="dxa"/>
              <w:left w:w="120" w:type="dxa"/>
              <w:bottom w:w="120" w:type="dxa"/>
              <w:right w:w="120" w:type="dxa"/>
            </w:tcMar>
            <w:vAlign w:val="center"/>
          </w:tcPr>
          <w:p w14:paraId="041288B7">
            <w:pPr>
              <w:keepNext w:val="0"/>
              <w:keepLines w:val="0"/>
              <w:widowControl/>
              <w:suppressLineNumbers w:val="0"/>
              <w:spacing w:line="360" w:lineRule="auto"/>
              <w:jc w:val="center"/>
              <w:rPr>
                <w:rFonts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4</w:t>
            </w:r>
          </w:p>
        </w:tc>
        <w:tc>
          <w:tcPr>
            <w:tcW w:w="3547" w:type="pct"/>
            <w:shd w:val="clear" w:color="auto" w:fill="auto"/>
            <w:tcMar>
              <w:top w:w="120" w:type="dxa"/>
              <w:left w:w="120" w:type="dxa"/>
              <w:bottom w:w="120" w:type="dxa"/>
              <w:right w:w="120" w:type="dxa"/>
            </w:tcMar>
            <w:vAlign w:val="center"/>
          </w:tcPr>
          <w:p w14:paraId="00AFDFDB">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一、</w:t>
            </w:r>
            <w:r>
              <w:rPr>
                <w:rFonts w:ascii="宋体" w:hAnsi="宋体" w:eastAsia="宋体" w:cs="宋体"/>
                <w:b/>
                <w:bCs/>
                <w:color w:val="auto"/>
                <w:kern w:val="0"/>
                <w:sz w:val="24"/>
                <w:szCs w:val="24"/>
                <w:lang w:val="en-US" w:eastAsia="zh-CN" w:bidi="ar"/>
              </w:rPr>
              <w:t>评审内容：</w:t>
            </w:r>
            <w:r>
              <w:rPr>
                <w:rFonts w:ascii="宋体" w:hAnsi="宋体" w:eastAsia="宋体" w:cs="宋体"/>
                <w:color w:val="auto"/>
                <w:kern w:val="0"/>
                <w:sz w:val="24"/>
                <w:szCs w:val="24"/>
                <w:lang w:val="en-US" w:eastAsia="zh-CN" w:bidi="ar"/>
              </w:rPr>
              <w:t>投标人利用统计分析工具实现对报警接线服务数据的日、周、月常态化自动归集与汇总统计，核查是否重点统计接线总量、10 秒响应率、警情录入准确率、平均处置时长等核心接线运营管理指标，是否能形成规范的基础统计报表，为公安业务优化提供数据支撑。</w:t>
            </w:r>
          </w:p>
          <w:p w14:paraId="02D9A8F1">
            <w:pPr>
              <w:keepNext w:val="0"/>
              <w:keepLines w:val="0"/>
              <w:widowControl/>
              <w:numPr>
                <w:ilvl w:val="0"/>
                <w:numId w:val="0"/>
              </w:numPr>
              <w:suppressLineNumbers w:val="0"/>
              <w:spacing w:line="360" w:lineRule="auto"/>
              <w:jc w:val="left"/>
              <w:rPr>
                <w:rFonts w:ascii="宋体" w:hAnsi="宋体" w:eastAsia="宋体" w:cs="宋体"/>
                <w:b/>
                <w:bCs/>
                <w:color w:val="auto"/>
                <w:kern w:val="0"/>
                <w:sz w:val="24"/>
                <w:szCs w:val="24"/>
                <w:lang w:val="en-US" w:eastAsia="zh-CN" w:bidi="ar"/>
              </w:rPr>
            </w:pPr>
            <w:r>
              <w:rPr>
                <w:rFonts w:ascii="宋体" w:hAnsi="宋体" w:eastAsia="宋体" w:cs="宋体"/>
                <w:b/>
                <w:bCs/>
                <w:color w:val="auto"/>
                <w:kern w:val="0"/>
                <w:sz w:val="24"/>
                <w:szCs w:val="24"/>
                <w:lang w:val="en-US" w:eastAsia="zh-CN" w:bidi="ar"/>
              </w:rPr>
              <w:t>二、评分标准：</w:t>
            </w:r>
          </w:p>
          <w:p w14:paraId="43192953">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 方案覆盖警情数据分析全流程，可实现报警接线服务数据的日、周、月常态化自动归集与汇总统计；</w:t>
            </w:r>
          </w:p>
          <w:p w14:paraId="6A5F501A">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 方案重点覆盖接线总量、10 秒响应率、警情录入准确率、平均处置时长等核心接线运营管理指标，指标设置贴合 110 接警业务核心需求；</w:t>
            </w:r>
          </w:p>
          <w:p w14:paraId="0AEBEC97">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 方案可形成规范的基础统计报表，报表结构清晰、数据维度完整，可直接用于运营管理分析；</w:t>
            </w:r>
          </w:p>
          <w:p w14:paraId="07995062">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4. 方案可基于统计数据提出业务优化建议，为延安公安</w:t>
            </w:r>
            <w:r>
              <w:rPr>
                <w:rFonts w:hint="eastAsia" w:ascii="宋体" w:hAnsi="宋体" w:cs="宋体"/>
                <w:color w:val="auto"/>
                <w:kern w:val="0"/>
                <w:sz w:val="24"/>
                <w:szCs w:val="24"/>
                <w:lang w:val="en-US" w:eastAsia="zh-CN" w:bidi="ar"/>
              </w:rPr>
              <w:t>报警接线</w:t>
            </w:r>
            <w:r>
              <w:rPr>
                <w:rFonts w:ascii="宋体" w:hAnsi="宋体" w:eastAsia="宋体" w:cs="宋体"/>
                <w:color w:val="auto"/>
                <w:kern w:val="0"/>
                <w:sz w:val="24"/>
                <w:szCs w:val="24"/>
                <w:lang w:val="en-US" w:eastAsia="zh-CN" w:bidi="ar"/>
              </w:rPr>
              <w:t>服务业务优化提供数据支撑。</w:t>
            </w:r>
          </w:p>
          <w:p w14:paraId="23928B5A">
            <w:pPr>
              <w:keepNext w:val="0"/>
              <w:keepLines w:val="0"/>
              <w:widowControl/>
              <w:numPr>
                <w:ilvl w:val="0"/>
                <w:numId w:val="0"/>
              </w:numPr>
              <w:suppressLineNumbers w:val="0"/>
              <w:spacing w:line="360" w:lineRule="auto"/>
              <w:jc w:val="left"/>
              <w:rPr>
                <w:rFonts w:ascii="宋体" w:hAnsi="宋体" w:eastAsia="宋体" w:cs="宋体"/>
                <w:b/>
                <w:bCs/>
                <w:color w:val="auto"/>
                <w:kern w:val="0"/>
                <w:sz w:val="24"/>
                <w:szCs w:val="24"/>
                <w:lang w:val="en-US" w:eastAsia="zh-CN" w:bidi="ar"/>
              </w:rPr>
            </w:pPr>
            <w:r>
              <w:rPr>
                <w:rFonts w:ascii="宋体" w:hAnsi="宋体" w:eastAsia="宋体" w:cs="宋体"/>
                <w:b/>
                <w:bCs/>
                <w:color w:val="auto"/>
                <w:kern w:val="0"/>
                <w:sz w:val="24"/>
                <w:szCs w:val="24"/>
                <w:lang w:val="en-US" w:eastAsia="zh-CN" w:bidi="ar"/>
              </w:rPr>
              <w:t>三、赋分标准：</w:t>
            </w:r>
          </w:p>
          <w:p w14:paraId="03E71FD8">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 完全满足全部 4 项评分标准，方案覆盖接线服务</w:t>
            </w:r>
            <w:r>
              <w:rPr>
                <w:rFonts w:hint="eastAsia" w:ascii="宋体" w:hAnsi="宋体" w:cs="宋体"/>
                <w:color w:val="auto"/>
                <w:kern w:val="0"/>
                <w:sz w:val="24"/>
                <w:szCs w:val="24"/>
                <w:lang w:val="en-US" w:eastAsia="zh-CN" w:bidi="ar"/>
              </w:rPr>
              <w:t>运营效能指标</w:t>
            </w:r>
            <w:r>
              <w:rPr>
                <w:rFonts w:ascii="宋体" w:hAnsi="宋体" w:eastAsia="宋体" w:cs="宋体"/>
                <w:color w:val="auto"/>
                <w:kern w:val="0"/>
                <w:sz w:val="24"/>
                <w:szCs w:val="24"/>
                <w:lang w:val="en-US" w:eastAsia="zh-CN" w:bidi="ar"/>
              </w:rPr>
              <w:t xml:space="preserve">分析全流程，内容完整、逻辑清晰，完全贴合 110 接警业务实际需求，可实现全维度数据统计与分析，得 </w:t>
            </w:r>
            <w:r>
              <w:rPr>
                <w:rFonts w:hint="eastAsia" w:ascii="宋体" w:hAnsi="宋体" w:cs="宋体"/>
                <w:color w:val="auto"/>
                <w:kern w:val="0"/>
                <w:sz w:val="24"/>
                <w:szCs w:val="24"/>
                <w:lang w:val="en-US" w:eastAsia="zh-CN" w:bidi="ar"/>
              </w:rPr>
              <w:t>4</w:t>
            </w:r>
            <w:r>
              <w:rPr>
                <w:rFonts w:ascii="宋体" w:hAnsi="宋体" w:eastAsia="宋体" w:cs="宋体"/>
                <w:color w:val="auto"/>
                <w:kern w:val="0"/>
                <w:sz w:val="24"/>
                <w:szCs w:val="24"/>
                <w:lang w:val="en-US" w:eastAsia="zh-CN" w:bidi="ar"/>
              </w:rPr>
              <w:t xml:space="preserve"> 分；</w:t>
            </w:r>
          </w:p>
          <w:p w14:paraId="2ED9A16D">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 xml:space="preserve">2. 满足 3 项评分标准，方案基本完整，具备基础的数据分析流程和方法，可落地性一般，仅能覆盖核心指标统计，得 </w:t>
            </w:r>
            <w:r>
              <w:rPr>
                <w:rFonts w:hint="eastAsia" w:ascii="宋体" w:hAnsi="宋体" w:cs="宋体"/>
                <w:color w:val="auto"/>
                <w:kern w:val="0"/>
                <w:sz w:val="24"/>
                <w:szCs w:val="24"/>
                <w:lang w:val="en-US" w:eastAsia="zh-CN" w:bidi="ar"/>
              </w:rPr>
              <w:t>3</w:t>
            </w:r>
            <w:r>
              <w:rPr>
                <w:rFonts w:ascii="宋体" w:hAnsi="宋体" w:eastAsia="宋体" w:cs="宋体"/>
                <w:color w:val="auto"/>
                <w:kern w:val="0"/>
                <w:sz w:val="24"/>
                <w:szCs w:val="24"/>
                <w:lang w:val="en-US" w:eastAsia="zh-CN" w:bidi="ar"/>
              </w:rPr>
              <w:t xml:space="preserve"> 分；</w:t>
            </w:r>
          </w:p>
          <w:p w14:paraId="653FBD75">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 xml:space="preserve">3. 满足 2 项及以下评分标准，方案存在明显缺陷，未覆盖核心分析需求，无法满足数据统计要求，得 </w:t>
            </w:r>
            <w:r>
              <w:rPr>
                <w:rFonts w:hint="eastAsia" w:ascii="宋体" w:hAnsi="宋体" w:cs="宋体"/>
                <w:color w:val="auto"/>
                <w:kern w:val="0"/>
                <w:sz w:val="24"/>
                <w:szCs w:val="24"/>
                <w:lang w:val="en-US" w:eastAsia="zh-CN" w:bidi="ar"/>
              </w:rPr>
              <w:t>2</w:t>
            </w:r>
            <w:r>
              <w:rPr>
                <w:rFonts w:ascii="宋体" w:hAnsi="宋体" w:eastAsia="宋体" w:cs="宋体"/>
                <w:color w:val="auto"/>
                <w:kern w:val="0"/>
                <w:sz w:val="24"/>
                <w:szCs w:val="24"/>
                <w:lang w:val="en-US" w:eastAsia="zh-CN" w:bidi="ar"/>
              </w:rPr>
              <w:t xml:space="preserve"> 分；</w:t>
            </w:r>
          </w:p>
          <w:p w14:paraId="40925094">
            <w:pPr>
              <w:keepNext w:val="0"/>
              <w:keepLines w:val="0"/>
              <w:widowControl/>
              <w:numPr>
                <w:ilvl w:val="0"/>
                <w:numId w:val="0"/>
              </w:numPr>
              <w:suppressLineNumbers w:val="0"/>
              <w:spacing w:line="360" w:lineRule="auto"/>
              <w:jc w:val="left"/>
              <w:rPr>
                <w:color w:val="auto"/>
              </w:rPr>
            </w:pPr>
            <w:r>
              <w:rPr>
                <w:rFonts w:ascii="宋体" w:hAnsi="宋体" w:eastAsia="宋体" w:cs="宋体"/>
                <w:color w:val="auto"/>
                <w:kern w:val="0"/>
                <w:sz w:val="24"/>
                <w:szCs w:val="24"/>
                <w:lang w:val="en-US" w:eastAsia="zh-CN" w:bidi="ar"/>
              </w:rPr>
              <w:t>4. 未提供方案的，本项不得分。</w:t>
            </w:r>
          </w:p>
        </w:tc>
      </w:tr>
      <w:tr w14:paraId="218C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6" w:type="pct"/>
            <w:shd w:val="clear" w:color="auto" w:fill="auto"/>
            <w:tcMar>
              <w:top w:w="120" w:type="dxa"/>
              <w:left w:w="120" w:type="dxa"/>
              <w:bottom w:w="120" w:type="dxa"/>
              <w:right w:w="120" w:type="dxa"/>
            </w:tcMar>
            <w:vAlign w:val="center"/>
          </w:tcPr>
          <w:p w14:paraId="1BE8595D">
            <w:pPr>
              <w:keepNext w:val="0"/>
              <w:keepLines w:val="0"/>
              <w:widowControl/>
              <w:suppressLineNumbers w:val="0"/>
              <w:spacing w:line="360" w:lineRule="auto"/>
              <w:jc w:val="center"/>
              <w:rPr>
                <w:color w:val="auto"/>
                <w:highlight w:val="none"/>
              </w:rPr>
            </w:pPr>
            <w:r>
              <w:rPr>
                <w:rFonts w:ascii="宋体" w:hAnsi="宋体" w:eastAsia="宋体" w:cs="宋体"/>
                <w:color w:val="auto"/>
                <w:kern w:val="0"/>
                <w:sz w:val="24"/>
                <w:szCs w:val="24"/>
                <w:highlight w:val="none"/>
                <w:lang w:val="en-US" w:eastAsia="zh-CN" w:bidi="ar"/>
              </w:rPr>
              <w:t>风险管控方案</w:t>
            </w:r>
          </w:p>
        </w:tc>
        <w:tc>
          <w:tcPr>
            <w:tcW w:w="665" w:type="pct"/>
            <w:shd w:val="clear" w:color="auto" w:fill="auto"/>
            <w:tcMar>
              <w:top w:w="120" w:type="dxa"/>
              <w:left w:w="120" w:type="dxa"/>
              <w:bottom w:w="120" w:type="dxa"/>
              <w:right w:w="120" w:type="dxa"/>
            </w:tcMar>
            <w:vAlign w:val="center"/>
          </w:tcPr>
          <w:p w14:paraId="21F6FF7D">
            <w:pPr>
              <w:keepNext w:val="0"/>
              <w:keepLines w:val="0"/>
              <w:widowControl/>
              <w:suppressLineNumbers w:val="0"/>
              <w:spacing w:line="360" w:lineRule="auto"/>
              <w:jc w:val="center"/>
              <w:rPr>
                <w:rFonts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4</w:t>
            </w:r>
          </w:p>
        </w:tc>
        <w:tc>
          <w:tcPr>
            <w:tcW w:w="3547" w:type="pct"/>
            <w:shd w:val="clear" w:color="auto" w:fill="auto"/>
            <w:tcMar>
              <w:top w:w="120" w:type="dxa"/>
              <w:left w:w="120" w:type="dxa"/>
              <w:bottom w:w="120" w:type="dxa"/>
              <w:right w:w="120" w:type="dxa"/>
            </w:tcMar>
            <w:vAlign w:val="center"/>
          </w:tcPr>
          <w:p w14:paraId="02398A77">
            <w:pPr>
              <w:keepNext w:val="0"/>
              <w:keepLines w:val="0"/>
              <w:widowControl/>
              <w:numPr>
                <w:ilvl w:val="0"/>
                <w:numId w:val="0"/>
              </w:numPr>
              <w:suppressLineNumbers w:val="0"/>
              <w:spacing w:line="360" w:lineRule="auto"/>
              <w:jc w:val="left"/>
              <w:rPr>
                <w:rFonts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一、</w:t>
            </w:r>
            <w:r>
              <w:rPr>
                <w:rFonts w:ascii="宋体" w:hAnsi="宋体" w:eastAsia="宋体" w:cs="宋体"/>
                <w:b/>
                <w:bCs/>
                <w:color w:val="auto"/>
                <w:kern w:val="0"/>
                <w:sz w:val="24"/>
                <w:szCs w:val="24"/>
                <w:highlight w:val="none"/>
                <w:lang w:val="en-US" w:eastAsia="zh-CN" w:bidi="ar"/>
              </w:rPr>
              <w:t>评审内容：</w:t>
            </w:r>
            <w:r>
              <w:rPr>
                <w:rFonts w:ascii="宋体" w:hAnsi="宋体" w:eastAsia="宋体" w:cs="宋体"/>
                <w:color w:val="auto"/>
                <w:kern w:val="0"/>
                <w:sz w:val="24"/>
                <w:szCs w:val="24"/>
                <w:highlight w:val="none"/>
                <w:lang w:val="en-US" w:eastAsia="zh-CN" w:bidi="ar"/>
              </w:rPr>
              <w:t>投标人针对项目运营过程中的人员风险、业务风险、合规风险、信息安全风险、舆情风险等制定的风险识别、管控、处置方案，核查是否贴合公安服务项目的风险管控要求，是否具备完善的风险防控机制。</w:t>
            </w:r>
          </w:p>
          <w:p w14:paraId="6666ED5F">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二、</w:t>
            </w:r>
            <w:r>
              <w:rPr>
                <w:rFonts w:ascii="宋体" w:hAnsi="宋体" w:eastAsia="宋体" w:cs="宋体"/>
                <w:b/>
                <w:bCs/>
                <w:color w:val="auto"/>
                <w:kern w:val="0"/>
                <w:sz w:val="24"/>
                <w:szCs w:val="24"/>
                <w:highlight w:val="none"/>
                <w:lang w:val="en-US" w:eastAsia="zh-CN" w:bidi="ar"/>
              </w:rPr>
              <w:t>评分标准：</w:t>
            </w:r>
          </w:p>
          <w:p w14:paraId="5DC871A1">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1. 方案全面识别项目运营过程中的人员风险、业务风险、合规风险、信息安全风险、舆情风险等核心风险点；</w:t>
            </w:r>
          </w:p>
          <w:p w14:paraId="05612566">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2. 针对每个风险点制定了可落地的管控措施，风险防控优先级明确；</w:t>
            </w:r>
          </w:p>
          <w:p w14:paraId="1A909B1D">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3. 方案包含完善的风险应急处置流程，风险发生后可快速响应、规范处置，降低风险影响；</w:t>
            </w:r>
          </w:p>
          <w:p w14:paraId="2C3C1047">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4. 方案贴合公安服务项目的风险管控要求，无重大风险防控漏洞。</w:t>
            </w:r>
          </w:p>
          <w:p w14:paraId="2BA44BF9">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b/>
                <w:bCs/>
                <w:color w:val="auto"/>
                <w:kern w:val="0"/>
                <w:sz w:val="24"/>
                <w:szCs w:val="24"/>
                <w:highlight w:val="none"/>
                <w:lang w:val="en-US" w:eastAsia="zh-CN" w:bidi="ar"/>
              </w:rPr>
            </w:pPr>
            <w:r>
              <w:rPr>
                <w:rFonts w:ascii="宋体" w:hAnsi="宋体" w:eastAsia="宋体" w:cs="宋体"/>
                <w:b/>
                <w:bCs/>
                <w:color w:val="auto"/>
                <w:kern w:val="0"/>
                <w:sz w:val="24"/>
                <w:szCs w:val="24"/>
                <w:highlight w:val="none"/>
                <w:lang w:val="en-US" w:eastAsia="zh-CN" w:bidi="ar"/>
              </w:rPr>
              <w:t>三、赋分标准：</w:t>
            </w:r>
          </w:p>
          <w:p w14:paraId="61825AEC">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 xml:space="preserve">1. 完全满足全部 4 项评分标准，风险识别全面，管控措施到位，处置流程清晰，可有效防范各类运营风险，完全贴合公安服务项目风险管控要求，得 </w:t>
            </w:r>
            <w:r>
              <w:rPr>
                <w:rFonts w:hint="eastAsia" w:ascii="宋体" w:hAnsi="宋体" w:cs="宋体"/>
                <w:color w:val="auto"/>
                <w:kern w:val="0"/>
                <w:sz w:val="24"/>
                <w:szCs w:val="24"/>
                <w:highlight w:val="none"/>
                <w:lang w:val="en-US" w:eastAsia="zh-CN" w:bidi="ar"/>
              </w:rPr>
              <w:t>4</w:t>
            </w:r>
            <w:r>
              <w:rPr>
                <w:rFonts w:ascii="宋体" w:hAnsi="宋体" w:eastAsia="宋体" w:cs="宋体"/>
                <w:color w:val="auto"/>
                <w:kern w:val="0"/>
                <w:sz w:val="24"/>
                <w:szCs w:val="24"/>
                <w:highlight w:val="none"/>
                <w:lang w:val="en-US" w:eastAsia="zh-CN" w:bidi="ar"/>
              </w:rPr>
              <w:t>分；</w:t>
            </w:r>
          </w:p>
          <w:p w14:paraId="2ECBA022">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 xml:space="preserve">2. 满足 3 项评分标准，风险识别较全面，有基础的管控措施，可满足基础风险管控需求，无重大风险漏洞，得 </w:t>
            </w:r>
            <w:r>
              <w:rPr>
                <w:rFonts w:hint="eastAsia" w:ascii="宋体" w:hAnsi="宋体" w:cs="宋体"/>
                <w:color w:val="auto"/>
                <w:kern w:val="0"/>
                <w:sz w:val="24"/>
                <w:szCs w:val="24"/>
                <w:highlight w:val="none"/>
                <w:lang w:val="en-US" w:eastAsia="zh-CN" w:bidi="ar"/>
              </w:rPr>
              <w:t>3</w:t>
            </w:r>
            <w:r>
              <w:rPr>
                <w:rFonts w:ascii="宋体" w:hAnsi="宋体" w:eastAsia="宋体" w:cs="宋体"/>
                <w:color w:val="auto"/>
                <w:kern w:val="0"/>
                <w:sz w:val="24"/>
                <w:szCs w:val="24"/>
                <w:highlight w:val="none"/>
                <w:lang w:val="en-US" w:eastAsia="zh-CN" w:bidi="ar"/>
              </w:rPr>
              <w:t>分；</w:t>
            </w:r>
          </w:p>
          <w:p w14:paraId="392D942E">
            <w:pPr>
              <w:keepNext w:val="0"/>
              <w:keepLines w:val="0"/>
              <w:widowControl/>
              <w:numPr>
                <w:ilvl w:val="0"/>
                <w:numId w:val="0"/>
              </w:numPr>
              <w:suppressLineNumbers w:val="0"/>
              <w:spacing w:line="360" w:lineRule="auto"/>
              <w:ind w:left="0" w:leftChars="0" w:firstLine="0" w:firstLineChars="0"/>
              <w:jc w:val="left"/>
              <w:rPr>
                <w:rFonts w:ascii="宋体" w:hAnsi="宋体" w:eastAsia="宋体" w:cs="宋体"/>
                <w:color w:val="auto"/>
                <w:kern w:val="0"/>
                <w:sz w:val="24"/>
                <w:szCs w:val="24"/>
                <w:highlight w:val="none"/>
                <w:lang w:val="en-US" w:eastAsia="zh-CN" w:bidi="ar"/>
              </w:rPr>
            </w:pPr>
            <w:r>
              <w:rPr>
                <w:rFonts w:ascii="宋体" w:hAnsi="宋体" w:eastAsia="宋体" w:cs="宋体"/>
                <w:color w:val="auto"/>
                <w:kern w:val="0"/>
                <w:sz w:val="24"/>
                <w:szCs w:val="24"/>
                <w:highlight w:val="none"/>
                <w:lang w:val="en-US" w:eastAsia="zh-CN" w:bidi="ar"/>
              </w:rPr>
              <w:t>3. 满足 2 项及以下评分标准，方案存在明显漏洞，风险管控措施不可落地，无法有效防范核心风险，得 1 分；</w:t>
            </w:r>
          </w:p>
          <w:p w14:paraId="12886F33">
            <w:pPr>
              <w:keepNext w:val="0"/>
              <w:keepLines w:val="0"/>
              <w:widowControl/>
              <w:numPr>
                <w:ilvl w:val="0"/>
                <w:numId w:val="0"/>
              </w:numPr>
              <w:suppressLineNumbers w:val="0"/>
              <w:spacing w:line="360" w:lineRule="auto"/>
              <w:ind w:left="0" w:leftChars="0" w:firstLine="0" w:firstLineChars="0"/>
              <w:jc w:val="left"/>
              <w:rPr>
                <w:color w:val="auto"/>
                <w:highlight w:val="none"/>
              </w:rPr>
            </w:pPr>
            <w:r>
              <w:rPr>
                <w:rFonts w:ascii="宋体" w:hAnsi="宋体" w:eastAsia="宋体" w:cs="宋体"/>
                <w:color w:val="auto"/>
                <w:kern w:val="0"/>
                <w:sz w:val="24"/>
                <w:szCs w:val="24"/>
                <w:highlight w:val="none"/>
                <w:lang w:val="en-US" w:eastAsia="zh-CN" w:bidi="ar"/>
              </w:rPr>
              <w:t>4. 未提供方案的，本项不得分。</w:t>
            </w:r>
          </w:p>
        </w:tc>
      </w:tr>
      <w:tr w14:paraId="2CDCA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6" w:type="pct"/>
            <w:shd w:val="clear" w:color="auto" w:fill="auto"/>
            <w:tcMar>
              <w:top w:w="120" w:type="dxa"/>
              <w:left w:w="120" w:type="dxa"/>
              <w:bottom w:w="120" w:type="dxa"/>
              <w:right w:w="120" w:type="dxa"/>
            </w:tcMar>
            <w:vAlign w:val="center"/>
          </w:tcPr>
          <w:p w14:paraId="79D3539D">
            <w:pPr>
              <w:keepNext w:val="0"/>
              <w:keepLines w:val="0"/>
              <w:widowControl/>
              <w:suppressLineNumbers w:val="0"/>
              <w:spacing w:line="360" w:lineRule="auto"/>
              <w:jc w:val="center"/>
              <w:rPr>
                <w:rFonts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服务能力</w:t>
            </w:r>
          </w:p>
        </w:tc>
        <w:tc>
          <w:tcPr>
            <w:tcW w:w="665" w:type="pct"/>
            <w:shd w:val="clear" w:color="auto" w:fill="auto"/>
            <w:tcMar>
              <w:top w:w="120" w:type="dxa"/>
              <w:left w:w="120" w:type="dxa"/>
              <w:bottom w:w="120" w:type="dxa"/>
              <w:right w:w="120" w:type="dxa"/>
            </w:tcMar>
            <w:vAlign w:val="center"/>
          </w:tcPr>
          <w:p w14:paraId="5B5BC5B0">
            <w:pPr>
              <w:keepNext w:val="0"/>
              <w:keepLines w:val="0"/>
              <w:widowControl/>
              <w:suppressLineNumbers w:val="0"/>
              <w:spacing w:line="360" w:lineRule="auto"/>
              <w:jc w:val="center"/>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w:t>
            </w:r>
          </w:p>
        </w:tc>
        <w:tc>
          <w:tcPr>
            <w:tcW w:w="3547" w:type="pct"/>
            <w:shd w:val="clear" w:color="auto" w:fill="auto"/>
            <w:tcMar>
              <w:top w:w="120" w:type="dxa"/>
              <w:left w:w="120" w:type="dxa"/>
              <w:bottom w:w="120" w:type="dxa"/>
              <w:right w:w="120" w:type="dxa"/>
            </w:tcMar>
            <w:vAlign w:val="center"/>
          </w:tcPr>
          <w:p w14:paraId="3EE6E1A3">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一、评审内容：投标人提供项目现场支撑能力、服务响应时效等服务保障方案。</w:t>
            </w:r>
            <w:r>
              <w:rPr>
                <w:rFonts w:hint="eastAsia" w:ascii="宋体" w:hAnsi="宋体" w:eastAsia="宋体" w:cs="宋体"/>
                <w:color w:val="auto"/>
                <w:kern w:val="0"/>
                <w:sz w:val="24"/>
                <w:szCs w:val="24"/>
                <w:highlight w:val="none"/>
                <w:lang w:val="en-US" w:eastAsia="zh-CN" w:bidi="ar"/>
              </w:rPr>
              <w:br w:type="textWrapping"/>
            </w:r>
            <w:r>
              <w:rPr>
                <w:rFonts w:hint="eastAsia" w:ascii="宋体" w:hAnsi="宋体" w:eastAsia="宋体" w:cs="宋体"/>
                <w:color w:val="auto"/>
                <w:kern w:val="0"/>
                <w:sz w:val="24"/>
                <w:szCs w:val="24"/>
                <w:highlight w:val="none"/>
                <w:lang w:val="en-US" w:eastAsia="zh-CN" w:bidi="ar"/>
              </w:rPr>
              <w:t>二、评分标准：</w:t>
            </w:r>
          </w:p>
          <w:p w14:paraId="53C0DB5D">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 方案包含满足</w:t>
            </w:r>
            <w:r>
              <w:rPr>
                <w:rFonts w:hint="eastAsia" w:ascii="宋体" w:hAnsi="宋体" w:eastAsia="宋体" w:cs="宋体"/>
                <w:i w:val="0"/>
                <w:iCs w:val="0"/>
                <w:caps w:val="0"/>
                <w:color w:val="auto"/>
                <w:spacing w:val="0"/>
                <w:sz w:val="24"/>
                <w:szCs w:val="24"/>
                <w:shd w:val="clear" w:fill="FFFFFF"/>
                <w:lang w:eastAsia="zh-CN"/>
              </w:rPr>
              <w:t>延安市公安局市县两级</w:t>
            </w:r>
            <w:r>
              <w:rPr>
                <w:rFonts w:hint="eastAsia" w:ascii="宋体" w:hAnsi="宋体" w:eastAsia="宋体" w:cs="宋体"/>
                <w:color w:val="auto"/>
                <w:kern w:val="0"/>
                <w:sz w:val="24"/>
                <w:szCs w:val="24"/>
                <w:highlight w:val="none"/>
                <w:lang w:val="en-US" w:eastAsia="zh-CN" w:bidi="ar"/>
              </w:rPr>
              <w:t>110报警接线24小时保障服务需求；</w:t>
            </w:r>
          </w:p>
          <w:p w14:paraId="51D04993">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val="en-US" w:eastAsia="zh-CN" w:bidi="ar"/>
              </w:rPr>
              <w:t>. 方案包含现场管理制度与现场突发问题应急处置响应能力、服务响应时效等。</w:t>
            </w:r>
          </w:p>
          <w:p w14:paraId="49952325">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三、赋分标准：</w:t>
            </w:r>
          </w:p>
          <w:p w14:paraId="11D02B2B">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 具备完备成熟的服务保障体系，属地团队常驻值守、应急响应与综合服务能力突出，得3分；</w:t>
            </w:r>
          </w:p>
          <w:p w14:paraId="2269F9A0">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 具备完备成熟的服务保障体系，属地团队常驻值守、应急响应与综合服务能力</w:t>
            </w:r>
            <w:r>
              <w:rPr>
                <w:rFonts w:hint="eastAsia" w:ascii="宋体" w:hAnsi="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可基本满足项目日常服务需求，得1分；</w:t>
            </w:r>
          </w:p>
          <w:p w14:paraId="26176E7D">
            <w:pPr>
              <w:keepNext w:val="0"/>
              <w:keepLines w:val="0"/>
              <w:widowControl/>
              <w:suppressLineNumbers w:val="0"/>
              <w:spacing w:line="36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 未提供不得分。</w:t>
            </w:r>
          </w:p>
        </w:tc>
      </w:tr>
    </w:tbl>
    <w:p w14:paraId="6906547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0"/>
        <w:jc w:val="left"/>
        <w:textAlignment w:val="auto"/>
        <w:rPr>
          <w:rFonts w:hint="eastAsia" w:ascii="宋体" w:hAnsi="宋体" w:eastAsia="宋体" w:cs="宋体"/>
          <w:b w:val="0"/>
          <w:bCs w:val="0"/>
          <w:i w:val="0"/>
          <w:iCs w:val="0"/>
          <w:caps w:val="0"/>
          <w:color w:val="auto"/>
          <w:spacing w:val="0"/>
          <w:sz w:val="24"/>
          <w:szCs w:val="24"/>
          <w:shd w:val="clear" w:fill="FFFFFF"/>
        </w:rPr>
      </w:pPr>
      <w:r>
        <w:rPr>
          <w:rFonts w:hint="eastAsia" w:ascii="宋体" w:hAnsi="宋体" w:eastAsia="宋体" w:cs="宋体"/>
          <w:b w:val="0"/>
          <w:bCs w:val="0"/>
          <w:i w:val="0"/>
          <w:iCs w:val="0"/>
          <w:caps w:val="0"/>
          <w:color w:val="auto"/>
          <w:spacing w:val="0"/>
          <w:sz w:val="24"/>
          <w:szCs w:val="24"/>
          <w:shd w:val="clear" w:fill="FFFFFF"/>
        </w:rPr>
        <w:t>7</w:t>
      </w:r>
      <w:r>
        <w:rPr>
          <w:rFonts w:hint="eastAsia" w:ascii="宋体" w:hAnsi="宋体" w:eastAsia="宋体" w:cs="宋体"/>
          <w:b w:val="0"/>
          <w:bCs w:val="0"/>
          <w:i w:val="0"/>
          <w:iCs w:val="0"/>
          <w:caps w:val="0"/>
          <w:color w:val="auto"/>
          <w:spacing w:val="0"/>
          <w:sz w:val="24"/>
          <w:szCs w:val="24"/>
          <w:shd w:val="clear" w:fill="FFFFFF"/>
          <w:lang w:val="en-US" w:eastAsia="zh-CN"/>
        </w:rPr>
        <w:t>.</w:t>
      </w:r>
      <w:r>
        <w:rPr>
          <w:rFonts w:hint="eastAsia" w:ascii="宋体" w:hAnsi="宋体" w:eastAsia="宋体" w:cs="宋体"/>
          <w:b w:val="0"/>
          <w:bCs w:val="0"/>
          <w:i w:val="0"/>
          <w:iCs w:val="0"/>
          <w:caps w:val="0"/>
          <w:color w:val="auto"/>
          <w:spacing w:val="0"/>
          <w:sz w:val="24"/>
          <w:szCs w:val="24"/>
          <w:shd w:val="clear" w:fill="FFFFFF"/>
        </w:rPr>
        <w:t>其他事项说明：（落实的相关政策）</w:t>
      </w:r>
    </w:p>
    <w:p w14:paraId="1017EBA6">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1BF85FA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在货物采购项目中，投标人提供的货物既有中小企业制造货物，也有大型企业制造货物的，不享受政府采购价格扣除优惠政策。</w:t>
      </w:r>
    </w:p>
    <w:p w14:paraId="28D03F4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59735E1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0443A0B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参加政府采购活动的中小微企业应提供《中小企业声明函》原件。未提供上述声明函原件的，则投标文件无效。</w:t>
      </w:r>
    </w:p>
    <w:p w14:paraId="1C697FD3">
      <w:pPr>
        <w:spacing w:line="360" w:lineRule="auto"/>
        <w:ind w:firstLine="420"/>
        <w:rPr>
          <w:rFonts w:hint="eastAsia" w:ascii="宋体" w:hAnsi="宋体" w:eastAsia="宋体" w:cs="宋体"/>
          <w:b/>
          <w:bCs/>
          <w:color w:val="auto"/>
          <w:sz w:val="24"/>
          <w:lang w:eastAsia="zh-CN"/>
        </w:rPr>
      </w:pPr>
      <w:r>
        <w:rPr>
          <w:rFonts w:hint="eastAsia" w:ascii="宋体" w:hAnsi="宋体" w:eastAsia="宋体" w:cs="宋体"/>
          <w:b/>
          <w:bCs/>
          <w:color w:val="auto"/>
          <w:sz w:val="24"/>
        </w:rPr>
        <w:t>备注：</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中小企业划分标准参照《中小企业划型标准规定》（工信部联企业〔2011〕300号）执行</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2</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本项目标的物所属行业：</w:t>
      </w:r>
      <w:r>
        <w:rPr>
          <w:rFonts w:hint="eastAsia" w:ascii="宋体" w:hAnsi="宋体" w:eastAsia="宋体" w:cs="宋体"/>
          <w:b/>
          <w:bCs/>
          <w:color w:val="auto"/>
          <w:sz w:val="24"/>
          <w:u w:val="single"/>
          <w:lang w:eastAsia="zh-CN"/>
        </w:rPr>
        <w:t>信息传输业</w:t>
      </w:r>
      <w:r>
        <w:rPr>
          <w:rFonts w:hint="eastAsia" w:ascii="宋体" w:hAnsi="宋体" w:eastAsia="宋体" w:cs="宋体"/>
          <w:b/>
          <w:bCs/>
          <w:color w:val="auto"/>
          <w:sz w:val="24"/>
          <w:lang w:eastAsia="zh-CN"/>
        </w:rPr>
        <w:t>。</w:t>
      </w:r>
    </w:p>
    <w:p w14:paraId="5CC06CE6">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315EBAD9">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6217C725">
      <w:pPr>
        <w:spacing w:line="360" w:lineRule="auto"/>
        <w:ind w:firstLine="420" w:firstLineChars="0"/>
        <w:rPr>
          <w:rFonts w:hint="eastAsia" w:ascii="宋体" w:hAnsi="宋体" w:eastAsia="宋体" w:cs="宋体"/>
          <w:color w:val="auto"/>
          <w:sz w:val="24"/>
        </w:rPr>
      </w:pPr>
      <w:r>
        <w:rPr>
          <w:rFonts w:hint="eastAsia" w:ascii="宋体" w:hAnsi="宋体" w:eastAsia="宋体" w:cs="宋体"/>
          <w:color w:val="auto"/>
          <w:sz w:val="24"/>
        </w:rPr>
        <w:t>参加政府采购活动的残疾人</w:t>
      </w:r>
      <w:r>
        <w:rPr>
          <w:rFonts w:hint="eastAsia" w:ascii="宋体" w:hAnsi="宋体" w:eastAsia="宋体" w:cs="宋体"/>
          <w:color w:val="auto"/>
          <w:sz w:val="24"/>
          <w:lang w:val="en-US" w:eastAsia="zh-CN"/>
        </w:rPr>
        <w:t>单</w:t>
      </w:r>
      <w:r>
        <w:rPr>
          <w:rFonts w:hint="eastAsia" w:ascii="宋体" w:hAnsi="宋体" w:eastAsia="宋体" w:cs="宋体"/>
          <w:color w:val="auto"/>
          <w:sz w:val="24"/>
        </w:rPr>
        <w:t>位应提供《残疾人福利性单位声明函》原件。未提供上述声明函原件的，则投标文件无效。</w:t>
      </w:r>
    </w:p>
    <w:p w14:paraId="71817319">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29CB9B81">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7C3F511E">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31805ED1">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0407ABFF">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（8）节能产品政府采购品目清单详见财政部、发展改革委《关于印发节能产品政府采购品目清单的通知》（财库〔2019〕19号）。</w:t>
      </w:r>
    </w:p>
    <w:p w14:paraId="58AE9925">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（9）环境标志产品政府采购品目清单详见财政部、生态环境部《关于印发环境标志产品政府采购品目清单的通知》（财库〔2019〕18号）。</w:t>
      </w:r>
    </w:p>
    <w:p w14:paraId="180B4397">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（10）国家确定的节能产品、环境标志产品认证机构详见市场监管总局《关于发布参与实施政府采购节能产品、环境标志产品认证机构名录的公告》(2019年第16号）。</w:t>
      </w:r>
    </w:p>
    <w:p w14:paraId="1432E20D">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0CD091DD">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38672EBF">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3DF43AD9">
      <w:pPr>
        <w:spacing w:line="360" w:lineRule="auto"/>
        <w:ind w:firstLine="420"/>
        <w:rPr>
          <w:rFonts w:hint="eastAsia" w:ascii="宋体" w:hAnsi="宋体" w:eastAsia="宋体" w:cs="宋体"/>
          <w:color w:val="auto"/>
          <w:sz w:val="24"/>
        </w:rPr>
      </w:pPr>
      <w:r>
        <w:rPr>
          <w:rFonts w:hint="eastAsia" w:ascii="宋体" w:hAnsi="宋体" w:eastAsia="宋体" w:cs="宋体"/>
          <w:color w:val="auto"/>
          <w:sz w:val="24"/>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0FBAD4FB">
      <w:pPr>
        <w:shd w:val="clear"/>
        <w:spacing w:line="360" w:lineRule="auto"/>
        <w:ind w:firstLine="480" w:firstLineChars="200"/>
        <w:rPr>
          <w:rFonts w:hint="eastAsia" w:ascii="宋体" w:hAnsi="宋体" w:eastAsia="宋体" w:cs="宋体"/>
          <w:color w:val="auto"/>
          <w:spacing w:val="0"/>
          <w:position w:val="0"/>
          <w:sz w:val="24"/>
          <w:szCs w:val="24"/>
          <w:highlight w:val="none"/>
          <w:lang w:bidi="ar"/>
        </w:rPr>
      </w:pPr>
      <w:r>
        <w:rPr>
          <w:rFonts w:hint="eastAsia" w:ascii="宋体" w:hAnsi="宋体" w:eastAsia="宋体" w:cs="宋体"/>
          <w:b w:val="0"/>
          <w:bCs/>
          <w:color w:val="auto"/>
          <w:sz w:val="24"/>
          <w:highlight w:val="none"/>
          <w:lang w:val="en-US" w:eastAsia="zh-CN"/>
        </w:rPr>
        <w:t>（15）</w:t>
      </w:r>
      <w:r>
        <w:rPr>
          <w:rFonts w:hint="eastAsia" w:ascii="宋体" w:hAnsi="宋体" w:eastAsia="宋体" w:cs="宋体"/>
          <w:color w:val="auto"/>
          <w:spacing w:val="0"/>
          <w:position w:val="0"/>
          <w:sz w:val="24"/>
          <w:szCs w:val="24"/>
          <w:highlight w:val="none"/>
          <w:lang w:val="en-US" w:eastAsia="zh-CN" w:bidi="ar"/>
        </w:rPr>
        <w:t>根据《国务院办公厅关于在政府采购中实施本国产品标准及相关政策的通知》（国办发〔2025〕34号）</w:t>
      </w:r>
      <w:r>
        <w:rPr>
          <w:rFonts w:hint="eastAsia" w:ascii="宋体" w:hAnsi="宋体" w:eastAsia="宋体" w:cs="宋体"/>
          <w:color w:val="auto"/>
          <w:spacing w:val="0"/>
          <w:position w:val="0"/>
          <w:sz w:val="24"/>
          <w:szCs w:val="24"/>
          <w:highlight w:val="none"/>
          <w:lang w:bidi="ar"/>
        </w:rPr>
        <w:t>的规定，政府采购活动中既有本国产品又有非本国产品参与竞争的，依法对本国产品给予价格评审优惠，对本国产品的报价给予20%的价格扣除，用扣除后的价格参与评审。</w:t>
      </w:r>
    </w:p>
    <w:p w14:paraId="45B4A3B7">
      <w:pPr>
        <w:spacing w:line="360" w:lineRule="auto"/>
        <w:ind w:firstLine="600" w:firstLineChars="250"/>
        <w:rPr>
          <w:rFonts w:hint="eastAsia" w:ascii="宋体" w:hAnsi="宋体" w:eastAsia="宋体" w:cs="宋体"/>
          <w:color w:val="auto"/>
          <w:spacing w:val="0"/>
          <w:position w:val="0"/>
          <w:sz w:val="24"/>
          <w:szCs w:val="24"/>
          <w:highlight w:val="none"/>
          <w:lang w:eastAsia="zh-CN" w:bidi="ar"/>
        </w:rPr>
      </w:pPr>
      <w:r>
        <w:rPr>
          <w:rFonts w:hint="eastAsia" w:ascii="宋体" w:hAnsi="宋体" w:eastAsia="宋体" w:cs="宋体"/>
          <w:color w:val="auto"/>
          <w:spacing w:val="0"/>
          <w:position w:val="0"/>
          <w:sz w:val="24"/>
          <w:szCs w:val="24"/>
          <w:highlight w:val="none"/>
          <w:lang w:bidi="ar"/>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w:t>
      </w:r>
      <w:r>
        <w:rPr>
          <w:rFonts w:hint="eastAsia" w:ascii="宋体" w:hAnsi="宋体" w:eastAsia="宋体" w:cs="宋体"/>
          <w:color w:val="auto"/>
          <w:spacing w:val="0"/>
          <w:position w:val="0"/>
          <w:sz w:val="24"/>
          <w:szCs w:val="24"/>
          <w:highlight w:val="none"/>
          <w:lang w:eastAsia="zh-CN" w:bidi="ar"/>
        </w:rPr>
        <w:t>。</w:t>
      </w:r>
    </w:p>
    <w:p w14:paraId="0D103C79">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中标</w:t>
      </w:r>
      <w:r>
        <w:rPr>
          <w:rFonts w:hint="eastAsia" w:ascii="宋体" w:hAnsi="宋体" w:eastAsia="宋体" w:cs="宋体"/>
          <w:color w:val="auto"/>
          <w:sz w:val="24"/>
        </w:rPr>
        <w:t>供应商确定后，</w:t>
      </w:r>
      <w:r>
        <w:rPr>
          <w:rFonts w:hint="eastAsia" w:ascii="宋体" w:hAnsi="宋体" w:eastAsia="宋体" w:cs="宋体"/>
          <w:color w:val="auto"/>
          <w:sz w:val="24"/>
          <w:lang w:val="en-US" w:eastAsia="zh-CN"/>
        </w:rPr>
        <w:t>中标</w:t>
      </w:r>
      <w:r>
        <w:rPr>
          <w:rFonts w:hint="eastAsia" w:ascii="宋体" w:hAnsi="宋体" w:eastAsia="宋体" w:cs="宋体"/>
          <w:color w:val="auto"/>
          <w:sz w:val="24"/>
        </w:rPr>
        <w:t>供应商无正当理由拖延或拒签合同的，采购人有权取消其</w:t>
      </w:r>
      <w:r>
        <w:rPr>
          <w:rFonts w:hint="eastAsia" w:ascii="宋体" w:hAnsi="宋体" w:eastAsia="宋体" w:cs="宋体"/>
          <w:color w:val="auto"/>
          <w:sz w:val="24"/>
          <w:lang w:val="en-US" w:eastAsia="zh-CN"/>
        </w:rPr>
        <w:t>中标</w:t>
      </w:r>
      <w:r>
        <w:rPr>
          <w:rFonts w:hint="eastAsia" w:ascii="宋体" w:hAnsi="宋体" w:eastAsia="宋体" w:cs="宋体"/>
          <w:color w:val="auto"/>
          <w:sz w:val="24"/>
        </w:rPr>
        <w:t>资格，并按评审顺序重新确定</w:t>
      </w:r>
      <w:r>
        <w:rPr>
          <w:rFonts w:hint="eastAsia" w:ascii="宋体" w:hAnsi="宋体" w:eastAsia="宋体" w:cs="宋体"/>
          <w:color w:val="auto"/>
          <w:sz w:val="24"/>
          <w:lang w:val="en-US" w:eastAsia="zh-CN"/>
        </w:rPr>
        <w:t>中标</w:t>
      </w:r>
      <w:r>
        <w:rPr>
          <w:rFonts w:hint="eastAsia" w:ascii="宋体" w:hAnsi="宋体" w:eastAsia="宋体" w:cs="宋体"/>
          <w:color w:val="auto"/>
          <w:sz w:val="24"/>
        </w:rPr>
        <w:t>单位</w:t>
      </w:r>
      <w:r>
        <w:rPr>
          <w:rFonts w:hint="eastAsia" w:ascii="宋体" w:hAnsi="宋体" w:eastAsia="宋体" w:cs="宋体"/>
          <w:color w:val="auto"/>
          <w:sz w:val="24"/>
          <w:lang w:val="en-US" w:eastAsia="zh-CN"/>
        </w:rPr>
        <w:t>或重新组织招标</w:t>
      </w:r>
      <w:r>
        <w:rPr>
          <w:rFonts w:hint="eastAsia" w:ascii="宋体" w:hAnsi="宋体" w:eastAsia="宋体" w:cs="宋体"/>
          <w:color w:val="auto"/>
          <w:sz w:val="24"/>
        </w:rPr>
        <w:t>。同时报请监督机构予以通报，禁止其进入政府采购市场。</w:t>
      </w:r>
    </w:p>
    <w:p w14:paraId="0AE7F80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firstLineChars="0"/>
        <w:jc w:val="left"/>
        <w:textAlignment w:val="auto"/>
        <w:rPr>
          <w:rFonts w:hint="eastAsia" w:ascii="宋体" w:hAnsi="宋体" w:eastAsia="宋体" w:cs="宋体"/>
          <w:b w:val="0"/>
          <w:bCs w:val="0"/>
          <w:i w:val="0"/>
          <w:iCs w:val="0"/>
          <w:caps w:val="0"/>
          <w:color w:val="auto"/>
          <w:spacing w:val="0"/>
          <w:sz w:val="24"/>
          <w:szCs w:val="24"/>
          <w:shd w:val="clear" w:fill="FFFFFF"/>
        </w:rPr>
      </w:pPr>
      <w:r>
        <w:rPr>
          <w:rFonts w:hint="eastAsia" w:ascii="宋体" w:hAnsi="宋体" w:eastAsia="宋体" w:cs="宋体"/>
          <w:b w:val="0"/>
          <w:bCs w:val="0"/>
          <w:i w:val="0"/>
          <w:iCs w:val="0"/>
          <w:caps w:val="0"/>
          <w:color w:val="auto"/>
          <w:spacing w:val="0"/>
          <w:sz w:val="24"/>
          <w:szCs w:val="24"/>
          <w:shd w:val="clear" w:fill="FFFFFF"/>
        </w:rPr>
        <w:t>8</w:t>
      </w:r>
      <w:r>
        <w:rPr>
          <w:rFonts w:hint="eastAsia" w:ascii="宋体" w:hAnsi="宋体" w:eastAsia="宋体" w:cs="宋体"/>
          <w:b w:val="0"/>
          <w:bCs w:val="0"/>
          <w:i w:val="0"/>
          <w:iCs w:val="0"/>
          <w:caps w:val="0"/>
          <w:color w:val="auto"/>
          <w:spacing w:val="0"/>
          <w:sz w:val="24"/>
          <w:szCs w:val="24"/>
          <w:shd w:val="clear" w:fill="FFFFFF"/>
          <w:lang w:val="en-US" w:eastAsia="zh-CN"/>
        </w:rPr>
        <w:t>.</w:t>
      </w:r>
      <w:r>
        <w:rPr>
          <w:rFonts w:hint="eastAsia" w:ascii="宋体" w:hAnsi="宋体" w:eastAsia="宋体" w:cs="宋体"/>
          <w:b w:val="0"/>
          <w:bCs w:val="0"/>
          <w:i w:val="0"/>
          <w:iCs w:val="0"/>
          <w:caps w:val="0"/>
          <w:color w:val="auto"/>
          <w:spacing w:val="0"/>
          <w:sz w:val="24"/>
          <w:szCs w:val="24"/>
          <w:shd w:val="clear" w:fill="FFFFFF"/>
        </w:rPr>
        <w:t xml:space="preserve">定标 </w:t>
      </w:r>
    </w:p>
    <w:p w14:paraId="25DFE5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（1）采购代理机构在评标结束后2个工作日内将评标结果报告送达采购人，采购人在收到评标结果报告后5个工作日内，按照评标结果报告中推荐的中标候选人顺序确定中标人，同时书面复函采购代理机构；</w:t>
      </w:r>
    </w:p>
    <w:p w14:paraId="47EC97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（2）采购代理机构收到采购人“中标复函”后，在财政部门指定的政府采购信息媒体上发布公告，公示期满无异议，向中标人发出“中标通知书”。 </w:t>
      </w:r>
    </w:p>
    <w:p w14:paraId="6279F2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43" w:firstLineChars="200"/>
        <w:jc w:val="center"/>
        <w:textAlignment w:val="auto"/>
        <w:rPr>
          <w:rStyle w:val="22"/>
          <w:rFonts w:hint="eastAsia" w:ascii="宋体" w:hAnsi="宋体" w:eastAsia="宋体" w:cs="宋体"/>
          <w:b/>
          <w:bCs/>
          <w:i w:val="0"/>
          <w:iCs w:val="0"/>
          <w:caps w:val="0"/>
          <w:color w:val="auto"/>
          <w:spacing w:val="0"/>
          <w:sz w:val="32"/>
          <w:szCs w:val="32"/>
          <w:shd w:val="clear" w:fill="FFFFFF"/>
        </w:rPr>
      </w:pPr>
      <w:r>
        <w:rPr>
          <w:rStyle w:val="22"/>
          <w:rFonts w:hint="eastAsia" w:ascii="宋体" w:hAnsi="宋体" w:eastAsia="宋体" w:cs="宋体"/>
          <w:b/>
          <w:bCs/>
          <w:i w:val="0"/>
          <w:iCs w:val="0"/>
          <w:caps w:val="0"/>
          <w:color w:val="auto"/>
          <w:spacing w:val="0"/>
          <w:sz w:val="32"/>
          <w:szCs w:val="32"/>
          <w:shd w:val="clear" w:fill="FFFFFF"/>
        </w:rPr>
        <w:t>七、签订合同</w:t>
      </w:r>
    </w:p>
    <w:p w14:paraId="1E19CE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val="en-US" w:eastAsia="zh-CN"/>
        </w:rPr>
        <w:t>.</w:t>
      </w:r>
      <w:r>
        <w:rPr>
          <w:rFonts w:hint="eastAsia" w:ascii="宋体" w:hAnsi="宋体" w:eastAsia="宋体" w:cs="宋体"/>
          <w:color w:val="auto"/>
          <w:sz w:val="24"/>
        </w:rPr>
        <w:t>定标后，中标人在收到中标通知书后十五（15）个日历日内，应按招标文件的要求与采购人洽谈合同条款，并签订采购合同，招标文件及中标人投标文件均作为合同的组成部分；</w:t>
      </w:r>
    </w:p>
    <w:p w14:paraId="2CDBEF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w:t>
      </w:r>
      <w:r>
        <w:rPr>
          <w:rFonts w:hint="eastAsia" w:ascii="宋体" w:hAnsi="宋体" w:eastAsia="宋体" w:cs="宋体"/>
          <w:color w:val="auto"/>
          <w:sz w:val="24"/>
        </w:rPr>
        <w:t>实行预付款支持：采购人要全面落实对中小企业中标（成交）的政府采购项目实行预付款的政策，授予中小企业政府采购合同预付款比例不得低于合同价款的40%，其中对以人工投入为主且实行按月定期支付款项的项目预付款可低于上述比例或者不约定预付款。</w:t>
      </w:r>
    </w:p>
    <w:p w14:paraId="6B4094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val="en-US" w:eastAsia="zh-CN"/>
        </w:rPr>
        <w:t>.</w:t>
      </w:r>
      <w:r>
        <w:rPr>
          <w:rFonts w:hint="eastAsia" w:ascii="宋体" w:hAnsi="宋体" w:eastAsia="宋体" w:cs="宋体"/>
          <w:color w:val="auto"/>
          <w:sz w:val="24"/>
        </w:rPr>
        <w:t>政府采购合同履行中，采购人需追加与合同标的相同的服务的，在不改变合同其他条款的前提下，可以与中标人协商签订补充合同，但所有补充合同的采购金额不得超过原合同采购金额的百分之十；</w:t>
      </w:r>
    </w:p>
    <w:p w14:paraId="2F536D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val="en-US" w:eastAsia="zh-CN"/>
        </w:rPr>
        <w:t>.</w:t>
      </w:r>
      <w:r>
        <w:rPr>
          <w:rFonts w:hint="eastAsia" w:ascii="宋体" w:hAnsi="宋体" w:eastAsia="宋体" w:cs="宋体"/>
          <w:color w:val="auto"/>
          <w:sz w:val="24"/>
        </w:rPr>
        <w:t>根据需要，采购代理机构可会同采购人负责监督、协调和处理履约过程中出现的问题；</w:t>
      </w:r>
    </w:p>
    <w:p w14:paraId="6018D3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30"/>
          <w:szCs w:val="30"/>
        </w:rPr>
      </w:pPr>
      <w:r>
        <w:rPr>
          <w:rFonts w:hint="eastAsia" w:ascii="宋体" w:hAnsi="宋体" w:eastAsia="宋体" w:cs="宋体"/>
          <w:color w:val="auto"/>
          <w:sz w:val="24"/>
        </w:rPr>
        <w:t>5</w:t>
      </w:r>
      <w:r>
        <w:rPr>
          <w:rFonts w:hint="eastAsia" w:ascii="宋体" w:hAnsi="宋体" w:eastAsia="宋体" w:cs="宋体"/>
          <w:color w:val="auto"/>
          <w:sz w:val="24"/>
          <w:lang w:val="en-US" w:eastAsia="zh-CN"/>
        </w:rPr>
        <w:t>.</w:t>
      </w:r>
      <w:r>
        <w:rPr>
          <w:rFonts w:hint="eastAsia" w:ascii="宋体" w:hAnsi="宋体" w:eastAsia="宋体" w:cs="宋体"/>
          <w:color w:val="auto"/>
          <w:sz w:val="24"/>
        </w:rPr>
        <w:t>政府采购管理部门在合同履行期间以及履行期后，可以随时检查项目的执行情况，对采购标准、采购内容进行调查核实，并对发现的问题进行处理。</w:t>
      </w:r>
    </w:p>
    <w:p w14:paraId="73B9081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43" w:firstLineChars="200"/>
        <w:jc w:val="center"/>
        <w:textAlignment w:val="auto"/>
        <w:rPr>
          <w:rStyle w:val="22"/>
          <w:rFonts w:hint="eastAsia" w:ascii="宋体" w:hAnsi="宋体" w:eastAsia="宋体" w:cs="宋体"/>
          <w:b/>
          <w:bCs/>
          <w:i w:val="0"/>
          <w:iCs w:val="0"/>
          <w:caps w:val="0"/>
          <w:color w:val="auto"/>
          <w:spacing w:val="0"/>
          <w:sz w:val="32"/>
          <w:szCs w:val="32"/>
          <w:shd w:val="clear" w:fill="FFFFFF"/>
        </w:rPr>
      </w:pPr>
      <w:r>
        <w:rPr>
          <w:rStyle w:val="22"/>
          <w:rFonts w:hint="eastAsia" w:ascii="宋体" w:hAnsi="宋体" w:eastAsia="宋体" w:cs="宋体"/>
          <w:b/>
          <w:bCs/>
          <w:i w:val="0"/>
          <w:iCs w:val="0"/>
          <w:caps w:val="0"/>
          <w:color w:val="auto"/>
          <w:spacing w:val="0"/>
          <w:sz w:val="32"/>
          <w:szCs w:val="32"/>
          <w:shd w:val="clear" w:fill="FFFFFF"/>
        </w:rPr>
        <w:t>八、中标服务费</w:t>
      </w:r>
    </w:p>
    <w:p w14:paraId="3DC70D73">
      <w:pPr>
        <w:spacing w:line="360" w:lineRule="auto"/>
        <w:jc w:val="center"/>
        <w:rPr>
          <w:rFonts w:hint="eastAsia" w:ascii="宋体" w:hAnsi="宋体" w:eastAsia="宋体" w:cs="宋体"/>
          <w:b/>
          <w:color w:val="auto"/>
          <w:sz w:val="30"/>
          <w:szCs w:val="30"/>
        </w:rPr>
      </w:pPr>
    </w:p>
    <w:p w14:paraId="7DBDE1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val="en-US" w:eastAsia="zh-CN"/>
        </w:rPr>
        <w:t>.</w:t>
      </w:r>
      <w:r>
        <w:rPr>
          <w:rFonts w:hint="eastAsia" w:ascii="宋体" w:hAnsi="宋体" w:eastAsia="宋体" w:cs="宋体"/>
          <w:color w:val="auto"/>
          <w:sz w:val="24"/>
        </w:rPr>
        <w:t>中标服务费按约定由</w:t>
      </w:r>
      <w:r>
        <w:rPr>
          <w:rFonts w:hint="eastAsia" w:ascii="宋体" w:hAnsi="宋体" w:eastAsia="宋体" w:cs="宋体"/>
          <w:color w:val="auto"/>
          <w:sz w:val="24"/>
          <w:highlight w:val="none"/>
        </w:rPr>
        <w:t>中标</w:t>
      </w:r>
      <w:r>
        <w:rPr>
          <w:rFonts w:hint="eastAsia" w:ascii="宋体" w:hAnsi="宋体" w:eastAsia="宋体" w:cs="宋体"/>
          <w:color w:val="auto"/>
          <w:sz w:val="24"/>
          <w:highlight w:val="none"/>
          <w:lang w:val="en-US" w:eastAsia="zh-CN"/>
        </w:rPr>
        <w:t>单位</w:t>
      </w:r>
      <w:r>
        <w:rPr>
          <w:rFonts w:hint="eastAsia" w:ascii="宋体" w:hAnsi="宋体" w:eastAsia="宋体" w:cs="宋体"/>
          <w:color w:val="auto"/>
          <w:sz w:val="24"/>
        </w:rPr>
        <w:t>支付。</w:t>
      </w:r>
    </w:p>
    <w:p w14:paraId="77D659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w:t>
      </w:r>
      <w:r>
        <w:rPr>
          <w:rFonts w:hint="eastAsia" w:ascii="宋体" w:hAnsi="宋体" w:eastAsia="宋体" w:cs="宋体"/>
          <w:color w:val="auto"/>
          <w:sz w:val="24"/>
          <w:highlight w:val="none"/>
        </w:rPr>
        <w:t>中标</w:t>
      </w:r>
      <w:r>
        <w:rPr>
          <w:rFonts w:hint="eastAsia" w:ascii="宋体" w:hAnsi="宋体" w:eastAsia="宋体" w:cs="宋体"/>
          <w:color w:val="auto"/>
          <w:sz w:val="24"/>
          <w:highlight w:val="none"/>
          <w:lang w:val="en-US" w:eastAsia="zh-CN"/>
        </w:rPr>
        <w:t>单位</w:t>
      </w:r>
      <w:r>
        <w:rPr>
          <w:rFonts w:hint="eastAsia" w:ascii="宋体" w:hAnsi="宋体" w:eastAsia="宋体" w:cs="宋体"/>
          <w:color w:val="auto"/>
          <w:sz w:val="24"/>
        </w:rPr>
        <w:t>应依据中标金额向采购代理机构交纳中标服务费，</w:t>
      </w:r>
      <w:r>
        <w:rPr>
          <w:rFonts w:hint="eastAsia" w:ascii="宋体" w:hAnsi="宋体" w:eastAsia="宋体" w:cs="宋体"/>
          <w:color w:val="auto"/>
          <w:sz w:val="24"/>
          <w:szCs w:val="24"/>
        </w:rPr>
        <w:t>代理费收费标准根据《国家发展改革委关于进一步放开建设项目专业服务价格的通知》发改价格〔2015〕299号文件的规定参照原国家计委颁布的《招标代理服务收费管理暂行办法》（计价格[2002]1980号）及发改办价格[2003]857号文件的规定标准收取</w:t>
      </w:r>
      <w:r>
        <w:rPr>
          <w:rFonts w:hint="eastAsia" w:ascii="宋体" w:hAnsi="宋体" w:eastAsia="宋体" w:cs="宋体"/>
          <w:color w:val="auto"/>
          <w:sz w:val="24"/>
        </w:rPr>
        <w:t>。</w:t>
      </w:r>
    </w:p>
    <w:p w14:paraId="6A8DC1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val="en-US" w:eastAsia="zh-CN"/>
        </w:rPr>
        <w:t>.</w:t>
      </w:r>
      <w:r>
        <w:rPr>
          <w:rFonts w:hint="eastAsia" w:ascii="宋体" w:hAnsi="宋体" w:eastAsia="宋体" w:cs="宋体"/>
          <w:color w:val="auto"/>
          <w:sz w:val="24"/>
        </w:rPr>
        <w:t>本项目代理服务费按</w:t>
      </w:r>
      <w:r>
        <w:rPr>
          <w:rFonts w:hint="eastAsia" w:ascii="宋体" w:hAnsi="宋体" w:cs="宋体"/>
          <w:color w:val="auto"/>
          <w:sz w:val="24"/>
          <w:lang w:val="en-US" w:eastAsia="zh-CN"/>
        </w:rPr>
        <w:t>服务</w:t>
      </w:r>
      <w:r>
        <w:rPr>
          <w:rFonts w:hint="eastAsia" w:ascii="宋体" w:hAnsi="宋体" w:eastAsia="宋体" w:cs="宋体"/>
          <w:color w:val="auto"/>
          <w:sz w:val="24"/>
        </w:rPr>
        <w:t>计取。</w:t>
      </w:r>
    </w:p>
    <w:tbl>
      <w:tblPr>
        <w:tblStyle w:val="1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14"/>
        <w:gridCol w:w="2117"/>
        <w:gridCol w:w="2417"/>
        <w:gridCol w:w="2417"/>
      </w:tblGrid>
      <w:tr w14:paraId="77BF2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404" w:type="pct"/>
            <w:tcBorders>
              <w:top w:val="single" w:color="auto" w:sz="4" w:space="0"/>
              <w:left w:val="single" w:color="auto" w:sz="4" w:space="0"/>
              <w:bottom w:val="single" w:color="auto" w:sz="4" w:space="0"/>
              <w:right w:val="single" w:color="auto" w:sz="4" w:space="0"/>
            </w:tcBorders>
            <w:vAlign w:val="center"/>
          </w:tcPr>
          <w:p w14:paraId="5D73258E">
            <w:pPr>
              <w:pStyle w:val="16"/>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2" w:firstLineChars="200"/>
              <w:jc w:val="center"/>
              <w:textAlignment w:val="auto"/>
              <w:rPr>
                <w:rFonts w:hint="eastAsia" w:ascii="宋体" w:hAnsi="宋体" w:eastAsia="宋体" w:cs="宋体"/>
                <w:color w:val="auto"/>
              </w:rPr>
            </w:pPr>
            <w:r>
              <w:rPr>
                <w:rFonts w:hint="eastAsia" w:ascii="宋体" w:hAnsi="宋体" w:eastAsia="宋体" w:cs="宋体"/>
                <w:b/>
                <w:color w:val="auto"/>
              </w:rPr>
              <w:t>中标金额（万元）</w:t>
            </w:r>
          </w:p>
        </w:tc>
        <w:tc>
          <w:tcPr>
            <w:tcW w:w="1095" w:type="pct"/>
            <w:tcBorders>
              <w:top w:val="single" w:color="auto" w:sz="4" w:space="0"/>
              <w:left w:val="single" w:color="auto" w:sz="4" w:space="0"/>
              <w:bottom w:val="single" w:color="auto" w:sz="4" w:space="0"/>
              <w:right w:val="single" w:color="auto" w:sz="4" w:space="0"/>
            </w:tcBorders>
            <w:vAlign w:val="center"/>
          </w:tcPr>
          <w:p w14:paraId="560649C4">
            <w:pPr>
              <w:pStyle w:val="16"/>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2" w:firstLineChars="200"/>
              <w:jc w:val="center"/>
              <w:textAlignment w:val="auto"/>
              <w:rPr>
                <w:rFonts w:hint="eastAsia" w:ascii="宋体" w:hAnsi="宋体" w:eastAsia="宋体" w:cs="宋体"/>
                <w:color w:val="auto"/>
              </w:rPr>
            </w:pPr>
            <w:r>
              <w:rPr>
                <w:rFonts w:hint="eastAsia" w:ascii="宋体" w:hAnsi="宋体" w:eastAsia="宋体" w:cs="宋体"/>
                <w:b/>
                <w:color w:val="auto"/>
              </w:rPr>
              <w:t>货物招标</w:t>
            </w:r>
          </w:p>
        </w:tc>
        <w:tc>
          <w:tcPr>
            <w:tcW w:w="1250" w:type="pct"/>
            <w:tcBorders>
              <w:top w:val="single" w:color="auto" w:sz="4" w:space="0"/>
              <w:left w:val="single" w:color="auto" w:sz="4" w:space="0"/>
              <w:bottom w:val="single" w:color="auto" w:sz="4" w:space="0"/>
              <w:right w:val="single" w:color="auto" w:sz="4" w:space="0"/>
            </w:tcBorders>
            <w:vAlign w:val="center"/>
          </w:tcPr>
          <w:p w14:paraId="5CAD8ACD">
            <w:pPr>
              <w:pStyle w:val="16"/>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2" w:firstLineChars="200"/>
              <w:jc w:val="center"/>
              <w:textAlignment w:val="auto"/>
              <w:rPr>
                <w:rFonts w:hint="eastAsia" w:ascii="宋体" w:hAnsi="宋体" w:eastAsia="宋体" w:cs="宋体"/>
                <w:color w:val="auto"/>
              </w:rPr>
            </w:pPr>
            <w:r>
              <w:rPr>
                <w:rFonts w:hint="eastAsia" w:ascii="宋体" w:hAnsi="宋体" w:eastAsia="宋体" w:cs="宋体"/>
                <w:b/>
                <w:color w:val="auto"/>
              </w:rPr>
              <w:t>服务招标</w:t>
            </w:r>
          </w:p>
        </w:tc>
        <w:tc>
          <w:tcPr>
            <w:tcW w:w="1250" w:type="pct"/>
            <w:tcBorders>
              <w:top w:val="single" w:color="auto" w:sz="4" w:space="0"/>
              <w:left w:val="single" w:color="auto" w:sz="4" w:space="0"/>
              <w:bottom w:val="single" w:color="auto" w:sz="4" w:space="0"/>
              <w:right w:val="single" w:color="auto" w:sz="4" w:space="0"/>
            </w:tcBorders>
            <w:vAlign w:val="center"/>
          </w:tcPr>
          <w:p w14:paraId="4E5244E0">
            <w:pPr>
              <w:pStyle w:val="16"/>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2" w:firstLineChars="200"/>
              <w:jc w:val="center"/>
              <w:textAlignment w:val="auto"/>
              <w:rPr>
                <w:rFonts w:hint="eastAsia" w:ascii="宋体" w:hAnsi="宋体" w:eastAsia="宋体" w:cs="宋体"/>
                <w:color w:val="auto"/>
              </w:rPr>
            </w:pPr>
            <w:r>
              <w:rPr>
                <w:rFonts w:hint="eastAsia" w:ascii="宋体" w:hAnsi="宋体" w:eastAsia="宋体" w:cs="宋体"/>
                <w:b/>
                <w:color w:val="auto"/>
              </w:rPr>
              <w:t>工程招标</w:t>
            </w:r>
          </w:p>
        </w:tc>
      </w:tr>
      <w:tr w14:paraId="7F47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1404" w:type="pct"/>
            <w:tcBorders>
              <w:top w:val="single" w:color="auto" w:sz="4" w:space="0"/>
              <w:left w:val="single" w:color="auto" w:sz="4" w:space="0"/>
              <w:bottom w:val="single" w:color="auto" w:sz="4" w:space="0"/>
              <w:right w:val="single" w:color="auto" w:sz="4" w:space="0"/>
            </w:tcBorders>
            <w:vAlign w:val="center"/>
          </w:tcPr>
          <w:p w14:paraId="0FFFAE34">
            <w:pPr>
              <w:pStyle w:val="16"/>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100以下</w:t>
            </w:r>
          </w:p>
        </w:tc>
        <w:tc>
          <w:tcPr>
            <w:tcW w:w="1095" w:type="pct"/>
            <w:tcBorders>
              <w:top w:val="single" w:color="auto" w:sz="4" w:space="0"/>
              <w:left w:val="single" w:color="auto" w:sz="4" w:space="0"/>
              <w:bottom w:val="single" w:color="auto" w:sz="4" w:space="0"/>
              <w:right w:val="single" w:color="auto" w:sz="4" w:space="0"/>
            </w:tcBorders>
            <w:vAlign w:val="center"/>
          </w:tcPr>
          <w:p w14:paraId="0A52594D">
            <w:pPr>
              <w:pStyle w:val="16"/>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center"/>
              <w:textAlignment w:val="auto"/>
              <w:rPr>
                <w:rFonts w:hint="eastAsia" w:ascii="宋体" w:hAnsi="宋体" w:eastAsia="宋体" w:cs="宋体"/>
                <w:color w:val="auto"/>
              </w:rPr>
            </w:pPr>
            <w:r>
              <w:rPr>
                <w:rFonts w:hint="eastAsia" w:ascii="宋体" w:hAnsi="宋体" w:eastAsia="宋体" w:cs="宋体"/>
                <w:color w:val="auto"/>
              </w:rPr>
              <w:t>1.5%</w:t>
            </w:r>
          </w:p>
        </w:tc>
        <w:tc>
          <w:tcPr>
            <w:tcW w:w="1250" w:type="pct"/>
            <w:tcBorders>
              <w:top w:val="single" w:color="auto" w:sz="4" w:space="0"/>
              <w:left w:val="single" w:color="auto" w:sz="4" w:space="0"/>
              <w:bottom w:val="single" w:color="auto" w:sz="4" w:space="0"/>
              <w:right w:val="single" w:color="auto" w:sz="4" w:space="0"/>
            </w:tcBorders>
            <w:vAlign w:val="center"/>
          </w:tcPr>
          <w:p w14:paraId="6788FC56">
            <w:pPr>
              <w:pStyle w:val="16"/>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center"/>
              <w:textAlignment w:val="auto"/>
              <w:rPr>
                <w:rFonts w:hint="eastAsia" w:ascii="宋体" w:hAnsi="宋体" w:eastAsia="宋体" w:cs="宋体"/>
                <w:color w:val="auto"/>
              </w:rPr>
            </w:pPr>
            <w:r>
              <w:rPr>
                <w:rFonts w:hint="eastAsia" w:ascii="宋体" w:hAnsi="宋体" w:eastAsia="宋体" w:cs="宋体"/>
                <w:color w:val="auto"/>
              </w:rPr>
              <w:t>1.5%</w:t>
            </w:r>
          </w:p>
        </w:tc>
        <w:tc>
          <w:tcPr>
            <w:tcW w:w="1250" w:type="pct"/>
            <w:tcBorders>
              <w:top w:val="single" w:color="auto" w:sz="4" w:space="0"/>
              <w:left w:val="single" w:color="auto" w:sz="4" w:space="0"/>
              <w:bottom w:val="single" w:color="auto" w:sz="4" w:space="0"/>
              <w:right w:val="single" w:color="auto" w:sz="4" w:space="0"/>
            </w:tcBorders>
            <w:vAlign w:val="center"/>
          </w:tcPr>
          <w:p w14:paraId="1D9B8768">
            <w:pPr>
              <w:pStyle w:val="16"/>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center"/>
              <w:textAlignment w:val="auto"/>
              <w:rPr>
                <w:rFonts w:hint="eastAsia" w:ascii="宋体" w:hAnsi="宋体" w:eastAsia="宋体" w:cs="宋体"/>
                <w:color w:val="auto"/>
              </w:rPr>
            </w:pPr>
            <w:r>
              <w:rPr>
                <w:rFonts w:hint="eastAsia" w:ascii="宋体" w:hAnsi="宋体" w:eastAsia="宋体" w:cs="宋体"/>
                <w:color w:val="auto"/>
              </w:rPr>
              <w:t>1.0%</w:t>
            </w:r>
          </w:p>
        </w:tc>
      </w:tr>
      <w:tr w14:paraId="79224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404" w:type="pct"/>
            <w:tcBorders>
              <w:top w:val="single" w:color="auto" w:sz="4" w:space="0"/>
              <w:left w:val="single" w:color="auto" w:sz="4" w:space="0"/>
              <w:bottom w:val="single" w:color="auto" w:sz="4" w:space="0"/>
              <w:right w:val="single" w:color="auto" w:sz="4" w:space="0"/>
            </w:tcBorders>
            <w:vAlign w:val="center"/>
          </w:tcPr>
          <w:p w14:paraId="02B4B5F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rPr>
            </w:pPr>
            <w:r>
              <w:rPr>
                <w:rFonts w:hint="eastAsia" w:ascii="宋体" w:hAnsi="宋体" w:eastAsia="宋体" w:cs="宋体"/>
                <w:color w:val="auto"/>
                <w:sz w:val="24"/>
              </w:rPr>
              <w:t>100-500</w:t>
            </w:r>
          </w:p>
        </w:tc>
        <w:tc>
          <w:tcPr>
            <w:tcW w:w="1095" w:type="pct"/>
            <w:tcBorders>
              <w:top w:val="single" w:color="auto" w:sz="4" w:space="0"/>
              <w:left w:val="single" w:color="auto" w:sz="4" w:space="0"/>
              <w:bottom w:val="single" w:color="auto" w:sz="4" w:space="0"/>
              <w:right w:val="single" w:color="auto" w:sz="4" w:space="0"/>
            </w:tcBorders>
            <w:vAlign w:val="center"/>
          </w:tcPr>
          <w:p w14:paraId="235A448D">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1.1%</w:t>
            </w:r>
          </w:p>
        </w:tc>
        <w:tc>
          <w:tcPr>
            <w:tcW w:w="1250" w:type="pct"/>
            <w:tcBorders>
              <w:top w:val="single" w:color="auto" w:sz="4" w:space="0"/>
              <w:left w:val="single" w:color="auto" w:sz="4" w:space="0"/>
              <w:bottom w:val="single" w:color="auto" w:sz="4" w:space="0"/>
              <w:right w:val="single" w:color="auto" w:sz="4" w:space="0"/>
            </w:tcBorders>
            <w:vAlign w:val="center"/>
          </w:tcPr>
          <w:p w14:paraId="0B751A24">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0.8%</w:t>
            </w:r>
          </w:p>
        </w:tc>
        <w:tc>
          <w:tcPr>
            <w:tcW w:w="1250" w:type="pct"/>
            <w:tcBorders>
              <w:top w:val="single" w:color="auto" w:sz="4" w:space="0"/>
              <w:left w:val="single" w:color="auto" w:sz="4" w:space="0"/>
              <w:bottom w:val="single" w:color="auto" w:sz="4" w:space="0"/>
              <w:right w:val="single" w:color="auto" w:sz="4" w:space="0"/>
            </w:tcBorders>
            <w:vAlign w:val="center"/>
          </w:tcPr>
          <w:p w14:paraId="79B94C5F">
            <w:pPr>
              <w:pStyle w:val="16"/>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center"/>
              <w:textAlignment w:val="auto"/>
              <w:rPr>
                <w:rFonts w:hint="eastAsia" w:ascii="宋体" w:hAnsi="宋体" w:eastAsia="宋体" w:cs="宋体"/>
                <w:color w:val="auto"/>
              </w:rPr>
            </w:pPr>
            <w:r>
              <w:rPr>
                <w:rFonts w:hint="eastAsia" w:ascii="宋体" w:hAnsi="宋体" w:eastAsia="宋体" w:cs="宋体"/>
                <w:color w:val="auto"/>
              </w:rPr>
              <w:t>0.7%</w:t>
            </w:r>
          </w:p>
        </w:tc>
      </w:tr>
      <w:tr w14:paraId="41A08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404" w:type="pct"/>
            <w:tcBorders>
              <w:top w:val="single" w:color="auto" w:sz="4" w:space="0"/>
              <w:left w:val="single" w:color="auto" w:sz="4" w:space="0"/>
              <w:bottom w:val="single" w:color="auto" w:sz="4" w:space="0"/>
              <w:right w:val="single" w:color="auto" w:sz="4" w:space="0"/>
            </w:tcBorders>
            <w:vAlign w:val="center"/>
          </w:tcPr>
          <w:p w14:paraId="18A1A29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rPr>
            </w:pPr>
            <w:r>
              <w:rPr>
                <w:rFonts w:hint="eastAsia" w:ascii="宋体" w:hAnsi="宋体" w:eastAsia="宋体" w:cs="宋体"/>
                <w:color w:val="auto"/>
                <w:sz w:val="24"/>
              </w:rPr>
              <w:t>500-1000</w:t>
            </w:r>
          </w:p>
        </w:tc>
        <w:tc>
          <w:tcPr>
            <w:tcW w:w="1095" w:type="pct"/>
            <w:tcBorders>
              <w:top w:val="single" w:color="auto" w:sz="4" w:space="0"/>
              <w:left w:val="single" w:color="auto" w:sz="4" w:space="0"/>
              <w:bottom w:val="single" w:color="auto" w:sz="4" w:space="0"/>
              <w:right w:val="single" w:color="auto" w:sz="4" w:space="0"/>
            </w:tcBorders>
            <w:vAlign w:val="center"/>
          </w:tcPr>
          <w:p w14:paraId="5677A949">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0.8%</w:t>
            </w:r>
          </w:p>
        </w:tc>
        <w:tc>
          <w:tcPr>
            <w:tcW w:w="1250" w:type="pct"/>
            <w:tcBorders>
              <w:top w:val="single" w:color="auto" w:sz="4" w:space="0"/>
              <w:left w:val="single" w:color="auto" w:sz="4" w:space="0"/>
              <w:bottom w:val="single" w:color="auto" w:sz="4" w:space="0"/>
              <w:right w:val="single" w:color="auto" w:sz="4" w:space="0"/>
            </w:tcBorders>
            <w:vAlign w:val="center"/>
          </w:tcPr>
          <w:p w14:paraId="587E3600">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0.45%</w:t>
            </w:r>
          </w:p>
        </w:tc>
        <w:tc>
          <w:tcPr>
            <w:tcW w:w="1250" w:type="pct"/>
            <w:tcBorders>
              <w:top w:val="single" w:color="auto" w:sz="4" w:space="0"/>
              <w:left w:val="single" w:color="auto" w:sz="4" w:space="0"/>
              <w:bottom w:val="single" w:color="auto" w:sz="4" w:space="0"/>
              <w:right w:val="single" w:color="auto" w:sz="4" w:space="0"/>
            </w:tcBorders>
            <w:vAlign w:val="center"/>
          </w:tcPr>
          <w:p w14:paraId="434E6E5F">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0.55%</w:t>
            </w:r>
          </w:p>
        </w:tc>
      </w:tr>
      <w:tr w14:paraId="51681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1404" w:type="pct"/>
            <w:tcBorders>
              <w:top w:val="single" w:color="auto" w:sz="4" w:space="0"/>
              <w:left w:val="single" w:color="auto" w:sz="4" w:space="0"/>
              <w:bottom w:val="single" w:color="auto" w:sz="4" w:space="0"/>
              <w:right w:val="single" w:color="auto" w:sz="4" w:space="0"/>
            </w:tcBorders>
            <w:vAlign w:val="center"/>
          </w:tcPr>
          <w:p w14:paraId="7BBB379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rPr>
            </w:pPr>
            <w:r>
              <w:rPr>
                <w:rFonts w:hint="eastAsia" w:ascii="宋体" w:hAnsi="宋体" w:eastAsia="宋体" w:cs="宋体"/>
                <w:color w:val="auto"/>
                <w:sz w:val="24"/>
              </w:rPr>
              <w:t>1000-5000</w:t>
            </w:r>
          </w:p>
        </w:tc>
        <w:tc>
          <w:tcPr>
            <w:tcW w:w="1095" w:type="pct"/>
            <w:tcBorders>
              <w:top w:val="single" w:color="auto" w:sz="4" w:space="0"/>
              <w:left w:val="single" w:color="auto" w:sz="4" w:space="0"/>
              <w:bottom w:val="single" w:color="auto" w:sz="4" w:space="0"/>
              <w:right w:val="single" w:color="auto" w:sz="4" w:space="0"/>
            </w:tcBorders>
            <w:vAlign w:val="center"/>
          </w:tcPr>
          <w:p w14:paraId="4683CC58">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0.5%</w:t>
            </w:r>
          </w:p>
        </w:tc>
        <w:tc>
          <w:tcPr>
            <w:tcW w:w="1250" w:type="pct"/>
            <w:tcBorders>
              <w:top w:val="single" w:color="auto" w:sz="4" w:space="0"/>
              <w:left w:val="single" w:color="auto" w:sz="4" w:space="0"/>
              <w:bottom w:val="single" w:color="auto" w:sz="4" w:space="0"/>
              <w:right w:val="single" w:color="auto" w:sz="4" w:space="0"/>
            </w:tcBorders>
            <w:vAlign w:val="center"/>
          </w:tcPr>
          <w:p w14:paraId="41A0C106">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0.25%</w:t>
            </w:r>
          </w:p>
        </w:tc>
        <w:tc>
          <w:tcPr>
            <w:tcW w:w="1250" w:type="pct"/>
            <w:tcBorders>
              <w:top w:val="single" w:color="auto" w:sz="4" w:space="0"/>
              <w:left w:val="single" w:color="auto" w:sz="4" w:space="0"/>
              <w:bottom w:val="single" w:color="auto" w:sz="4" w:space="0"/>
              <w:right w:val="single" w:color="auto" w:sz="4" w:space="0"/>
            </w:tcBorders>
            <w:vAlign w:val="center"/>
          </w:tcPr>
          <w:p w14:paraId="048352DA">
            <w:pPr>
              <w:pStyle w:val="16"/>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center"/>
              <w:textAlignment w:val="auto"/>
              <w:rPr>
                <w:rFonts w:hint="eastAsia" w:ascii="宋体" w:hAnsi="宋体" w:eastAsia="宋体" w:cs="宋体"/>
                <w:color w:val="auto"/>
              </w:rPr>
            </w:pPr>
            <w:r>
              <w:rPr>
                <w:rFonts w:hint="eastAsia" w:ascii="宋体" w:hAnsi="宋体" w:eastAsia="宋体" w:cs="宋体"/>
                <w:color w:val="auto"/>
              </w:rPr>
              <w:t>0.35%</w:t>
            </w:r>
          </w:p>
        </w:tc>
      </w:tr>
      <w:tr w14:paraId="3C28E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1404" w:type="pct"/>
            <w:tcBorders>
              <w:top w:val="single" w:color="auto" w:sz="4" w:space="0"/>
              <w:left w:val="single" w:color="auto" w:sz="4" w:space="0"/>
              <w:bottom w:val="single" w:color="auto" w:sz="4" w:space="0"/>
              <w:right w:val="single" w:color="auto" w:sz="4" w:space="0"/>
            </w:tcBorders>
            <w:vAlign w:val="center"/>
          </w:tcPr>
          <w:p w14:paraId="7001FD9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rPr>
            </w:pPr>
            <w:r>
              <w:rPr>
                <w:rFonts w:hint="eastAsia" w:ascii="宋体" w:hAnsi="宋体" w:eastAsia="宋体" w:cs="宋体"/>
                <w:color w:val="auto"/>
                <w:sz w:val="24"/>
              </w:rPr>
              <w:t>5000-10000</w:t>
            </w:r>
          </w:p>
        </w:tc>
        <w:tc>
          <w:tcPr>
            <w:tcW w:w="1095" w:type="pct"/>
            <w:tcBorders>
              <w:top w:val="single" w:color="auto" w:sz="4" w:space="0"/>
              <w:left w:val="single" w:color="auto" w:sz="4" w:space="0"/>
              <w:bottom w:val="single" w:color="auto" w:sz="4" w:space="0"/>
              <w:right w:val="single" w:color="auto" w:sz="4" w:space="0"/>
            </w:tcBorders>
            <w:vAlign w:val="center"/>
          </w:tcPr>
          <w:p w14:paraId="6835A2AB">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0.25%</w:t>
            </w:r>
          </w:p>
        </w:tc>
        <w:tc>
          <w:tcPr>
            <w:tcW w:w="1250" w:type="pct"/>
            <w:tcBorders>
              <w:top w:val="single" w:color="auto" w:sz="4" w:space="0"/>
              <w:left w:val="single" w:color="auto" w:sz="4" w:space="0"/>
              <w:bottom w:val="single" w:color="auto" w:sz="4" w:space="0"/>
              <w:right w:val="single" w:color="auto" w:sz="4" w:space="0"/>
            </w:tcBorders>
            <w:vAlign w:val="center"/>
          </w:tcPr>
          <w:p w14:paraId="292FE121">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0.1%</w:t>
            </w:r>
          </w:p>
        </w:tc>
        <w:tc>
          <w:tcPr>
            <w:tcW w:w="1250" w:type="pct"/>
            <w:tcBorders>
              <w:top w:val="single" w:color="auto" w:sz="4" w:space="0"/>
              <w:left w:val="single" w:color="auto" w:sz="4" w:space="0"/>
              <w:bottom w:val="single" w:color="auto" w:sz="4" w:space="0"/>
              <w:right w:val="single" w:color="auto" w:sz="4" w:space="0"/>
            </w:tcBorders>
            <w:vAlign w:val="center"/>
          </w:tcPr>
          <w:p w14:paraId="0D8DEA2B">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0.2%</w:t>
            </w:r>
          </w:p>
        </w:tc>
      </w:tr>
      <w:tr w14:paraId="4566D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404" w:type="pct"/>
            <w:tcBorders>
              <w:top w:val="single" w:color="auto" w:sz="4" w:space="0"/>
              <w:left w:val="single" w:color="auto" w:sz="4" w:space="0"/>
              <w:bottom w:val="single" w:color="auto" w:sz="4" w:space="0"/>
              <w:right w:val="single" w:color="auto" w:sz="4" w:space="0"/>
            </w:tcBorders>
            <w:vAlign w:val="center"/>
          </w:tcPr>
          <w:p w14:paraId="6F8D79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rPr>
            </w:pPr>
            <w:r>
              <w:rPr>
                <w:rFonts w:hint="eastAsia" w:ascii="宋体" w:hAnsi="宋体" w:eastAsia="宋体" w:cs="宋体"/>
                <w:color w:val="auto"/>
                <w:sz w:val="24"/>
              </w:rPr>
              <w:t>10000-100000</w:t>
            </w:r>
          </w:p>
        </w:tc>
        <w:tc>
          <w:tcPr>
            <w:tcW w:w="1095" w:type="pct"/>
            <w:tcBorders>
              <w:top w:val="single" w:color="auto" w:sz="4" w:space="0"/>
              <w:left w:val="single" w:color="auto" w:sz="4" w:space="0"/>
              <w:bottom w:val="single" w:color="auto" w:sz="4" w:space="0"/>
              <w:right w:val="single" w:color="auto" w:sz="4" w:space="0"/>
            </w:tcBorders>
            <w:vAlign w:val="center"/>
          </w:tcPr>
          <w:p w14:paraId="2C06519B">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0.05%</w:t>
            </w:r>
          </w:p>
        </w:tc>
        <w:tc>
          <w:tcPr>
            <w:tcW w:w="1250" w:type="pct"/>
            <w:tcBorders>
              <w:top w:val="single" w:color="auto" w:sz="4" w:space="0"/>
              <w:left w:val="single" w:color="auto" w:sz="4" w:space="0"/>
              <w:bottom w:val="single" w:color="auto" w:sz="4" w:space="0"/>
              <w:right w:val="single" w:color="auto" w:sz="4" w:space="0"/>
            </w:tcBorders>
            <w:vAlign w:val="center"/>
          </w:tcPr>
          <w:p w14:paraId="32326CFA">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0.05%</w:t>
            </w:r>
          </w:p>
        </w:tc>
        <w:tc>
          <w:tcPr>
            <w:tcW w:w="1250" w:type="pct"/>
            <w:tcBorders>
              <w:top w:val="single" w:color="auto" w:sz="4" w:space="0"/>
              <w:left w:val="single" w:color="auto" w:sz="4" w:space="0"/>
              <w:bottom w:val="single" w:color="auto" w:sz="4" w:space="0"/>
              <w:right w:val="single" w:color="auto" w:sz="4" w:space="0"/>
            </w:tcBorders>
            <w:vAlign w:val="center"/>
          </w:tcPr>
          <w:p w14:paraId="13E8F853">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0.05%</w:t>
            </w:r>
          </w:p>
        </w:tc>
      </w:tr>
      <w:tr w14:paraId="5D6E3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1404" w:type="pct"/>
            <w:tcBorders>
              <w:top w:val="single" w:color="auto" w:sz="4" w:space="0"/>
              <w:left w:val="single" w:color="auto" w:sz="4" w:space="0"/>
              <w:bottom w:val="single" w:color="auto" w:sz="4" w:space="0"/>
              <w:right w:val="single" w:color="auto" w:sz="4" w:space="0"/>
            </w:tcBorders>
            <w:vAlign w:val="center"/>
          </w:tcPr>
          <w:p w14:paraId="2FFA3BF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rPr>
            </w:pPr>
            <w:r>
              <w:rPr>
                <w:rFonts w:hint="eastAsia" w:ascii="宋体" w:hAnsi="宋体" w:eastAsia="宋体" w:cs="宋体"/>
                <w:color w:val="auto"/>
                <w:sz w:val="24"/>
              </w:rPr>
              <w:t>100000以上</w:t>
            </w:r>
          </w:p>
        </w:tc>
        <w:tc>
          <w:tcPr>
            <w:tcW w:w="1095" w:type="pct"/>
            <w:tcBorders>
              <w:top w:val="single" w:color="auto" w:sz="4" w:space="0"/>
              <w:left w:val="single" w:color="auto" w:sz="4" w:space="0"/>
              <w:bottom w:val="single" w:color="auto" w:sz="4" w:space="0"/>
              <w:right w:val="single" w:color="auto" w:sz="4" w:space="0"/>
            </w:tcBorders>
            <w:vAlign w:val="center"/>
          </w:tcPr>
          <w:p w14:paraId="19640843">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0.01%</w:t>
            </w:r>
          </w:p>
        </w:tc>
        <w:tc>
          <w:tcPr>
            <w:tcW w:w="1250" w:type="pct"/>
            <w:tcBorders>
              <w:top w:val="single" w:color="auto" w:sz="4" w:space="0"/>
              <w:left w:val="single" w:color="auto" w:sz="4" w:space="0"/>
              <w:bottom w:val="single" w:color="auto" w:sz="4" w:space="0"/>
              <w:right w:val="single" w:color="auto" w:sz="4" w:space="0"/>
            </w:tcBorders>
            <w:vAlign w:val="center"/>
          </w:tcPr>
          <w:p w14:paraId="02B3C08B">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color w:val="auto"/>
                <w:sz w:val="24"/>
              </w:rPr>
            </w:pPr>
            <w:r>
              <w:rPr>
                <w:rFonts w:hint="eastAsia" w:ascii="宋体" w:hAnsi="宋体" w:eastAsia="宋体" w:cs="宋体"/>
                <w:color w:val="auto"/>
                <w:sz w:val="24"/>
              </w:rPr>
              <w:t>0.01%</w:t>
            </w:r>
          </w:p>
        </w:tc>
        <w:tc>
          <w:tcPr>
            <w:tcW w:w="1250" w:type="pct"/>
            <w:tcBorders>
              <w:top w:val="single" w:color="auto" w:sz="4" w:space="0"/>
              <w:left w:val="single" w:color="auto" w:sz="4" w:space="0"/>
              <w:bottom w:val="single" w:color="auto" w:sz="4" w:space="0"/>
              <w:right w:val="single" w:color="auto" w:sz="4" w:space="0"/>
            </w:tcBorders>
            <w:vAlign w:val="center"/>
          </w:tcPr>
          <w:p w14:paraId="798494C0">
            <w:pPr>
              <w:pStyle w:val="16"/>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center"/>
              <w:textAlignment w:val="auto"/>
              <w:rPr>
                <w:rFonts w:hint="eastAsia" w:ascii="宋体" w:hAnsi="宋体" w:eastAsia="宋体" w:cs="宋体"/>
                <w:color w:val="auto"/>
              </w:rPr>
            </w:pPr>
            <w:r>
              <w:rPr>
                <w:rFonts w:hint="eastAsia" w:ascii="宋体" w:hAnsi="宋体" w:eastAsia="宋体" w:cs="宋体"/>
                <w:color w:val="auto"/>
              </w:rPr>
              <w:t>0.015%</w:t>
            </w:r>
          </w:p>
        </w:tc>
      </w:tr>
    </w:tbl>
    <w:p w14:paraId="656E056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注：招标代理服务收费按差额定率累进法计算。</w:t>
      </w:r>
    </w:p>
    <w:p w14:paraId="2D1979C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kern w:val="0"/>
          <w:sz w:val="24"/>
        </w:rPr>
        <w:t>以货物项目为例：中标金额为1200万元，计算招标代理服务收费额如下：</w:t>
      </w:r>
    </w:p>
    <w:p w14:paraId="3DC1FB1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100万元×1.5%=1.5万元</w:t>
      </w:r>
    </w:p>
    <w:p w14:paraId="77E076F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 xml:space="preserve">（500-100）万元×1.1%=4.4万元 </w:t>
      </w:r>
    </w:p>
    <w:p w14:paraId="3E0E08C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 xml:space="preserve">（1000-500）万元×0.8%=4万元 </w:t>
      </w:r>
    </w:p>
    <w:p w14:paraId="2313B94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（1200-1000）万元×0.5%=1万元</w:t>
      </w:r>
    </w:p>
    <w:p w14:paraId="752157B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合计收费</w:t>
      </w:r>
      <w:r>
        <w:rPr>
          <w:rFonts w:hint="eastAsia" w:ascii="宋体" w:hAnsi="宋体" w:eastAsia="宋体" w:cs="宋体"/>
          <w:color w:val="auto"/>
          <w:spacing w:val="20"/>
          <w:kern w:val="0"/>
          <w:sz w:val="24"/>
        </w:rPr>
        <w:t>=1.5+4.4+4+1=10.9</w:t>
      </w:r>
      <w:r>
        <w:rPr>
          <w:rFonts w:hint="eastAsia" w:ascii="宋体" w:hAnsi="宋体" w:eastAsia="宋体" w:cs="宋体"/>
          <w:color w:val="auto"/>
          <w:kern w:val="0"/>
          <w:sz w:val="24"/>
        </w:rPr>
        <w:t>万元</w:t>
      </w:r>
    </w:p>
    <w:p w14:paraId="29785C5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43" w:firstLineChars="200"/>
        <w:jc w:val="center"/>
        <w:textAlignment w:val="auto"/>
        <w:rPr>
          <w:rStyle w:val="22"/>
          <w:rFonts w:hint="eastAsia" w:ascii="宋体" w:hAnsi="宋体" w:eastAsia="宋体" w:cs="宋体"/>
          <w:b/>
          <w:bCs/>
          <w:i w:val="0"/>
          <w:iCs w:val="0"/>
          <w:caps w:val="0"/>
          <w:color w:val="auto"/>
          <w:spacing w:val="0"/>
          <w:sz w:val="32"/>
          <w:szCs w:val="32"/>
          <w:shd w:val="clear" w:fill="FFFFFF"/>
        </w:rPr>
      </w:pPr>
      <w:r>
        <w:rPr>
          <w:rStyle w:val="22"/>
          <w:rFonts w:hint="eastAsia" w:ascii="宋体" w:hAnsi="宋体" w:eastAsia="宋体" w:cs="宋体"/>
          <w:b/>
          <w:bCs/>
          <w:i w:val="0"/>
          <w:iCs w:val="0"/>
          <w:caps w:val="0"/>
          <w:color w:val="auto"/>
          <w:spacing w:val="0"/>
          <w:sz w:val="32"/>
          <w:szCs w:val="32"/>
          <w:shd w:val="clear" w:fill="FFFFFF"/>
        </w:rPr>
        <w:t>九．其它事项</w:t>
      </w:r>
    </w:p>
    <w:p w14:paraId="6B01258D">
      <w:pPr>
        <w:rPr>
          <w:rFonts w:hint="eastAsia" w:ascii="宋体" w:hAnsi="宋体" w:eastAsia="宋体" w:cs="宋体"/>
          <w:color w:val="auto"/>
        </w:rPr>
      </w:pPr>
    </w:p>
    <w:p w14:paraId="3511078C">
      <w:pPr>
        <w:keepNext w:val="0"/>
        <w:keepLines w:val="0"/>
        <w:pageBreakBefore w:val="0"/>
        <w:widowControl/>
        <w:kinsoku/>
        <w:wordWrap/>
        <w:overflowPunct/>
        <w:topLinePunct w:val="0"/>
        <w:autoSpaceDE/>
        <w:autoSpaceDN/>
        <w:bidi w:val="0"/>
        <w:adjustRightInd/>
        <w:snapToGrid/>
        <w:spacing w:line="360" w:lineRule="auto"/>
        <w:ind w:firstLine="420"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val="en-US" w:eastAsia="zh-CN"/>
        </w:rPr>
        <w:t>.</w:t>
      </w:r>
      <w:r>
        <w:rPr>
          <w:rFonts w:hint="eastAsia" w:ascii="宋体" w:hAnsi="宋体" w:eastAsia="宋体" w:cs="宋体"/>
          <w:color w:val="auto"/>
          <w:sz w:val="24"/>
        </w:rPr>
        <w:t>投标截止后投标人不足三家或者通过资格审查或符合性审查的投标人不足三家的，除采购任务取消情形外，按照以下方式处理：</w:t>
      </w:r>
    </w:p>
    <w:p w14:paraId="3EF7E3FB">
      <w:pPr>
        <w:keepNext w:val="0"/>
        <w:keepLines w:val="0"/>
        <w:pageBreakBefore w:val="0"/>
        <w:widowControl/>
        <w:kinsoku/>
        <w:wordWrap/>
        <w:overflowPunct/>
        <w:topLinePunct w:val="0"/>
        <w:autoSpaceDE/>
        <w:autoSpaceDN/>
        <w:bidi w:val="0"/>
        <w:adjustRightInd/>
        <w:snapToGrid/>
        <w:spacing w:line="360" w:lineRule="auto"/>
        <w:ind w:firstLine="420"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rPr>
        <w:t>（1）招标文件存在不合理条款或者招标程序不符合规定的，采购人、采购代理机构改正后依法重新招标；</w:t>
      </w:r>
    </w:p>
    <w:p w14:paraId="350B6C70">
      <w:pPr>
        <w:keepNext w:val="0"/>
        <w:keepLines w:val="0"/>
        <w:pageBreakBefore w:val="0"/>
        <w:kinsoku/>
        <w:wordWrap/>
        <w:overflowPunct/>
        <w:topLinePunct w:val="0"/>
        <w:autoSpaceDE/>
        <w:autoSpaceDN/>
        <w:bidi w:val="0"/>
        <w:adjustRightInd/>
        <w:snapToGrid/>
        <w:spacing w:line="360" w:lineRule="auto"/>
        <w:ind w:firstLine="420" w:firstLineChars="0"/>
        <w:textAlignment w:val="auto"/>
        <w:rPr>
          <w:rFonts w:hint="eastAsia" w:ascii="宋体" w:hAnsi="宋体" w:eastAsia="宋体" w:cs="宋体"/>
          <w:color w:val="auto"/>
          <w:sz w:val="24"/>
        </w:rPr>
      </w:pPr>
      <w:r>
        <w:rPr>
          <w:rFonts w:hint="eastAsia" w:ascii="宋体" w:hAnsi="宋体" w:eastAsia="宋体" w:cs="宋体"/>
          <w:color w:val="auto"/>
          <w:sz w:val="24"/>
        </w:rPr>
        <w:t>（2）招标文件没有不合理条款、招标程序符合规定，需要采用其他采购方式采购的，采购人应当依法报财政部门批准。</w:t>
      </w:r>
    </w:p>
    <w:p w14:paraId="4455DD3F">
      <w:pPr>
        <w:keepNext w:val="0"/>
        <w:keepLines w:val="0"/>
        <w:pageBreakBefore w:val="0"/>
        <w:widowControl/>
        <w:kinsoku/>
        <w:wordWrap/>
        <w:overflowPunct/>
        <w:topLinePunct w:val="0"/>
        <w:autoSpaceDE/>
        <w:autoSpaceDN/>
        <w:bidi w:val="0"/>
        <w:adjustRightInd/>
        <w:snapToGrid/>
        <w:spacing w:line="360" w:lineRule="auto"/>
        <w:ind w:firstLine="420" w:firstLineChars="0"/>
        <w:jc w:val="left"/>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w:t>
      </w:r>
      <w:r>
        <w:rPr>
          <w:rFonts w:hint="eastAsia" w:ascii="宋体" w:hAnsi="宋体" w:eastAsia="宋体" w:cs="宋体"/>
          <w:color w:val="auto"/>
          <w:sz w:val="24"/>
        </w:rPr>
        <w:t>中标人拒绝与采购人签订合同的，采购人可以按照评审结果报告推荐的中标候选人名单排序，确定下一候选人为中标人，也可以重新开展政府采购活动。</w:t>
      </w:r>
    </w:p>
    <w:p w14:paraId="008D8522">
      <w:pPr>
        <w:spacing w:line="360" w:lineRule="auto"/>
        <w:rPr>
          <w:rFonts w:hint="eastAsia" w:ascii="宋体" w:hAnsi="宋体" w:eastAsia="宋体" w:cs="宋体"/>
          <w:color w:val="auto"/>
          <w:sz w:val="24"/>
        </w:rPr>
        <w:sectPr>
          <w:footerReference r:id="rId10" w:type="default"/>
          <w:pgSz w:w="11906" w:h="16838"/>
          <w:pgMar w:top="1559" w:right="1134" w:bottom="1020" w:left="1321" w:header="851" w:footer="397" w:gutter="0"/>
          <w:pgNumType w:fmt="decimal" w:start="1"/>
          <w:cols w:space="720" w:num="1"/>
          <w:docGrid w:type="lines" w:linePitch="315" w:charSpace="0"/>
        </w:sectPr>
      </w:pPr>
    </w:p>
    <w:p w14:paraId="2BAC5FCA">
      <w:pPr>
        <w:jc w:val="center"/>
        <w:outlineLvl w:val="1"/>
        <w:rPr>
          <w:rFonts w:hint="eastAsia" w:ascii="宋体" w:hAnsi="宋体" w:eastAsia="宋体" w:cs="宋体"/>
          <w:b/>
          <w:color w:val="auto"/>
          <w:sz w:val="32"/>
          <w:szCs w:val="32"/>
        </w:rPr>
      </w:pPr>
      <w:r>
        <w:rPr>
          <w:rFonts w:hint="eastAsia" w:ascii="宋体" w:hAnsi="宋体" w:eastAsia="宋体" w:cs="宋体"/>
          <w:b/>
          <w:color w:val="auto"/>
          <w:sz w:val="32"/>
          <w:szCs w:val="32"/>
        </w:rPr>
        <w:t>第三部分   招标内容及参数要求</w:t>
      </w:r>
    </w:p>
    <w:p w14:paraId="6635F4D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（注：带“★”的参数需求为实质性要求，供应商必须响应并满足的参数需求，采购人、采购代理机构应当根据项目实际需求合理设定，并明确具体要求。</w:t>
      </w:r>
      <w:r>
        <w:rPr>
          <w:rFonts w:hint="eastAsia" w:ascii="宋体" w:hAnsi="宋体" w:cs="宋体"/>
          <w:color w:val="auto"/>
          <w:kern w:val="0"/>
          <w:sz w:val="24"/>
          <w:szCs w:val="24"/>
          <w:lang w:val="en-US" w:eastAsia="zh-CN" w:bidi="ar"/>
        </w:rPr>
        <w:t>）</w:t>
      </w:r>
    </w:p>
    <w:p w14:paraId="759BC9F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宋体" w:hAnsi="宋体" w:eastAsia="宋体" w:cs="宋体"/>
          <w:i w:val="0"/>
          <w:iCs w:val="0"/>
          <w:caps w:val="0"/>
          <w:color w:val="auto"/>
          <w:spacing w:val="0"/>
          <w:sz w:val="24"/>
          <w:szCs w:val="24"/>
          <w:highlight w:val="none"/>
          <w:shd w:val="clear" w:fill="FFFFFF"/>
          <w:lang w:eastAsia="zh-CN"/>
        </w:rPr>
      </w:pPr>
      <w:r>
        <w:rPr>
          <w:rFonts w:hint="eastAsia" w:ascii="宋体" w:hAnsi="宋体" w:eastAsia="宋体" w:cs="宋体"/>
          <w:color w:val="auto"/>
          <w:sz w:val="24"/>
          <w:szCs w:val="24"/>
        </w:rPr>
        <w:t>一、项目名称：</w:t>
      </w:r>
      <w:r>
        <w:rPr>
          <w:rFonts w:hint="eastAsia" w:ascii="宋体" w:hAnsi="宋体" w:eastAsia="宋体" w:cs="宋体"/>
          <w:i w:val="0"/>
          <w:iCs w:val="0"/>
          <w:caps w:val="0"/>
          <w:color w:val="auto"/>
          <w:spacing w:val="0"/>
          <w:sz w:val="24"/>
          <w:szCs w:val="24"/>
          <w:highlight w:val="none"/>
          <w:shd w:val="clear" w:fill="FFFFFF"/>
        </w:rPr>
        <w:t>延安市公安局市县两级110统一接警运营维护服务项目</w:t>
      </w:r>
      <w:r>
        <w:rPr>
          <w:rFonts w:hint="eastAsia" w:ascii="宋体" w:hAnsi="宋体" w:cs="宋体"/>
          <w:i w:val="0"/>
          <w:iCs w:val="0"/>
          <w:caps w:val="0"/>
          <w:color w:val="auto"/>
          <w:spacing w:val="0"/>
          <w:sz w:val="24"/>
          <w:szCs w:val="24"/>
          <w:highlight w:val="none"/>
          <w:shd w:val="clear" w:fill="FFFFFF"/>
          <w:lang w:eastAsia="zh-CN"/>
        </w:rPr>
        <w:t>（</w:t>
      </w:r>
      <w:r>
        <w:rPr>
          <w:rFonts w:hint="eastAsia" w:ascii="宋体" w:hAnsi="宋体" w:cs="宋体"/>
          <w:i w:val="0"/>
          <w:iCs w:val="0"/>
          <w:caps w:val="0"/>
          <w:color w:val="auto"/>
          <w:spacing w:val="0"/>
          <w:sz w:val="24"/>
          <w:szCs w:val="24"/>
          <w:highlight w:val="none"/>
          <w:shd w:val="clear" w:fill="FFFFFF"/>
          <w:lang w:val="en-US" w:eastAsia="zh-CN"/>
        </w:rPr>
        <w:t>二次</w:t>
      </w:r>
      <w:r>
        <w:rPr>
          <w:rFonts w:hint="eastAsia" w:ascii="宋体" w:hAnsi="宋体" w:cs="宋体"/>
          <w:i w:val="0"/>
          <w:iCs w:val="0"/>
          <w:caps w:val="0"/>
          <w:color w:val="auto"/>
          <w:spacing w:val="0"/>
          <w:sz w:val="24"/>
          <w:szCs w:val="24"/>
          <w:highlight w:val="none"/>
          <w:shd w:val="clear" w:fill="FFFFFF"/>
          <w:lang w:eastAsia="zh-CN"/>
        </w:rPr>
        <w:t>）</w:t>
      </w:r>
    </w:p>
    <w:p w14:paraId="03D5514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二、</w:t>
      </w:r>
      <w:r>
        <w:rPr>
          <w:rFonts w:hint="eastAsia" w:ascii="宋体" w:hAnsi="宋体" w:eastAsia="宋体" w:cs="宋体"/>
          <w:color w:val="auto"/>
          <w:sz w:val="24"/>
          <w:szCs w:val="24"/>
          <w:lang w:val="en-US" w:eastAsia="zh-CN"/>
        </w:rPr>
        <w:t>服务期限：自合同签订之日起1年</w:t>
      </w:r>
    </w:p>
    <w:p w14:paraId="030DC22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lang w:eastAsia="zh-CN"/>
        </w:rPr>
        <w:t>质量目标</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符合国家及行业现行相关规程、规范标准及相关技术规范要求</w:t>
      </w:r>
    </w:p>
    <w:p w14:paraId="6038FE2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outlineLvl w:val="9"/>
        <w:rPr>
          <w:rFonts w:hint="eastAsia" w:ascii="宋体" w:hAnsi="宋体" w:eastAsia="宋体" w:cs="宋体"/>
          <w:color w:val="auto"/>
          <w:sz w:val="24"/>
          <w:szCs w:val="24"/>
        </w:rPr>
      </w:pPr>
      <w:r>
        <w:rPr>
          <w:rFonts w:hint="eastAsia" w:ascii="宋体" w:hAnsi="宋体" w:cs="宋体"/>
          <w:color w:val="auto"/>
          <w:sz w:val="24"/>
          <w:szCs w:val="24"/>
          <w:lang w:val="en-US" w:eastAsia="zh-CN"/>
        </w:rPr>
        <w:t>四</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服务内容</w:t>
      </w:r>
      <w:r>
        <w:rPr>
          <w:rFonts w:hint="eastAsia" w:ascii="宋体" w:hAnsi="宋体" w:eastAsia="宋体" w:cs="宋体"/>
          <w:color w:val="auto"/>
          <w:sz w:val="24"/>
          <w:szCs w:val="24"/>
        </w:rPr>
        <w:t>：</w:t>
      </w:r>
    </w:p>
    <w:p w14:paraId="07AF5B7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2" w:firstLineChars="200"/>
        <w:jc w:val="left"/>
        <w:textAlignment w:val="auto"/>
        <w:outlineLvl w:val="9"/>
        <w:rPr>
          <w:rFonts w:hint="eastAsia" w:ascii="宋体" w:hAnsi="宋体" w:eastAsia="宋体" w:cs="宋体"/>
          <w:b/>
          <w:bCs w:val="0"/>
          <w:color w:val="auto"/>
          <w:sz w:val="24"/>
          <w:szCs w:val="24"/>
        </w:rPr>
      </w:pPr>
      <w:r>
        <w:rPr>
          <w:rFonts w:hint="eastAsia" w:ascii="宋体" w:hAnsi="宋体" w:cs="宋体"/>
          <w:b/>
          <w:bCs w:val="0"/>
          <w:color w:val="auto"/>
          <w:kern w:val="44"/>
          <w:sz w:val="24"/>
          <w:szCs w:val="24"/>
          <w:lang w:val="en-US" w:eastAsia="zh-CN" w:bidi="ar-SA"/>
        </w:rPr>
        <w:t>1.</w:t>
      </w:r>
      <w:r>
        <w:rPr>
          <w:rFonts w:hint="eastAsia" w:ascii="宋体" w:hAnsi="宋体" w:eastAsia="宋体" w:cs="宋体"/>
          <w:b/>
          <w:bCs w:val="0"/>
          <w:color w:val="auto"/>
          <w:sz w:val="24"/>
          <w:szCs w:val="24"/>
        </w:rPr>
        <w:t>项目背景</w:t>
      </w:r>
    </w:p>
    <w:p w14:paraId="6AC7C1B4">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延安市公安局110情指中心承担着受理报警求助、维护社会治安、服务人民群众的重要职责，是保障全市安全稳定、服务群众的重要枢纽。目前全市110</w:t>
      </w:r>
      <w:r>
        <w:rPr>
          <w:rFonts w:hint="eastAsia" w:ascii="宋体" w:hAnsi="宋体" w:eastAsia="宋体" w:cs="宋体"/>
          <w:b w:val="0"/>
          <w:bCs w:val="0"/>
          <w:color w:val="auto"/>
          <w:sz w:val="24"/>
          <w:szCs w:val="24"/>
          <w:highlight w:val="none"/>
          <w:lang w:val="en-US" w:eastAsia="zh-CN"/>
        </w:rPr>
        <w:t>报警接线</w:t>
      </w:r>
      <w:r>
        <w:rPr>
          <w:rFonts w:hint="eastAsia" w:ascii="宋体" w:hAnsi="宋体" w:eastAsia="宋体" w:cs="宋体"/>
          <w:color w:val="auto"/>
          <w:kern w:val="0"/>
          <w:sz w:val="24"/>
          <w:szCs w:val="24"/>
          <w:lang w:val="en-US" w:eastAsia="zh-CN" w:bidi="ar"/>
        </w:rPr>
        <w:t>服务采取市局情指中心及各县分局情指中心分散接处警模式运行。存在报警渠道单一、</w:t>
      </w:r>
      <w:r>
        <w:rPr>
          <w:rFonts w:hint="eastAsia" w:ascii="宋体" w:hAnsi="宋体" w:eastAsia="宋体" w:cs="宋体"/>
          <w:b w:val="0"/>
          <w:bCs w:val="0"/>
          <w:color w:val="auto"/>
          <w:kern w:val="0"/>
          <w:sz w:val="24"/>
          <w:szCs w:val="24"/>
          <w:lang w:val="en-US" w:eastAsia="zh-CN" w:bidi="ar"/>
        </w:rPr>
        <w:t>报警接线</w:t>
      </w:r>
      <w:r>
        <w:rPr>
          <w:rFonts w:hint="eastAsia" w:ascii="宋体" w:hAnsi="宋体" w:eastAsia="宋体" w:cs="宋体"/>
          <w:color w:val="auto"/>
          <w:kern w:val="0"/>
          <w:sz w:val="24"/>
          <w:szCs w:val="24"/>
          <w:lang w:val="en-US" w:eastAsia="zh-CN" w:bidi="ar"/>
        </w:rPr>
        <w:t>不够规范、警情数据分散、接处警环节多、缺乏有效监管等短板问题，制约着我市公安机关为民服务、高效处警的能力水平，难以适应人民群众的新期盼。</w:t>
      </w:r>
    </w:p>
    <w:p w14:paraId="2A57ED1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按照公安部和省公安厅统一部署安排，全国各级公安机关正在深入推进实施公安机关新质战斗力提升工程，积极推进“情指行”一体化运行机制改革。结合延安110当前工作实际情况，为深入推进市县两级110</w:t>
      </w:r>
      <w:r>
        <w:rPr>
          <w:rFonts w:hint="eastAsia" w:ascii="宋体" w:hAnsi="宋体" w:eastAsia="宋体" w:cs="宋体"/>
          <w:b w:val="0"/>
          <w:bCs w:val="0"/>
          <w:color w:val="auto"/>
          <w:sz w:val="24"/>
          <w:szCs w:val="24"/>
          <w:highlight w:val="none"/>
          <w:lang w:val="en-US" w:eastAsia="zh-CN"/>
        </w:rPr>
        <w:t>报警接线</w:t>
      </w:r>
      <w:r>
        <w:rPr>
          <w:rFonts w:hint="eastAsia" w:ascii="宋体" w:hAnsi="宋体" w:eastAsia="宋体" w:cs="宋体"/>
          <w:color w:val="auto"/>
          <w:kern w:val="0"/>
          <w:sz w:val="24"/>
          <w:szCs w:val="24"/>
          <w:lang w:val="en-US" w:eastAsia="zh-CN" w:bidi="ar"/>
        </w:rPr>
        <w:t>工作一体化、规范化建设，打破市县壁垒，整合警务资源，解决当前市县两级</w:t>
      </w:r>
      <w:r>
        <w:rPr>
          <w:rFonts w:hint="eastAsia" w:ascii="宋体" w:hAnsi="宋体" w:eastAsia="宋体" w:cs="宋体"/>
          <w:b w:val="0"/>
          <w:bCs w:val="0"/>
          <w:color w:val="auto"/>
          <w:kern w:val="0"/>
          <w:sz w:val="24"/>
          <w:szCs w:val="24"/>
          <w:lang w:val="en-US" w:eastAsia="zh-CN" w:bidi="ar"/>
        </w:rPr>
        <w:t>报警接线</w:t>
      </w:r>
      <w:r>
        <w:rPr>
          <w:rFonts w:hint="eastAsia" w:ascii="宋体" w:hAnsi="宋体" w:eastAsia="宋体" w:cs="宋体"/>
          <w:color w:val="auto"/>
          <w:kern w:val="0"/>
          <w:sz w:val="24"/>
          <w:szCs w:val="24"/>
          <w:lang w:val="en-US" w:eastAsia="zh-CN" w:bidi="ar"/>
        </w:rPr>
        <w:t>服务存在的响应效率不均衡、流程不统一、服务标准执行不规范等问题，进一步提升</w:t>
      </w:r>
      <w:r>
        <w:rPr>
          <w:rFonts w:hint="eastAsia" w:ascii="宋体" w:hAnsi="宋体" w:eastAsia="宋体" w:cs="宋体"/>
          <w:b w:val="0"/>
          <w:bCs w:val="0"/>
          <w:color w:val="auto"/>
          <w:kern w:val="0"/>
          <w:sz w:val="24"/>
          <w:szCs w:val="24"/>
          <w:lang w:val="en-US" w:eastAsia="zh-CN" w:bidi="ar"/>
        </w:rPr>
        <w:t>报警接线</w:t>
      </w:r>
      <w:r>
        <w:rPr>
          <w:rFonts w:hint="eastAsia" w:ascii="宋体" w:hAnsi="宋体" w:eastAsia="宋体" w:cs="宋体"/>
          <w:color w:val="auto"/>
          <w:kern w:val="0"/>
          <w:sz w:val="24"/>
          <w:szCs w:val="24"/>
          <w:lang w:val="en-US" w:eastAsia="zh-CN" w:bidi="ar"/>
        </w:rPr>
        <w:t>服务专业化水平和群众满意度，缓解基层公安警务资源压力，实现“统一</w:t>
      </w:r>
      <w:r>
        <w:rPr>
          <w:rFonts w:hint="eastAsia" w:ascii="宋体" w:hAnsi="宋体" w:eastAsia="宋体" w:cs="宋体"/>
          <w:b w:val="0"/>
          <w:bCs w:val="0"/>
          <w:color w:val="auto"/>
          <w:kern w:val="0"/>
          <w:sz w:val="24"/>
          <w:szCs w:val="24"/>
          <w:lang w:val="en-US" w:eastAsia="zh-CN" w:bidi="ar"/>
        </w:rPr>
        <w:t>报警接线</w:t>
      </w:r>
      <w:r>
        <w:rPr>
          <w:rFonts w:hint="eastAsia" w:ascii="宋体" w:hAnsi="宋体" w:eastAsia="宋体" w:cs="宋体"/>
          <w:color w:val="auto"/>
          <w:kern w:val="0"/>
          <w:sz w:val="24"/>
          <w:szCs w:val="24"/>
          <w:lang w:val="en-US" w:eastAsia="zh-CN" w:bidi="ar"/>
        </w:rPr>
        <w:t>、分级处置、协同联动、高效便民”的工作目标，现延安市公安局拟通过公开招标的方式，通过引入专业的运营外包服务团队，充分发挥其在人员管理、技术应用、服务流程优化等方面的优势，建立市、县两级统一</w:t>
      </w:r>
      <w:r>
        <w:rPr>
          <w:rFonts w:hint="eastAsia" w:ascii="宋体" w:hAnsi="宋体" w:eastAsia="宋体" w:cs="宋体"/>
          <w:b w:val="0"/>
          <w:bCs w:val="0"/>
          <w:color w:val="auto"/>
          <w:sz w:val="24"/>
          <w:szCs w:val="24"/>
          <w:highlight w:val="none"/>
          <w:lang w:val="en-US" w:eastAsia="zh-CN"/>
        </w:rPr>
        <w:t>报警接线</w:t>
      </w:r>
      <w:r>
        <w:rPr>
          <w:rFonts w:hint="eastAsia" w:ascii="宋体" w:hAnsi="宋体" w:eastAsia="宋体" w:cs="宋体"/>
          <w:color w:val="auto"/>
          <w:kern w:val="0"/>
          <w:sz w:val="24"/>
          <w:szCs w:val="24"/>
          <w:lang w:val="en-US" w:eastAsia="zh-CN" w:bidi="ar"/>
        </w:rPr>
        <w:t>服务模式，实现110</w:t>
      </w:r>
      <w:r>
        <w:rPr>
          <w:rFonts w:hint="eastAsia" w:ascii="宋体" w:hAnsi="宋体" w:eastAsia="宋体" w:cs="宋体"/>
          <w:b w:val="0"/>
          <w:bCs w:val="0"/>
          <w:color w:val="auto"/>
          <w:kern w:val="0"/>
          <w:sz w:val="24"/>
          <w:szCs w:val="24"/>
          <w:lang w:val="en-US" w:eastAsia="zh-CN" w:bidi="ar"/>
        </w:rPr>
        <w:t>报警接线</w:t>
      </w:r>
      <w:r>
        <w:rPr>
          <w:rFonts w:hint="eastAsia" w:ascii="宋体" w:hAnsi="宋体" w:eastAsia="宋体" w:cs="宋体"/>
          <w:color w:val="auto"/>
          <w:kern w:val="0"/>
          <w:sz w:val="24"/>
          <w:szCs w:val="24"/>
          <w:lang w:val="en-US" w:eastAsia="zh-CN" w:bidi="ar"/>
        </w:rPr>
        <w:t>服务的专业化、规范化和高效化，为维护社会稳定、保障人民群众生命财产安全提供有力支撑。</w:t>
      </w:r>
    </w:p>
    <w:p w14:paraId="2EE252A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firstLine="482" w:firstLineChars="200"/>
        <w:jc w:val="left"/>
        <w:textAlignment w:val="auto"/>
        <w:outlineLvl w:val="9"/>
        <w:rPr>
          <w:rFonts w:hint="eastAsia" w:ascii="宋体" w:hAnsi="宋体" w:eastAsia="宋体" w:cs="宋体"/>
          <w:b/>
          <w:bCs w:val="0"/>
          <w:color w:val="auto"/>
          <w:kern w:val="2"/>
          <w:sz w:val="24"/>
          <w:szCs w:val="24"/>
          <w:lang w:val="en-US" w:eastAsia="zh-CN" w:bidi="ar-SA"/>
        </w:rPr>
      </w:pPr>
      <w:r>
        <w:rPr>
          <w:rFonts w:hint="eastAsia" w:ascii="宋体" w:hAnsi="宋体" w:cs="宋体"/>
          <w:b/>
          <w:bCs w:val="0"/>
          <w:color w:val="auto"/>
          <w:kern w:val="2"/>
          <w:sz w:val="24"/>
          <w:szCs w:val="24"/>
          <w:lang w:val="en-US" w:eastAsia="zh-CN" w:bidi="ar-SA"/>
        </w:rPr>
        <w:t>2.</w:t>
      </w:r>
      <w:r>
        <w:rPr>
          <w:rFonts w:hint="eastAsia" w:ascii="宋体" w:hAnsi="宋体" w:eastAsia="宋体" w:cs="宋体"/>
          <w:b/>
          <w:bCs w:val="0"/>
          <w:color w:val="auto"/>
          <w:kern w:val="2"/>
          <w:sz w:val="24"/>
          <w:szCs w:val="24"/>
          <w:lang w:val="en-US" w:eastAsia="zh-CN" w:bidi="ar-SA"/>
        </w:rPr>
        <w:t>服务</w:t>
      </w:r>
      <w:r>
        <w:rPr>
          <w:rFonts w:hint="eastAsia" w:ascii="宋体" w:hAnsi="宋体" w:cs="宋体"/>
          <w:b/>
          <w:bCs w:val="0"/>
          <w:color w:val="auto"/>
          <w:kern w:val="2"/>
          <w:sz w:val="24"/>
          <w:szCs w:val="24"/>
          <w:lang w:val="en-US" w:eastAsia="zh-CN" w:bidi="ar-SA"/>
        </w:rPr>
        <w:t>内容</w:t>
      </w:r>
    </w:p>
    <w:p w14:paraId="5FDDB14D">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本项目旨在承接110</w:t>
      </w:r>
      <w:r>
        <w:rPr>
          <w:rFonts w:hint="eastAsia" w:ascii="宋体" w:hAnsi="宋体" w:eastAsia="宋体" w:cs="宋体"/>
          <w:b w:val="0"/>
          <w:bCs w:val="0"/>
          <w:color w:val="auto"/>
          <w:kern w:val="0"/>
          <w:sz w:val="24"/>
          <w:szCs w:val="24"/>
          <w:lang w:val="en-US" w:eastAsia="zh-CN" w:bidi="ar"/>
        </w:rPr>
        <w:t>报警</w:t>
      </w:r>
      <w:r>
        <w:rPr>
          <w:rFonts w:hint="eastAsia" w:ascii="宋体" w:hAnsi="宋体" w:eastAsia="宋体" w:cs="宋体"/>
          <w:color w:val="auto"/>
          <w:kern w:val="0"/>
          <w:sz w:val="24"/>
          <w:szCs w:val="24"/>
          <w:lang w:val="en-US" w:eastAsia="zh-CN" w:bidi="ar"/>
        </w:rPr>
        <w:t>接线相关外包服务，严格遵循公安部门110接警工作规范及相关法律法规要求，协助公安部门高效受理各类警情，提升</w:t>
      </w:r>
      <w:r>
        <w:rPr>
          <w:rFonts w:hint="eastAsia" w:ascii="宋体" w:hAnsi="宋体" w:eastAsia="宋体" w:cs="宋体"/>
          <w:b w:val="0"/>
          <w:bCs w:val="0"/>
          <w:color w:val="auto"/>
          <w:sz w:val="24"/>
          <w:szCs w:val="24"/>
          <w:highlight w:val="none"/>
          <w:lang w:val="en-US" w:eastAsia="zh-CN"/>
        </w:rPr>
        <w:t>报警接线</w:t>
      </w:r>
      <w:r>
        <w:rPr>
          <w:rFonts w:hint="eastAsia" w:ascii="宋体" w:hAnsi="宋体" w:eastAsia="宋体" w:cs="宋体"/>
          <w:color w:val="auto"/>
          <w:kern w:val="0"/>
          <w:sz w:val="24"/>
          <w:szCs w:val="24"/>
          <w:lang w:val="en-US" w:eastAsia="zh-CN" w:bidi="ar"/>
        </w:rPr>
        <w:t>服务质量、缩短响应时效，减轻公安一线警力负担，为群众提供便捷、规范、专业的报警接线服务。具体服务内容如下：</w:t>
      </w:r>
    </w:p>
    <w:p w14:paraId="3784B7EC">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2.1报警</w:t>
      </w:r>
      <w:r>
        <w:rPr>
          <w:rFonts w:hint="eastAsia" w:ascii="宋体" w:hAnsi="宋体" w:eastAsia="宋体" w:cs="宋体"/>
          <w:b w:val="0"/>
          <w:bCs w:val="0"/>
          <w:color w:val="auto"/>
          <w:sz w:val="24"/>
          <w:szCs w:val="24"/>
          <w:lang w:val="en-US" w:eastAsia="zh-CN"/>
        </w:rPr>
        <w:t>接线服务：严格执行110报警接线服务时限24小时不间断、坚决落实10秒极速接线响应标准，避免警情漏接、迟接、缓接等问题；日常接线工作中，严格执行规范作业流程与服务标准，要求</w:t>
      </w:r>
      <w:r>
        <w:rPr>
          <w:rFonts w:hint="eastAsia" w:ascii="宋体" w:hAnsi="宋体" w:eastAsia="宋体" w:cs="宋体"/>
          <w:b w:val="0"/>
          <w:bCs w:val="0"/>
          <w:color w:val="auto"/>
          <w:kern w:val="0"/>
          <w:sz w:val="24"/>
          <w:szCs w:val="24"/>
          <w:lang w:val="en-US" w:eastAsia="zh-CN" w:bidi="ar"/>
        </w:rPr>
        <w:t>接线员</w:t>
      </w:r>
      <w:r>
        <w:rPr>
          <w:rFonts w:hint="eastAsia" w:ascii="宋体" w:hAnsi="宋体" w:eastAsia="宋体" w:cs="宋体"/>
          <w:b w:val="0"/>
          <w:bCs w:val="0"/>
          <w:color w:val="auto"/>
          <w:sz w:val="24"/>
          <w:szCs w:val="24"/>
          <w:lang w:val="en-US" w:eastAsia="zh-CN"/>
        </w:rPr>
        <w:t>使用文明规范用语，耐心倾听群众诉求，精准核实报警人信息、事发地点、事件经过、人员伤亡及财产损失等核心内容，做好群众情绪安抚，规范完成信息录入与笔录留存，保障报警接线数据真实完整，为后续处置提供可靠支撑；同时实行警情分类分级处置机制，针对暴力犯罪、人身安全受威胁等紧急高危警情，第一时间完成信息记录并上报，辅助指挥中心快速分流处置及全程跟踪进度、闭环落实结果，切实保障群众生命财产安全。针对政务咨询、民生服务等非警务类诉求，则做好政策解读与渠道引导，精准分流报警接线压力、释放核心警务资源，实现紧急警情优先处置、非警情诉求妥善回应，全面提升110报警接线服务的规范化、高效化、专业化水平。</w:t>
      </w:r>
    </w:p>
    <w:p w14:paraId="6CBFAC80">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2.2</w:t>
      </w:r>
      <w:r>
        <w:rPr>
          <w:rFonts w:hint="eastAsia" w:ascii="宋体" w:hAnsi="宋体" w:eastAsia="宋体" w:cs="宋体"/>
          <w:b w:val="0"/>
          <w:bCs w:val="0"/>
          <w:color w:val="auto"/>
          <w:sz w:val="24"/>
          <w:szCs w:val="24"/>
          <w:lang w:val="en-US" w:eastAsia="zh-CN"/>
        </w:rPr>
        <w:t>警情判断与分类：</w:t>
      </w:r>
      <w:r>
        <w:rPr>
          <w:rFonts w:hint="eastAsia" w:ascii="宋体" w:hAnsi="宋体" w:eastAsia="宋体" w:cs="宋体"/>
          <w:b w:val="0"/>
          <w:bCs w:val="0"/>
          <w:color w:val="auto"/>
          <w:kern w:val="0"/>
          <w:sz w:val="24"/>
          <w:szCs w:val="24"/>
          <w:lang w:val="en-US" w:eastAsia="zh-CN" w:bidi="ar"/>
        </w:rPr>
        <w:t>接线员</w:t>
      </w:r>
      <w:r>
        <w:rPr>
          <w:rFonts w:hint="eastAsia" w:ascii="宋体" w:hAnsi="宋体" w:eastAsia="宋体" w:cs="宋体"/>
          <w:b w:val="0"/>
          <w:bCs w:val="0"/>
          <w:color w:val="auto"/>
          <w:sz w:val="24"/>
          <w:szCs w:val="24"/>
          <w:lang w:val="en-US" w:eastAsia="zh-CN"/>
        </w:rPr>
        <w:t>需结合报警人反馈信息，依据公安部门警情分类标准，精准区分刑事警情、行政警情、紧急求助、非警情诉求四大类别，并判定一般、较大、重大、特别重大的警情严重程度；严格按照统一警情分类编码标准对每起警情规范分类归档，标注分类依据，做到分类精准无偏差、无遗漏，保障后续录入、处置、统计工作准确开展；针对信息不全、情况不明等复杂模糊警情，通过进一步问询核实，结合工作经验与相关指引开展</w:t>
      </w:r>
      <w:r>
        <w:rPr>
          <w:rFonts w:hint="eastAsia" w:ascii="宋体" w:hAnsi="宋体" w:eastAsia="宋体" w:cs="宋体"/>
          <w:b w:val="0"/>
          <w:bCs w:val="0"/>
          <w:color w:val="auto"/>
          <w:sz w:val="24"/>
          <w:szCs w:val="24"/>
          <w:highlight w:val="none"/>
          <w:lang w:val="en-US" w:eastAsia="zh-CN"/>
        </w:rPr>
        <w:t>初步</w:t>
      </w:r>
      <w:r>
        <w:rPr>
          <w:rFonts w:hint="eastAsia" w:ascii="宋体" w:hAnsi="宋体" w:cs="宋体"/>
          <w:b w:val="0"/>
          <w:bCs w:val="0"/>
          <w:color w:val="auto"/>
          <w:sz w:val="24"/>
          <w:szCs w:val="24"/>
          <w:highlight w:val="none"/>
          <w:lang w:val="en-US" w:eastAsia="zh-CN"/>
        </w:rPr>
        <w:t>判断</w:t>
      </w:r>
      <w:r>
        <w:rPr>
          <w:rFonts w:hint="eastAsia" w:ascii="宋体" w:hAnsi="宋体" w:eastAsia="宋体" w:cs="宋体"/>
          <w:b w:val="0"/>
          <w:bCs w:val="0"/>
          <w:color w:val="auto"/>
          <w:sz w:val="24"/>
          <w:szCs w:val="24"/>
          <w:lang w:val="en-US" w:eastAsia="zh-CN"/>
        </w:rPr>
        <w:t>，明确核心诉求与处置方向，为后续公安处置工作提供支撑。</w:t>
      </w:r>
    </w:p>
    <w:p w14:paraId="060614FD">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2.3</w:t>
      </w:r>
      <w:r>
        <w:rPr>
          <w:rFonts w:hint="eastAsia" w:ascii="宋体" w:hAnsi="宋体" w:eastAsia="宋体" w:cs="宋体"/>
          <w:b w:val="0"/>
          <w:bCs w:val="0"/>
          <w:color w:val="auto"/>
          <w:sz w:val="24"/>
          <w:szCs w:val="24"/>
          <w:lang w:val="en-US" w:eastAsia="zh-CN"/>
        </w:rPr>
        <w:t>警情录入：报警接线结束后须在1分钟内，将报警人信息、事发详情、警情性质及分类结果等核心内容完整准确录入公安部门指定110接警信息管理系统，保证录入内容与接警记录一致，严格遵循系统录入规范填写各项字段，重点核验事发地点、联系方式、警情分类等关键信息，杜绝错漏问题，落实双人审核校验机制，由专人复核录入信息的完整性与准确性并及时整改问题。咨询类警情、骚扰类警情、重复警情等无需现场处置的警情，</w:t>
      </w:r>
      <w:r>
        <w:rPr>
          <w:rFonts w:hint="eastAsia" w:ascii="宋体" w:hAnsi="宋体" w:eastAsia="宋体" w:cs="宋体"/>
          <w:b w:val="0"/>
          <w:bCs w:val="0"/>
          <w:color w:val="auto"/>
          <w:kern w:val="0"/>
          <w:sz w:val="24"/>
          <w:szCs w:val="24"/>
          <w:lang w:val="en-US" w:eastAsia="zh-CN" w:bidi="ar"/>
        </w:rPr>
        <w:t>接线员</w:t>
      </w:r>
      <w:r>
        <w:rPr>
          <w:rFonts w:hint="eastAsia" w:ascii="宋体" w:hAnsi="宋体" w:eastAsia="宋体" w:cs="宋体"/>
          <w:b w:val="0"/>
          <w:bCs w:val="0"/>
          <w:color w:val="auto"/>
          <w:sz w:val="24"/>
          <w:szCs w:val="24"/>
          <w:lang w:val="en-US" w:eastAsia="zh-CN"/>
        </w:rPr>
        <w:t>应当参照警情录入规范要求尽可能完整录入警情数据。</w:t>
      </w:r>
    </w:p>
    <w:p w14:paraId="327E5D8D">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2.4</w:t>
      </w:r>
      <w:r>
        <w:rPr>
          <w:rFonts w:hint="eastAsia" w:ascii="宋体" w:hAnsi="宋体" w:eastAsia="宋体" w:cs="宋体"/>
          <w:b w:val="0"/>
          <w:bCs w:val="0"/>
          <w:color w:val="auto"/>
          <w:sz w:val="24"/>
          <w:szCs w:val="24"/>
          <w:lang w:val="en-US" w:eastAsia="zh-CN"/>
        </w:rPr>
        <w:t>警情回访：针对群众评价不满意的警情开展专项回访，摸清群众不满缘由，收集意见建议。建立专项回访台账，规范整理归档资料，及时汇总上报反馈。</w:t>
      </w:r>
    </w:p>
    <w:p w14:paraId="5297CFEA">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kern w:val="0"/>
          <w:sz w:val="24"/>
          <w:szCs w:val="24"/>
          <w:lang w:val="en-US" w:eastAsia="zh-CN" w:bidi="ar"/>
        </w:rPr>
        <w:t>2.5</w:t>
      </w:r>
      <w:r>
        <w:rPr>
          <w:rFonts w:hint="eastAsia" w:ascii="宋体" w:hAnsi="宋体" w:eastAsia="宋体" w:cs="宋体"/>
          <w:b w:val="0"/>
          <w:bCs w:val="0"/>
          <w:color w:val="auto"/>
          <w:sz w:val="24"/>
          <w:szCs w:val="24"/>
          <w:highlight w:val="none"/>
          <w:lang w:val="en-US" w:eastAsia="zh-CN"/>
        </w:rPr>
        <w:t>接线服务效能统计分析：利用统计分析工具实现对报警接线服务数据的日、周、月常态化自动归集与汇总统计，重点统计接线总量、响应时间、警情录入准确率等核心接线运营管理指标，形成规范的基础统计报表。严格遵循公安统计工作规范及数据报送管理制度，标准化输出、按时报送各类报警接线统计报表，全程保障统计数据真实准确、逻辑严谨规范、内容完整合规。严格执行公安数据安全管理规定，依托平台分级权限、数据脱敏、操作留痕等安全管控能力，妥善存储、使用、管理各类报警接线统计数据及分析成果，严禁数据篡改、外泄、违规使用，全面筑牢</w:t>
      </w:r>
      <w:r>
        <w:rPr>
          <w:rFonts w:hint="eastAsia" w:ascii="宋体" w:hAnsi="宋体" w:eastAsia="宋体" w:cs="宋体"/>
          <w:b w:val="0"/>
          <w:bCs w:val="0"/>
          <w:color w:val="auto"/>
          <w:kern w:val="0"/>
          <w:sz w:val="24"/>
          <w:szCs w:val="24"/>
          <w:lang w:val="en-US" w:eastAsia="zh-CN" w:bidi="ar"/>
        </w:rPr>
        <w:t>报警接线</w:t>
      </w:r>
      <w:r>
        <w:rPr>
          <w:rFonts w:hint="eastAsia" w:ascii="宋体" w:hAnsi="宋体" w:eastAsia="宋体" w:cs="宋体"/>
          <w:b w:val="0"/>
          <w:bCs w:val="0"/>
          <w:color w:val="auto"/>
          <w:sz w:val="24"/>
          <w:szCs w:val="24"/>
          <w:highlight w:val="none"/>
          <w:lang w:val="en-US" w:eastAsia="zh-CN"/>
        </w:rPr>
        <w:t>数据信息安全防线。</w:t>
      </w:r>
    </w:p>
    <w:p w14:paraId="5BEDBA3E">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2.6</w:t>
      </w:r>
      <w:r>
        <w:rPr>
          <w:rFonts w:hint="eastAsia" w:ascii="宋体" w:hAnsi="宋体" w:eastAsia="宋体" w:cs="宋体"/>
          <w:b w:val="0"/>
          <w:bCs w:val="0"/>
          <w:color w:val="auto"/>
          <w:sz w:val="24"/>
          <w:szCs w:val="24"/>
          <w:lang w:val="en-US" w:eastAsia="zh-CN"/>
        </w:rPr>
        <w:t>讲解服务：协助采购人开展接处警来访接待、普及警务知识、传递公安为民服务理念，主要面向参观群众、党政机关、企事业单位、学校师生、媒体记者等各类群体，开展专业讲解、引导服务、知识科普、秩序维护等工作，全方位展现指挥中心接警调度、应急指挥联动处置的核心职能与工作成效。要求规范做好来访人员引导、服务保障及讲解介绍，重点展示110接警中心规范化建设成果，彰显公安队伍专业严谨、高效务实的良好形象，保障来访交流有序顺畅开展。</w:t>
      </w:r>
    </w:p>
    <w:p w14:paraId="731AAF5D">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2.7会议保障服务：协助采购人专项负责110接警中心日常会议、警务调度会议、应急指挥视频会议的全程保障、设备运维及现场服务工作，确保各类会议稳定、规范开展。</w:t>
      </w:r>
    </w:p>
    <w:p w14:paraId="78C3AB41">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2.8运维服务保障：协助采购人专项负责110接警中心接警终端、办公电脑、指挥调度设备及配套网络设施的日常运维、故障抢修、安全隐患排查、系统运行保障等工作，确保各类设备及网络系统持续稳定、高效运行。</w:t>
      </w:r>
    </w:p>
    <w:p w14:paraId="44E028A9">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2.9驾驶服务：协助采购人专职负责110接警中心公务出行及车辆驾驶保障工作，具备良好的车辆应急处置能力。</w:t>
      </w:r>
    </w:p>
    <w:p w14:paraId="4CBFDC0D">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2.</w:t>
      </w:r>
      <w:r>
        <w:rPr>
          <w:rFonts w:hint="eastAsia" w:ascii="宋体" w:hAnsi="宋体" w:cs="宋体"/>
          <w:b w:val="0"/>
          <w:bCs w:val="0"/>
          <w:color w:val="auto"/>
          <w:kern w:val="0"/>
          <w:sz w:val="24"/>
          <w:szCs w:val="24"/>
          <w:lang w:val="en-US" w:eastAsia="zh-CN" w:bidi="ar"/>
        </w:rPr>
        <w:t>10</w:t>
      </w:r>
      <w:r>
        <w:rPr>
          <w:rFonts w:hint="eastAsia" w:ascii="宋体" w:hAnsi="宋体" w:eastAsia="宋体" w:cs="宋体"/>
          <w:b w:val="0"/>
          <w:bCs w:val="0"/>
          <w:color w:val="auto"/>
          <w:sz w:val="24"/>
          <w:szCs w:val="24"/>
          <w:lang w:val="en-US" w:eastAsia="zh-CN"/>
        </w:rPr>
        <w:t>市、县两级报警接线集约：实施110</w:t>
      </w:r>
      <w:r>
        <w:rPr>
          <w:rFonts w:hint="eastAsia" w:ascii="宋体" w:hAnsi="宋体" w:eastAsia="宋体" w:cs="宋体"/>
          <w:b w:val="0"/>
          <w:bCs w:val="0"/>
          <w:color w:val="auto"/>
          <w:sz w:val="24"/>
          <w:szCs w:val="24"/>
          <w:highlight w:val="none"/>
          <w:lang w:val="en-US" w:eastAsia="zh-CN"/>
        </w:rPr>
        <w:t>报警接线</w:t>
      </w:r>
      <w:r>
        <w:rPr>
          <w:rFonts w:hint="eastAsia" w:ascii="宋体" w:hAnsi="宋体" w:eastAsia="宋体" w:cs="宋体"/>
          <w:b w:val="0"/>
          <w:bCs w:val="0"/>
          <w:color w:val="auto"/>
          <w:sz w:val="24"/>
          <w:szCs w:val="24"/>
          <w:lang w:val="en-US" w:eastAsia="zh-CN"/>
        </w:rPr>
        <w:t>服务工作市、县两级集约化建设，构建全市统一报警接线服务；将</w:t>
      </w:r>
      <w:r>
        <w:rPr>
          <w:rFonts w:hint="eastAsia" w:ascii="宋体" w:hAnsi="宋体" w:eastAsia="宋体" w:cs="宋体"/>
          <w:b w:val="0"/>
          <w:bCs w:val="0"/>
          <w:color w:val="auto"/>
          <w:sz w:val="24"/>
          <w:szCs w:val="24"/>
          <w:highlight w:val="none"/>
          <w:lang w:val="en-US" w:eastAsia="zh-CN"/>
        </w:rPr>
        <w:t>报警接线</w:t>
      </w:r>
      <w:r>
        <w:rPr>
          <w:rFonts w:hint="eastAsia" w:ascii="宋体" w:hAnsi="宋体" w:eastAsia="宋体" w:cs="宋体"/>
          <w:b w:val="0"/>
          <w:bCs w:val="0"/>
          <w:color w:val="auto"/>
          <w:sz w:val="24"/>
          <w:szCs w:val="24"/>
          <w:lang w:val="en-US" w:eastAsia="zh-CN"/>
        </w:rPr>
        <w:t>流程、服务话术、分类标准及信息要素的全流程操作严格参照规范贯彻落实；开展分级分类培训，确保</w:t>
      </w:r>
      <w:r>
        <w:rPr>
          <w:rFonts w:hint="eastAsia" w:ascii="宋体" w:hAnsi="宋体" w:eastAsia="宋体" w:cs="宋体"/>
          <w:b w:val="0"/>
          <w:bCs w:val="0"/>
          <w:color w:val="auto"/>
          <w:kern w:val="0"/>
          <w:sz w:val="24"/>
          <w:szCs w:val="24"/>
          <w:lang w:val="en-US" w:eastAsia="zh-CN" w:bidi="ar"/>
        </w:rPr>
        <w:t>接线员</w:t>
      </w:r>
      <w:r>
        <w:rPr>
          <w:rFonts w:hint="eastAsia" w:ascii="宋体" w:hAnsi="宋体" w:eastAsia="宋体" w:cs="宋体"/>
          <w:b w:val="0"/>
          <w:bCs w:val="0"/>
          <w:color w:val="auto"/>
          <w:sz w:val="24"/>
          <w:szCs w:val="24"/>
          <w:lang w:val="en-US" w:eastAsia="zh-CN"/>
        </w:rPr>
        <w:t>熟练掌握统一的规范标准、切实提升110</w:t>
      </w:r>
      <w:r>
        <w:rPr>
          <w:rFonts w:hint="eastAsia" w:ascii="宋体" w:hAnsi="宋体" w:eastAsia="宋体" w:cs="宋体"/>
          <w:b w:val="0"/>
          <w:bCs w:val="0"/>
          <w:color w:val="auto"/>
          <w:sz w:val="24"/>
          <w:szCs w:val="24"/>
          <w:highlight w:val="none"/>
          <w:lang w:val="en-US" w:eastAsia="zh-CN"/>
        </w:rPr>
        <w:t>报警接线</w:t>
      </w:r>
      <w:r>
        <w:rPr>
          <w:rFonts w:hint="eastAsia" w:ascii="宋体" w:hAnsi="宋体" w:eastAsia="宋体" w:cs="宋体"/>
          <w:b w:val="0"/>
          <w:bCs w:val="0"/>
          <w:color w:val="auto"/>
          <w:sz w:val="24"/>
          <w:szCs w:val="24"/>
          <w:lang w:val="en-US" w:eastAsia="zh-CN"/>
        </w:rPr>
        <w:t>服务工作的精准性、时效性与协同性，打通服务群众的“最后一公里”。</w:t>
      </w:r>
    </w:p>
    <w:p w14:paraId="0CDF4090">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2.</w:t>
      </w:r>
      <w:r>
        <w:rPr>
          <w:rFonts w:hint="eastAsia" w:ascii="宋体" w:hAnsi="宋体" w:cs="宋体"/>
          <w:b w:val="0"/>
          <w:bCs w:val="0"/>
          <w:color w:val="auto"/>
          <w:kern w:val="0"/>
          <w:sz w:val="24"/>
          <w:szCs w:val="24"/>
          <w:lang w:val="en-US" w:eastAsia="zh-CN" w:bidi="ar"/>
        </w:rPr>
        <w:t>11</w:t>
      </w:r>
      <w:r>
        <w:rPr>
          <w:rFonts w:hint="eastAsia" w:ascii="宋体" w:hAnsi="宋体" w:eastAsia="宋体" w:cs="宋体"/>
          <w:b w:val="0"/>
          <w:bCs w:val="0"/>
          <w:color w:val="auto"/>
          <w:sz w:val="24"/>
          <w:szCs w:val="24"/>
          <w:lang w:val="en-US" w:eastAsia="zh-CN"/>
        </w:rPr>
        <w:t>配合采购人的其它工作：积极配合公安部门开展警情专项整治、宣传引导等各类专项工作，按照要求提供相关警情数据、资料，协助完成各项工作任务。</w:t>
      </w:r>
    </w:p>
    <w:p w14:paraId="6923F34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firstLine="482" w:firstLineChars="200"/>
        <w:jc w:val="left"/>
        <w:textAlignment w:val="auto"/>
        <w:outlineLvl w:val="9"/>
        <w:rPr>
          <w:rFonts w:hint="eastAsia" w:ascii="宋体" w:hAnsi="宋体" w:eastAsia="宋体" w:cs="宋体"/>
          <w:b/>
          <w:bCs w:val="0"/>
          <w:color w:val="auto"/>
          <w:kern w:val="2"/>
          <w:sz w:val="24"/>
          <w:szCs w:val="24"/>
          <w:lang w:val="en-US" w:eastAsia="zh-CN" w:bidi="ar-SA"/>
        </w:rPr>
      </w:pPr>
      <w:r>
        <w:rPr>
          <w:rFonts w:hint="eastAsia" w:ascii="宋体" w:hAnsi="宋体" w:cs="宋体"/>
          <w:b/>
          <w:bCs w:val="0"/>
          <w:color w:val="auto"/>
          <w:kern w:val="2"/>
          <w:sz w:val="24"/>
          <w:szCs w:val="24"/>
          <w:lang w:val="en-US" w:eastAsia="zh-CN" w:bidi="ar-SA"/>
        </w:rPr>
        <w:t>3.服务</w:t>
      </w:r>
      <w:r>
        <w:rPr>
          <w:rFonts w:hint="eastAsia" w:ascii="宋体" w:hAnsi="宋体" w:eastAsia="宋体" w:cs="宋体"/>
          <w:b/>
          <w:bCs w:val="0"/>
          <w:color w:val="auto"/>
          <w:kern w:val="2"/>
          <w:sz w:val="24"/>
          <w:szCs w:val="24"/>
          <w:lang w:val="en-US" w:eastAsia="zh-CN" w:bidi="ar-SA"/>
        </w:rPr>
        <w:t>规范</w:t>
      </w:r>
    </w:p>
    <w:p w14:paraId="13DF06B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本项目技术规范依据以下法律法规、行业标准及相关要求制定，服务商提供的服务必须符合且不低于以下规范，同时兼顾市县两级接处警工作的差异性和协同性：</w:t>
      </w:r>
    </w:p>
    <w:p w14:paraId="236BBBD7">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3.1</w:t>
      </w:r>
      <w:r>
        <w:rPr>
          <w:rFonts w:hint="eastAsia" w:ascii="宋体" w:hAnsi="宋体" w:eastAsia="宋体" w:cs="宋体"/>
          <w:b w:val="0"/>
          <w:bCs w:val="0"/>
          <w:color w:val="auto"/>
          <w:sz w:val="24"/>
          <w:szCs w:val="24"/>
          <w:lang w:val="en-US" w:eastAsia="zh-CN"/>
        </w:rPr>
        <w:t>《110接处警工作规则》</w:t>
      </w:r>
    </w:p>
    <w:p w14:paraId="3F6912AF">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3.2</w:t>
      </w:r>
      <w:r>
        <w:rPr>
          <w:rFonts w:hint="eastAsia" w:ascii="宋体" w:hAnsi="宋体" w:eastAsia="宋体" w:cs="宋体"/>
          <w:b w:val="0"/>
          <w:bCs w:val="0"/>
          <w:color w:val="auto"/>
          <w:sz w:val="24"/>
          <w:szCs w:val="24"/>
          <w:lang w:val="en-US" w:eastAsia="zh-CN"/>
        </w:rPr>
        <w:t>《公安机关110接处警工作规范》</w:t>
      </w:r>
    </w:p>
    <w:p w14:paraId="490A0B11">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3.3</w:t>
      </w:r>
      <w:r>
        <w:rPr>
          <w:rFonts w:hint="eastAsia" w:ascii="宋体" w:hAnsi="宋体" w:eastAsia="宋体" w:cs="宋体"/>
          <w:b w:val="0"/>
          <w:bCs w:val="0"/>
          <w:color w:val="auto"/>
          <w:sz w:val="24"/>
          <w:szCs w:val="24"/>
          <w:lang w:val="en-US" w:eastAsia="zh-CN"/>
        </w:rPr>
        <w:t>《公安机关110接处警警情数据规范》</w:t>
      </w:r>
    </w:p>
    <w:p w14:paraId="7B6D4D81">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3.4</w:t>
      </w:r>
      <w:r>
        <w:rPr>
          <w:rFonts w:hint="eastAsia" w:ascii="宋体" w:hAnsi="宋体" w:eastAsia="宋体" w:cs="宋体"/>
          <w:b w:val="0"/>
          <w:bCs w:val="0"/>
          <w:color w:val="auto"/>
          <w:sz w:val="24"/>
          <w:szCs w:val="24"/>
          <w:lang w:val="en-US" w:eastAsia="zh-CN"/>
        </w:rPr>
        <w:t>采购人制定的延安市市县两级110</w:t>
      </w:r>
      <w:r>
        <w:rPr>
          <w:rFonts w:hint="eastAsia" w:ascii="宋体" w:hAnsi="宋体" w:eastAsia="宋体" w:cs="宋体"/>
          <w:b w:val="0"/>
          <w:bCs w:val="0"/>
          <w:color w:val="auto"/>
          <w:sz w:val="24"/>
          <w:szCs w:val="24"/>
          <w:highlight w:val="none"/>
          <w:lang w:val="en-US" w:eastAsia="zh-CN"/>
        </w:rPr>
        <w:t>报警接线</w:t>
      </w:r>
      <w:r>
        <w:rPr>
          <w:rFonts w:hint="eastAsia" w:ascii="宋体" w:hAnsi="宋体" w:eastAsia="宋体" w:cs="宋体"/>
          <w:b w:val="0"/>
          <w:bCs w:val="0"/>
          <w:color w:val="auto"/>
          <w:sz w:val="24"/>
          <w:szCs w:val="24"/>
          <w:lang w:val="en-US" w:eastAsia="zh-CN"/>
        </w:rPr>
        <w:t>服务相关管理规定、操作规范及考核标准国家及地方关于政务服务、数据安全、保密管理、网络安全的相关法律法规及标准。</w:t>
      </w:r>
    </w:p>
    <w:p w14:paraId="6D7F012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firstLine="482" w:firstLineChars="200"/>
        <w:jc w:val="left"/>
        <w:textAlignment w:val="auto"/>
        <w:outlineLvl w:val="9"/>
        <w:rPr>
          <w:rFonts w:hint="eastAsia" w:ascii="宋体" w:hAnsi="宋体" w:eastAsia="宋体" w:cs="宋体"/>
          <w:b/>
          <w:bCs w:val="0"/>
          <w:color w:val="auto"/>
          <w:kern w:val="2"/>
          <w:sz w:val="24"/>
          <w:szCs w:val="24"/>
          <w:lang w:val="en-US" w:eastAsia="zh-CN" w:bidi="ar-SA"/>
        </w:rPr>
      </w:pPr>
      <w:r>
        <w:rPr>
          <w:rFonts w:hint="eastAsia" w:ascii="宋体" w:hAnsi="宋体" w:cs="宋体"/>
          <w:b/>
          <w:bCs w:val="0"/>
          <w:color w:val="auto"/>
          <w:kern w:val="2"/>
          <w:sz w:val="24"/>
          <w:szCs w:val="24"/>
          <w:lang w:val="en-US" w:eastAsia="zh-CN" w:bidi="ar-SA"/>
        </w:rPr>
        <w:t>4.</w:t>
      </w:r>
      <w:r>
        <w:rPr>
          <w:rFonts w:hint="eastAsia" w:ascii="宋体" w:hAnsi="宋体" w:eastAsia="宋体" w:cs="宋体"/>
          <w:b/>
          <w:bCs w:val="0"/>
          <w:color w:val="auto"/>
          <w:kern w:val="2"/>
          <w:sz w:val="24"/>
          <w:szCs w:val="24"/>
          <w:lang w:val="en-US" w:eastAsia="zh-CN" w:bidi="ar-SA"/>
        </w:rPr>
        <w:t>服务目标</w:t>
      </w:r>
    </w:p>
    <w:p w14:paraId="75FE7C3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依托延安市公安局一体化接处警服务体系，通过本项目统一</w:t>
      </w:r>
      <w:r>
        <w:rPr>
          <w:rFonts w:hint="eastAsia" w:ascii="宋体" w:hAnsi="宋体" w:eastAsia="宋体" w:cs="宋体"/>
          <w:b w:val="0"/>
          <w:bCs w:val="0"/>
          <w:color w:val="auto"/>
          <w:sz w:val="24"/>
          <w:szCs w:val="24"/>
          <w:highlight w:val="none"/>
          <w:lang w:val="en-US" w:eastAsia="zh-CN"/>
        </w:rPr>
        <w:t>报警接线</w:t>
      </w:r>
      <w:r>
        <w:rPr>
          <w:rFonts w:hint="eastAsia" w:ascii="宋体" w:hAnsi="宋体" w:eastAsia="宋体" w:cs="宋体"/>
          <w:color w:val="auto"/>
          <w:kern w:val="0"/>
          <w:sz w:val="24"/>
          <w:szCs w:val="24"/>
          <w:lang w:val="en-US" w:eastAsia="zh-CN" w:bidi="ar"/>
        </w:rPr>
        <w:t>服务，夯实现有标准化基础，实现市县两级110</w:t>
      </w:r>
      <w:r>
        <w:rPr>
          <w:rFonts w:hint="eastAsia" w:ascii="宋体" w:hAnsi="宋体" w:eastAsia="宋体" w:cs="宋体"/>
          <w:b w:val="0"/>
          <w:bCs w:val="0"/>
          <w:color w:val="auto"/>
          <w:kern w:val="0"/>
          <w:sz w:val="24"/>
          <w:szCs w:val="24"/>
          <w:lang w:val="en-US" w:eastAsia="zh-CN" w:bidi="ar"/>
        </w:rPr>
        <w:t>报警接线</w:t>
      </w:r>
      <w:r>
        <w:rPr>
          <w:rFonts w:hint="eastAsia" w:ascii="宋体" w:hAnsi="宋体" w:eastAsia="宋体" w:cs="宋体"/>
          <w:color w:val="auto"/>
          <w:kern w:val="0"/>
          <w:sz w:val="24"/>
          <w:szCs w:val="24"/>
          <w:lang w:val="en-US" w:eastAsia="zh-CN" w:bidi="ar"/>
        </w:rPr>
        <w:t>工作“响应高效、协同顺畅、数据互通、服务优质”，具体目标如下：</w:t>
      </w:r>
    </w:p>
    <w:p w14:paraId="7B378165">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4.1</w:t>
      </w:r>
      <w:r>
        <w:rPr>
          <w:rFonts w:hint="eastAsia" w:ascii="宋体" w:hAnsi="宋体" w:eastAsia="宋体" w:cs="宋体"/>
          <w:b w:val="0"/>
          <w:bCs w:val="0"/>
          <w:color w:val="auto"/>
          <w:sz w:val="24"/>
          <w:szCs w:val="24"/>
          <w:lang w:val="en-US" w:eastAsia="zh-CN"/>
        </w:rPr>
        <w:t>响应效率统一提升：市级统一接警中心人工电话10秒内接听，平均即时接通率不低于100%</w:t>
      </w:r>
      <w:r>
        <w:rPr>
          <w:rFonts w:hint="eastAsia" w:ascii="宋体" w:hAnsi="宋体" w:cs="宋体"/>
          <w:b w:val="0"/>
          <w:bCs w:val="0"/>
          <w:color w:val="auto"/>
          <w:sz w:val="24"/>
          <w:szCs w:val="24"/>
          <w:lang w:val="en-US" w:eastAsia="zh-CN"/>
        </w:rPr>
        <w:t>。</w:t>
      </w:r>
    </w:p>
    <w:p w14:paraId="5576814C">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4.2</w:t>
      </w:r>
      <w:r>
        <w:rPr>
          <w:rFonts w:hint="eastAsia" w:ascii="宋体" w:hAnsi="宋体" w:eastAsia="宋体" w:cs="宋体"/>
          <w:b w:val="0"/>
          <w:bCs w:val="0"/>
          <w:color w:val="auto"/>
          <w:sz w:val="24"/>
          <w:szCs w:val="24"/>
          <w:lang w:val="en-US" w:eastAsia="zh-CN"/>
        </w:rPr>
        <w:t>统一服务流程及规范的夯实：严格落实《110接处警工作规则》、《公安机关110接处警工作规范》、《公安机关110接处警警情数据规范》确保</w:t>
      </w:r>
      <w:r>
        <w:rPr>
          <w:rFonts w:hint="eastAsia" w:ascii="宋体" w:hAnsi="宋体" w:eastAsia="宋体" w:cs="宋体"/>
          <w:b w:val="0"/>
          <w:bCs w:val="0"/>
          <w:color w:val="auto"/>
          <w:sz w:val="24"/>
          <w:szCs w:val="24"/>
          <w:highlight w:val="none"/>
          <w:lang w:val="en-US" w:eastAsia="zh-CN"/>
        </w:rPr>
        <w:t>报警接线</w:t>
      </w:r>
      <w:r>
        <w:rPr>
          <w:rFonts w:hint="eastAsia" w:ascii="宋体" w:hAnsi="宋体" w:eastAsia="宋体" w:cs="宋体"/>
          <w:b w:val="0"/>
          <w:bCs w:val="0"/>
          <w:color w:val="auto"/>
          <w:sz w:val="24"/>
          <w:szCs w:val="24"/>
          <w:lang w:val="en-US" w:eastAsia="zh-CN"/>
        </w:rPr>
        <w:t>操作流程、警情分类标注、话术规范符合要求，实现</w:t>
      </w:r>
      <w:r>
        <w:rPr>
          <w:rFonts w:hint="eastAsia" w:ascii="宋体" w:hAnsi="宋体" w:eastAsia="宋体" w:cs="宋体"/>
          <w:b w:val="0"/>
          <w:bCs w:val="0"/>
          <w:color w:val="auto"/>
          <w:sz w:val="24"/>
          <w:szCs w:val="24"/>
          <w:highlight w:val="none"/>
          <w:lang w:val="en-US" w:eastAsia="zh-CN"/>
        </w:rPr>
        <w:t>报警接线</w:t>
      </w:r>
      <w:r>
        <w:rPr>
          <w:rFonts w:hint="eastAsia" w:ascii="宋体" w:hAnsi="宋体" w:eastAsia="宋体" w:cs="宋体"/>
          <w:b w:val="0"/>
          <w:bCs w:val="0"/>
          <w:color w:val="auto"/>
          <w:sz w:val="24"/>
          <w:szCs w:val="24"/>
          <w:lang w:val="en-US" w:eastAsia="zh-CN"/>
        </w:rPr>
        <w:t>、受理、回访全流程标准化，确保警情信息录入及时、规范、准确。</w:t>
      </w:r>
    </w:p>
    <w:p w14:paraId="68810F5A">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4.3</w:t>
      </w:r>
      <w:r>
        <w:rPr>
          <w:rFonts w:hint="eastAsia" w:ascii="宋体" w:hAnsi="宋体" w:eastAsia="宋体" w:cs="宋体"/>
          <w:b w:val="0"/>
          <w:bCs w:val="0"/>
          <w:color w:val="auto"/>
          <w:sz w:val="24"/>
          <w:szCs w:val="24"/>
          <w:lang w:val="en-US" w:eastAsia="zh-CN"/>
        </w:rPr>
        <w:t>服务质量统一达标：加强</w:t>
      </w:r>
      <w:r>
        <w:rPr>
          <w:rFonts w:hint="eastAsia" w:ascii="宋体" w:hAnsi="宋体" w:eastAsia="宋体" w:cs="宋体"/>
          <w:b w:val="0"/>
          <w:bCs w:val="0"/>
          <w:color w:val="auto"/>
          <w:kern w:val="0"/>
          <w:sz w:val="24"/>
          <w:szCs w:val="24"/>
          <w:lang w:val="en-US" w:eastAsia="zh-CN" w:bidi="ar"/>
        </w:rPr>
        <w:t>接线员</w:t>
      </w:r>
      <w:r>
        <w:rPr>
          <w:rFonts w:hint="eastAsia" w:ascii="宋体" w:hAnsi="宋体" w:eastAsia="宋体" w:cs="宋体"/>
          <w:b w:val="0"/>
          <w:bCs w:val="0"/>
          <w:color w:val="auto"/>
          <w:sz w:val="24"/>
          <w:szCs w:val="24"/>
          <w:lang w:val="en-US" w:eastAsia="zh-CN"/>
        </w:rPr>
        <w:t>队伍专业化建设，提升服务态度和业务能力，确保来电群众满意。</w:t>
      </w:r>
    </w:p>
    <w:p w14:paraId="2B1BAF57">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4.4</w:t>
      </w:r>
      <w:r>
        <w:rPr>
          <w:rFonts w:hint="eastAsia" w:ascii="宋体" w:hAnsi="宋体" w:eastAsia="宋体" w:cs="宋体"/>
          <w:b w:val="0"/>
          <w:bCs w:val="0"/>
          <w:color w:val="auto"/>
          <w:sz w:val="24"/>
          <w:szCs w:val="24"/>
          <w:lang w:val="en-US" w:eastAsia="zh-CN"/>
        </w:rPr>
        <w:t>安全保密全面保障：建立健全市县两级统一的安全保密体系和应急响应机制，严防数据泄露、服务中断和警务秘密泄露，保障报警接线服务连续、安全、稳定。</w:t>
      </w:r>
    </w:p>
    <w:p w14:paraId="36A3E1AD">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4.5</w:t>
      </w:r>
      <w:r>
        <w:rPr>
          <w:rFonts w:hint="eastAsia" w:ascii="宋体" w:hAnsi="宋体" w:eastAsia="宋体" w:cs="宋体"/>
          <w:b w:val="0"/>
          <w:bCs w:val="0"/>
          <w:color w:val="auto"/>
          <w:sz w:val="24"/>
          <w:szCs w:val="24"/>
          <w:lang w:val="en-US" w:eastAsia="zh-CN"/>
        </w:rPr>
        <w:t>服务期内，服务商须配合采购人完成市县两级报警接线工作的集约及优化，确保服务不中断、标准不降低。</w:t>
      </w:r>
    </w:p>
    <w:p w14:paraId="32AC678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firstLine="482" w:firstLineChars="200"/>
        <w:jc w:val="left"/>
        <w:textAlignment w:val="auto"/>
        <w:outlineLvl w:val="9"/>
        <w:rPr>
          <w:rFonts w:hint="eastAsia" w:ascii="宋体" w:hAnsi="宋体" w:eastAsia="宋体" w:cs="宋体"/>
          <w:b/>
          <w:bCs w:val="0"/>
          <w:color w:val="auto"/>
          <w:kern w:val="2"/>
          <w:sz w:val="24"/>
          <w:szCs w:val="24"/>
          <w:lang w:val="en-US" w:eastAsia="zh-CN" w:bidi="ar-SA"/>
        </w:rPr>
      </w:pPr>
      <w:r>
        <w:rPr>
          <w:rFonts w:hint="eastAsia" w:cs="宋体"/>
          <w:b/>
          <w:bCs w:val="0"/>
          <w:color w:val="auto"/>
          <w:kern w:val="2"/>
          <w:sz w:val="24"/>
          <w:szCs w:val="24"/>
          <w:lang w:val="en-US" w:eastAsia="zh-CN" w:bidi="ar-SA"/>
        </w:rPr>
        <w:t>5.服务</w:t>
      </w:r>
      <w:r>
        <w:rPr>
          <w:rFonts w:hint="eastAsia" w:ascii="宋体" w:hAnsi="宋体" w:eastAsia="宋体" w:cs="宋体"/>
          <w:b/>
          <w:bCs w:val="0"/>
          <w:color w:val="auto"/>
          <w:kern w:val="2"/>
          <w:sz w:val="24"/>
          <w:szCs w:val="24"/>
          <w:lang w:val="en-US" w:eastAsia="zh-CN" w:bidi="ar-SA"/>
        </w:rPr>
        <w:t>能力要求</w:t>
      </w:r>
    </w:p>
    <w:p w14:paraId="4883224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5.1</w:t>
      </w:r>
      <w:r>
        <w:rPr>
          <w:rFonts w:hint="eastAsia" w:ascii="宋体" w:hAnsi="宋体" w:eastAsia="宋体" w:cs="宋体"/>
          <w:b w:val="0"/>
          <w:bCs w:val="0"/>
          <w:color w:val="auto"/>
          <w:sz w:val="24"/>
          <w:szCs w:val="24"/>
          <w:lang w:val="en-US" w:eastAsia="zh-CN"/>
        </w:rPr>
        <w:t>运营管理能力</w:t>
      </w:r>
    </w:p>
    <w:p w14:paraId="7016816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服务商须建立稳定高效的运营管理团队，能够根据市县两级报警接线工作的差异性和协同性，制定完善的服务方案、人员管理规范、协同联动机制和服务优化措施。具备应对全市突发话务高峰、重大警情的应接能力，可及时调配资源保障报警接线服务达到规定标准；能够建立与采购人、市县两级处警单位的常态化沟通机制，配合开展服务质量监督、检查和优化工作。</w:t>
      </w:r>
    </w:p>
    <w:p w14:paraId="112AF45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5.2人员配置能力</w:t>
      </w:r>
    </w:p>
    <w:p w14:paraId="5B7BD120">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color w:val="auto"/>
          <w:kern w:val="0"/>
          <w:sz w:val="24"/>
          <w:szCs w:val="24"/>
          <w:lang w:val="en-US" w:eastAsia="zh-CN" w:bidi="ar"/>
        </w:rPr>
      </w:pPr>
      <w:r>
        <w:rPr>
          <w:rFonts w:hint="eastAsia" w:ascii="宋体" w:hAnsi="宋体" w:eastAsia="宋体" w:cs="宋体"/>
          <w:b w:val="0"/>
          <w:bCs/>
          <w:color w:val="auto"/>
          <w:kern w:val="0"/>
          <w:sz w:val="24"/>
          <w:szCs w:val="24"/>
          <w:lang w:val="en-US" w:eastAsia="zh-CN" w:bidi="ar"/>
        </w:rPr>
        <w:t>5.2.1</w:t>
      </w:r>
      <w:r>
        <w:rPr>
          <w:rFonts w:hint="eastAsia" w:ascii="宋体" w:hAnsi="宋体" w:eastAsia="宋体" w:cs="宋体"/>
          <w:b w:val="0"/>
          <w:color w:val="auto"/>
          <w:kern w:val="0"/>
          <w:sz w:val="24"/>
          <w:szCs w:val="24"/>
          <w:lang w:val="en-US" w:eastAsia="zh-CN" w:bidi="ar"/>
        </w:rPr>
        <w:t>服务商</w:t>
      </w:r>
      <w:r>
        <w:rPr>
          <w:rFonts w:hint="eastAsia" w:ascii="宋体" w:hAnsi="宋体" w:cs="宋体"/>
          <w:b w:val="0"/>
          <w:color w:val="auto"/>
          <w:kern w:val="0"/>
          <w:sz w:val="24"/>
          <w:szCs w:val="24"/>
          <w:lang w:val="en-US" w:eastAsia="zh-CN" w:bidi="ar"/>
        </w:rPr>
        <w:t>须</w:t>
      </w:r>
      <w:r>
        <w:rPr>
          <w:rFonts w:hint="eastAsia" w:ascii="宋体" w:hAnsi="宋体" w:eastAsia="宋体" w:cs="宋体"/>
          <w:b w:val="0"/>
          <w:color w:val="auto"/>
          <w:kern w:val="0"/>
          <w:sz w:val="24"/>
          <w:szCs w:val="24"/>
          <w:lang w:val="en-US" w:eastAsia="zh-CN" w:bidi="ar"/>
        </w:rPr>
        <w:t>配置1名熟悉</w:t>
      </w:r>
      <w:r>
        <w:rPr>
          <w:rFonts w:hint="eastAsia" w:ascii="宋体" w:hAnsi="宋体" w:cs="宋体"/>
          <w:b w:val="0"/>
          <w:color w:val="auto"/>
          <w:kern w:val="0"/>
          <w:sz w:val="24"/>
          <w:szCs w:val="24"/>
          <w:lang w:val="en-US" w:eastAsia="zh-CN" w:bidi="ar"/>
        </w:rPr>
        <w:t>呼叫热线</w:t>
      </w:r>
      <w:r>
        <w:rPr>
          <w:rFonts w:hint="eastAsia" w:ascii="宋体" w:hAnsi="宋体" w:eastAsia="宋体" w:cs="宋体"/>
          <w:b w:val="0"/>
          <w:color w:val="auto"/>
          <w:kern w:val="0"/>
          <w:sz w:val="24"/>
          <w:szCs w:val="24"/>
          <w:lang w:val="en-US" w:eastAsia="zh-CN" w:bidi="ar"/>
        </w:rPr>
        <w:t>业务的专职项目经理，负责项目日常运营管理、人员调度、质量监督等和与采购人的对接沟通工作</w:t>
      </w:r>
      <w:r>
        <w:rPr>
          <w:rFonts w:hint="eastAsia" w:ascii="宋体" w:hAnsi="宋体" w:eastAsia="宋体" w:cs="宋体"/>
          <w:b w:val="0"/>
          <w:color w:val="auto"/>
          <w:kern w:val="0"/>
          <w:sz w:val="24"/>
          <w:szCs w:val="24"/>
          <w:highlight w:val="none"/>
          <w:lang w:val="en-US" w:eastAsia="zh-CN" w:bidi="ar"/>
        </w:rPr>
        <w:t>。</w:t>
      </w:r>
      <w:r>
        <w:rPr>
          <w:rFonts w:hint="eastAsia" w:ascii="宋体" w:hAnsi="宋体" w:eastAsia="宋体" w:cs="宋体"/>
          <w:b w:val="0"/>
          <w:bCs w:val="0"/>
          <w:color w:val="auto"/>
          <w:kern w:val="0"/>
          <w:sz w:val="24"/>
          <w:szCs w:val="24"/>
          <w:highlight w:val="none"/>
          <w:lang w:val="en-US" w:eastAsia="zh-CN" w:bidi="ar"/>
        </w:rPr>
        <w:t>项目经理需具备本科及以上学历</w:t>
      </w:r>
      <w:r>
        <w:rPr>
          <w:rFonts w:hint="eastAsia" w:ascii="宋体" w:hAnsi="宋体" w:cs="宋体"/>
          <w:b w:val="0"/>
          <w:bCs w:val="0"/>
          <w:color w:val="auto"/>
          <w:kern w:val="0"/>
          <w:sz w:val="24"/>
          <w:szCs w:val="24"/>
          <w:highlight w:val="none"/>
          <w:lang w:val="en-US" w:eastAsia="zh-CN" w:bidi="ar"/>
        </w:rPr>
        <w:t>，持有</w:t>
      </w:r>
      <w:r>
        <w:rPr>
          <w:rFonts w:hint="eastAsia" w:ascii="宋体" w:hAnsi="宋体" w:eastAsia="宋体" w:cs="宋体"/>
          <w:b w:val="0"/>
          <w:bCs w:val="0"/>
          <w:color w:val="auto"/>
          <w:kern w:val="0"/>
          <w:sz w:val="24"/>
          <w:szCs w:val="24"/>
          <w:highlight w:val="none"/>
          <w:lang w:val="en-US" w:eastAsia="zh-CN" w:bidi="ar"/>
        </w:rPr>
        <w:t>PMP项目管理专业人士资格证书、注册信息安全管理人员(CISO)</w:t>
      </w:r>
      <w:r>
        <w:rPr>
          <w:rFonts w:hint="eastAsia" w:ascii="宋体" w:hAnsi="宋体" w:cs="宋体"/>
          <w:b w:val="0"/>
          <w:bCs w:val="0"/>
          <w:color w:val="auto"/>
          <w:kern w:val="0"/>
          <w:sz w:val="24"/>
          <w:szCs w:val="24"/>
          <w:highlight w:val="none"/>
          <w:lang w:val="en-US" w:eastAsia="zh-CN" w:bidi="ar"/>
        </w:rPr>
        <w:t>等信息类管理</w:t>
      </w:r>
      <w:r>
        <w:rPr>
          <w:rFonts w:hint="eastAsia" w:ascii="宋体" w:hAnsi="宋体" w:eastAsia="宋体" w:cs="宋体"/>
          <w:b w:val="0"/>
          <w:bCs w:val="0"/>
          <w:color w:val="auto"/>
          <w:kern w:val="0"/>
          <w:sz w:val="24"/>
          <w:szCs w:val="24"/>
          <w:highlight w:val="none"/>
          <w:lang w:val="en-US" w:eastAsia="zh-CN" w:bidi="ar"/>
        </w:rPr>
        <w:t>资质</w:t>
      </w:r>
      <w:r>
        <w:rPr>
          <w:rFonts w:hint="eastAsia" w:ascii="宋体" w:hAnsi="宋体" w:cs="宋体"/>
          <w:b w:val="0"/>
          <w:bCs w:val="0"/>
          <w:color w:val="auto"/>
          <w:kern w:val="0"/>
          <w:sz w:val="24"/>
          <w:szCs w:val="24"/>
          <w:highlight w:val="none"/>
          <w:lang w:val="en-US" w:eastAsia="zh-CN" w:bidi="ar"/>
        </w:rPr>
        <w:t>，</w:t>
      </w:r>
      <w:r>
        <w:rPr>
          <w:rFonts w:hint="eastAsia" w:ascii="宋体" w:hAnsi="宋体" w:cs="宋体"/>
          <w:b w:val="0"/>
          <w:bCs w:val="0"/>
          <w:color w:val="auto"/>
          <w:kern w:val="0"/>
          <w:sz w:val="24"/>
          <w:szCs w:val="24"/>
          <w:lang w:val="en-US" w:eastAsia="zh-CN" w:bidi="ar"/>
        </w:rPr>
        <w:t>至少1</w:t>
      </w:r>
      <w:r>
        <w:rPr>
          <w:rFonts w:hint="eastAsia" w:ascii="宋体" w:hAnsi="宋体" w:eastAsia="宋体" w:cs="宋体"/>
          <w:b w:val="0"/>
          <w:bCs w:val="0"/>
          <w:color w:val="auto"/>
          <w:kern w:val="0"/>
          <w:sz w:val="24"/>
          <w:szCs w:val="24"/>
          <w:lang w:val="en-US" w:eastAsia="zh-CN" w:bidi="ar"/>
        </w:rPr>
        <w:t>年以上呼叫热线运营管理经验</w:t>
      </w:r>
      <w:r>
        <w:rPr>
          <w:rFonts w:hint="eastAsia" w:ascii="宋体" w:hAnsi="宋体" w:eastAsia="宋体" w:cs="宋体"/>
          <w:b w:val="0"/>
          <w:color w:val="auto"/>
          <w:kern w:val="0"/>
          <w:sz w:val="24"/>
          <w:szCs w:val="24"/>
          <w:lang w:val="en-US" w:eastAsia="zh-CN" w:bidi="ar"/>
        </w:rPr>
        <w:t>，须提供身份证复印件、学历证明复印件、资质证书证明复印件、</w:t>
      </w:r>
      <w:r>
        <w:rPr>
          <w:rFonts w:hint="eastAsia" w:ascii="宋体" w:hAnsi="宋体" w:eastAsia="宋体" w:cs="宋体"/>
          <w:b w:val="0"/>
          <w:strike w:val="0"/>
          <w:dstrike w:val="0"/>
          <w:color w:val="auto"/>
          <w:kern w:val="0"/>
          <w:sz w:val="24"/>
          <w:szCs w:val="24"/>
          <w:lang w:val="en-US" w:eastAsia="zh-CN" w:bidi="ar"/>
        </w:rPr>
        <w:t>2026年1月1日至今任意连续三个月的社保缴费证明、</w:t>
      </w:r>
      <w:r>
        <w:rPr>
          <w:rFonts w:hint="eastAsia" w:ascii="宋体" w:hAnsi="宋体" w:eastAsia="宋体" w:cs="宋体"/>
          <w:b w:val="0"/>
          <w:bCs w:val="0"/>
          <w:color w:val="auto"/>
          <w:kern w:val="0"/>
          <w:sz w:val="24"/>
          <w:szCs w:val="24"/>
          <w:lang w:val="en-US" w:eastAsia="zh-CN" w:bidi="ar"/>
        </w:rPr>
        <w:t>呼叫热线</w:t>
      </w:r>
      <w:r>
        <w:rPr>
          <w:rFonts w:hint="eastAsia" w:ascii="宋体" w:hAnsi="宋体" w:eastAsia="宋体" w:cs="宋体"/>
          <w:b w:val="0"/>
          <w:color w:val="auto"/>
          <w:kern w:val="0"/>
          <w:sz w:val="24"/>
          <w:szCs w:val="24"/>
          <w:lang w:val="en-US" w:eastAsia="zh-CN" w:bidi="ar"/>
        </w:rPr>
        <w:t>工作经验</w:t>
      </w:r>
      <w:r>
        <w:rPr>
          <w:rFonts w:hint="eastAsia" w:ascii="宋体" w:hAnsi="宋体" w:cs="宋体"/>
          <w:b w:val="0"/>
          <w:color w:val="auto"/>
          <w:kern w:val="0"/>
          <w:sz w:val="24"/>
          <w:szCs w:val="24"/>
          <w:lang w:val="en-US" w:eastAsia="zh-CN" w:bidi="ar"/>
        </w:rPr>
        <w:t>相关</w:t>
      </w:r>
      <w:r>
        <w:rPr>
          <w:rFonts w:hint="eastAsia" w:ascii="宋体" w:hAnsi="宋体" w:eastAsia="宋体" w:cs="宋体"/>
          <w:b w:val="0"/>
          <w:color w:val="auto"/>
          <w:kern w:val="0"/>
          <w:sz w:val="24"/>
          <w:szCs w:val="24"/>
          <w:lang w:val="en-US" w:eastAsia="zh-CN" w:bidi="ar"/>
        </w:rPr>
        <w:t>证明文件。</w:t>
      </w:r>
    </w:p>
    <w:p w14:paraId="47659599">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outlineLvl w:val="9"/>
        <w:rPr>
          <w:rFonts w:hint="eastAsia" w:ascii="宋体" w:hAnsi="宋体" w:eastAsia="宋体" w:cs="宋体"/>
          <w:b w:val="0"/>
          <w:color w:val="auto"/>
          <w:kern w:val="0"/>
          <w:sz w:val="24"/>
          <w:szCs w:val="24"/>
          <w:lang w:bidi="ar"/>
        </w:rPr>
      </w:pPr>
      <w:r>
        <w:rPr>
          <w:rFonts w:hint="eastAsia" w:ascii="宋体" w:hAnsi="宋体" w:eastAsia="宋体" w:cs="宋体"/>
          <w:b w:val="0"/>
          <w:bCs/>
          <w:color w:val="auto"/>
          <w:kern w:val="0"/>
          <w:sz w:val="24"/>
          <w:szCs w:val="24"/>
          <w:lang w:val="en-US" w:eastAsia="zh-CN" w:bidi="ar"/>
        </w:rPr>
        <w:t>5.2.2</w:t>
      </w:r>
      <w:r>
        <w:rPr>
          <w:rFonts w:hint="eastAsia" w:ascii="宋体" w:hAnsi="宋体" w:eastAsia="宋体" w:cs="宋体"/>
          <w:b w:val="0"/>
          <w:color w:val="auto"/>
          <w:kern w:val="0"/>
          <w:sz w:val="24"/>
          <w:szCs w:val="24"/>
          <w:lang w:val="en-US" w:eastAsia="zh-CN" w:bidi="ar"/>
        </w:rPr>
        <w:t>服务商</w:t>
      </w:r>
      <w:r>
        <w:rPr>
          <w:rFonts w:hint="eastAsia" w:ascii="宋体" w:hAnsi="宋体" w:cs="宋体"/>
          <w:b w:val="0"/>
          <w:color w:val="auto"/>
          <w:kern w:val="0"/>
          <w:sz w:val="24"/>
          <w:szCs w:val="24"/>
          <w:lang w:val="en-US" w:eastAsia="zh-CN" w:bidi="ar"/>
        </w:rPr>
        <w:t>至少</w:t>
      </w:r>
      <w:r>
        <w:rPr>
          <w:rFonts w:hint="eastAsia" w:ascii="宋体" w:hAnsi="宋体" w:eastAsia="宋体" w:cs="宋体"/>
          <w:b w:val="0"/>
          <w:color w:val="auto"/>
          <w:kern w:val="0"/>
          <w:sz w:val="24"/>
          <w:szCs w:val="24"/>
          <w:lang w:val="en-US" w:eastAsia="zh-CN" w:bidi="ar"/>
        </w:rPr>
        <w:t>配置</w:t>
      </w:r>
      <w:r>
        <w:rPr>
          <w:rStyle w:val="21"/>
          <w:rFonts w:hint="eastAsia" w:ascii="宋体" w:hAnsi="宋体" w:eastAsia="宋体" w:cs="宋体"/>
          <w:b w:val="0"/>
          <w:color w:val="auto"/>
          <w:kern w:val="0"/>
          <w:sz w:val="24"/>
          <w:szCs w:val="24"/>
          <w:lang w:val="en-US" w:eastAsia="zh-CN" w:bidi="ar"/>
        </w:rPr>
        <w:t>2名专职接待讲解人员</w:t>
      </w:r>
      <w:r>
        <w:rPr>
          <w:rFonts w:hint="eastAsia" w:ascii="宋体" w:hAnsi="宋体" w:eastAsia="宋体" w:cs="宋体"/>
          <w:b w:val="0"/>
          <w:color w:val="auto"/>
          <w:kern w:val="0"/>
          <w:sz w:val="24"/>
          <w:szCs w:val="24"/>
          <w:lang w:val="en-US" w:eastAsia="zh-CN" w:bidi="ar"/>
        </w:rPr>
        <w:t>，专项负责110接警中心各类接待讲解相关保障工作，同时常态化配合支撑报警接线日常服务工作，具体工作内容及职责要求如下：</w:t>
      </w:r>
    </w:p>
    <w:p w14:paraId="7B93F4EB">
      <w:pPr>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60" w:lineRule="auto"/>
        <w:ind w:left="5" w:firstLine="480" w:firstLineChars="200"/>
        <w:jc w:val="left"/>
        <w:outlineLvl w:val="9"/>
        <w:rPr>
          <w:rFonts w:hint="eastAsia" w:ascii="宋体" w:hAnsi="宋体" w:eastAsia="宋体" w:cs="宋体"/>
          <w:b w:val="0"/>
          <w:color w:val="auto"/>
          <w:kern w:val="0"/>
          <w:sz w:val="24"/>
          <w:szCs w:val="24"/>
          <w:lang w:bidi="ar"/>
        </w:rPr>
      </w:pPr>
      <w:r>
        <w:rPr>
          <w:rFonts w:hint="eastAsia" w:ascii="宋体" w:hAnsi="宋体" w:eastAsia="宋体" w:cs="宋体"/>
          <w:b w:val="0"/>
          <w:color w:val="auto"/>
          <w:kern w:val="0"/>
          <w:sz w:val="24"/>
          <w:szCs w:val="24"/>
          <w:lang w:val="en-US" w:eastAsia="zh-CN" w:bidi="ar"/>
        </w:rPr>
        <w:t>核心接待讲解工作。负责110接警中心日常来访人员接待、外部考察参观引导、汇报讲解等全流程讲解服务工作。需熟练掌握接警中心职能职责、工作流程、业务成果、特色工作及相关设备设施运作情况，规范讲解话术、统一服务礼仪，保障各类来访、参观、调研、检查活动有序开展，全面展现延安市公安局110接警中心工作风貌。</w:t>
      </w:r>
    </w:p>
    <w:p w14:paraId="010D739B">
      <w:pPr>
        <w:keepNext w:val="0"/>
        <w:keepLines w:val="0"/>
        <w:pageBreakBefore w:val="0"/>
        <w:widowControl/>
        <w:numPr>
          <w:ilvl w:val="0"/>
          <w:numId w:val="4"/>
        </w:numPr>
        <w:suppressLineNumbers w:val="0"/>
        <w:kinsoku/>
        <w:wordWrap/>
        <w:overflowPunct/>
        <w:topLinePunct w:val="0"/>
        <w:autoSpaceDE/>
        <w:autoSpaceDN/>
        <w:bidi w:val="0"/>
        <w:adjustRightInd/>
        <w:snapToGrid/>
        <w:spacing w:beforeAutospacing="0" w:afterAutospacing="0" w:line="360" w:lineRule="auto"/>
        <w:ind w:left="5" w:firstLine="480" w:firstLineChars="200"/>
        <w:jc w:val="left"/>
        <w:outlineLvl w:val="9"/>
        <w:rPr>
          <w:rFonts w:hint="eastAsia" w:ascii="宋体" w:hAnsi="宋体" w:eastAsia="宋体" w:cs="宋体"/>
          <w:b w:val="0"/>
          <w:color w:val="auto"/>
          <w:kern w:val="0"/>
          <w:sz w:val="24"/>
          <w:szCs w:val="24"/>
          <w:lang w:bidi="ar"/>
        </w:rPr>
      </w:pPr>
      <w:r>
        <w:rPr>
          <w:rFonts w:hint="eastAsia" w:ascii="宋体" w:hAnsi="宋体" w:eastAsia="宋体" w:cs="宋体"/>
          <w:b w:val="0"/>
          <w:color w:val="auto"/>
          <w:kern w:val="0"/>
          <w:sz w:val="24"/>
          <w:szCs w:val="24"/>
          <w:lang w:val="en-US" w:eastAsia="zh-CN" w:bidi="ar"/>
        </w:rPr>
        <w:t>常态化报警接线支撑工作。接待讲解人员在完成本职保障工作的基础上，需常态化值守、主动补位，配合完成110接警中心日常报警接线，保障整体工作高效、平稳推进。</w:t>
      </w:r>
    </w:p>
    <w:p w14:paraId="1564BF5A">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outlineLvl w:val="9"/>
        <w:rPr>
          <w:rFonts w:hint="eastAsia" w:ascii="宋体" w:hAnsi="宋体" w:eastAsia="宋体" w:cs="宋体"/>
          <w:b w:val="0"/>
          <w:color w:val="auto"/>
          <w:kern w:val="0"/>
          <w:sz w:val="24"/>
          <w:szCs w:val="24"/>
          <w:lang w:bidi="ar"/>
        </w:rPr>
      </w:pPr>
      <w:r>
        <w:rPr>
          <w:rFonts w:hint="eastAsia" w:ascii="宋体" w:hAnsi="宋体" w:eastAsia="宋体" w:cs="宋体"/>
          <w:b w:val="0"/>
          <w:bCs/>
          <w:color w:val="auto"/>
          <w:kern w:val="0"/>
          <w:sz w:val="24"/>
          <w:szCs w:val="24"/>
          <w:lang w:val="en-US" w:eastAsia="zh-CN" w:bidi="ar"/>
        </w:rPr>
        <w:t>5.2.</w:t>
      </w:r>
      <w:r>
        <w:rPr>
          <w:rFonts w:hint="eastAsia" w:ascii="宋体" w:hAnsi="宋体" w:cs="宋体"/>
          <w:b w:val="0"/>
          <w:bCs/>
          <w:color w:val="auto"/>
          <w:kern w:val="0"/>
          <w:sz w:val="24"/>
          <w:szCs w:val="24"/>
          <w:lang w:val="en-US" w:eastAsia="zh-CN" w:bidi="ar"/>
        </w:rPr>
        <w:t>3</w:t>
      </w:r>
      <w:r>
        <w:rPr>
          <w:rFonts w:hint="eastAsia" w:ascii="宋体" w:hAnsi="宋体" w:eastAsia="宋体" w:cs="宋体"/>
          <w:b w:val="0"/>
          <w:bCs/>
          <w:color w:val="auto"/>
          <w:kern w:val="0"/>
          <w:sz w:val="24"/>
          <w:szCs w:val="24"/>
          <w:lang w:val="en-US" w:eastAsia="zh-CN" w:bidi="ar"/>
        </w:rPr>
        <w:t>服务商</w:t>
      </w:r>
      <w:r>
        <w:rPr>
          <w:rFonts w:hint="eastAsia" w:ascii="宋体" w:hAnsi="宋体" w:cs="宋体"/>
          <w:b w:val="0"/>
          <w:bCs/>
          <w:color w:val="auto"/>
          <w:kern w:val="0"/>
          <w:sz w:val="24"/>
          <w:szCs w:val="24"/>
          <w:lang w:val="en-US" w:eastAsia="zh-CN" w:bidi="ar"/>
        </w:rPr>
        <w:t>至少</w:t>
      </w:r>
      <w:r>
        <w:rPr>
          <w:rFonts w:hint="eastAsia" w:ascii="宋体" w:hAnsi="宋体" w:eastAsia="宋体" w:cs="宋体"/>
          <w:b w:val="0"/>
          <w:bCs/>
          <w:color w:val="auto"/>
          <w:kern w:val="0"/>
          <w:sz w:val="24"/>
          <w:szCs w:val="24"/>
          <w:lang w:val="en-US" w:eastAsia="zh-CN" w:bidi="ar"/>
        </w:rPr>
        <w:t>固定配置2名</w:t>
      </w:r>
      <w:r>
        <w:rPr>
          <w:rFonts w:hint="eastAsia" w:ascii="宋体" w:hAnsi="宋体" w:cs="宋体"/>
          <w:b w:val="0"/>
          <w:bCs/>
          <w:color w:val="auto"/>
          <w:kern w:val="0"/>
          <w:sz w:val="24"/>
          <w:szCs w:val="24"/>
          <w:lang w:val="en-US" w:eastAsia="zh-CN" w:bidi="ar"/>
        </w:rPr>
        <w:t>会议保障人员</w:t>
      </w:r>
      <w:r>
        <w:rPr>
          <w:rFonts w:hint="eastAsia" w:ascii="宋体" w:hAnsi="宋体" w:eastAsia="宋体" w:cs="宋体"/>
          <w:b w:val="0"/>
          <w:bCs/>
          <w:color w:val="auto"/>
          <w:kern w:val="0"/>
          <w:sz w:val="24"/>
          <w:szCs w:val="24"/>
          <w:lang w:val="en-US" w:eastAsia="zh-CN" w:bidi="ar"/>
        </w:rPr>
        <w:t>，专项负责110接警中心日常会议、警务调度会议、应急指挥视频会议的全程保障、设备运维及现场服务工作，确保各类会议稳定、规范开展</w:t>
      </w:r>
      <w:r>
        <w:rPr>
          <w:rFonts w:hint="eastAsia" w:ascii="宋体" w:hAnsi="宋体" w:cs="宋体"/>
          <w:b w:val="0"/>
          <w:bCs/>
          <w:color w:val="auto"/>
          <w:kern w:val="0"/>
          <w:sz w:val="24"/>
          <w:szCs w:val="24"/>
          <w:lang w:val="en-US" w:eastAsia="zh-CN" w:bidi="ar"/>
        </w:rPr>
        <w:t>，</w:t>
      </w:r>
      <w:r>
        <w:rPr>
          <w:rFonts w:hint="eastAsia" w:ascii="宋体" w:hAnsi="宋体" w:eastAsia="宋体" w:cs="宋体"/>
          <w:b w:val="0"/>
          <w:color w:val="auto"/>
          <w:kern w:val="0"/>
          <w:sz w:val="24"/>
          <w:szCs w:val="24"/>
          <w:lang w:val="en-US" w:eastAsia="zh-CN" w:bidi="ar"/>
        </w:rPr>
        <w:t>具体工作内容及职责要求如下：</w:t>
      </w:r>
    </w:p>
    <w:p w14:paraId="434599A6">
      <w:pPr>
        <w:keepNext w:val="0"/>
        <w:keepLines w:val="0"/>
        <w:pageBreakBefore w:val="0"/>
        <w:widowControl/>
        <w:numPr>
          <w:ilvl w:val="0"/>
          <w:numId w:val="5"/>
        </w:numPr>
        <w:suppressLineNumbers w:val="0"/>
        <w:kinsoku/>
        <w:wordWrap/>
        <w:overflowPunct/>
        <w:topLinePunct w:val="0"/>
        <w:autoSpaceDE/>
        <w:autoSpaceDN/>
        <w:bidi w:val="0"/>
        <w:adjustRightInd/>
        <w:snapToGrid/>
        <w:spacing w:beforeAutospacing="0" w:afterAutospacing="0" w:line="360" w:lineRule="auto"/>
        <w:ind w:left="5" w:firstLine="480" w:firstLineChars="200"/>
        <w:jc w:val="left"/>
        <w:outlineLvl w:val="9"/>
        <w:rPr>
          <w:rFonts w:hint="eastAsia" w:ascii="宋体" w:hAnsi="宋体" w:eastAsia="宋体" w:cs="宋体"/>
          <w:b w:val="0"/>
          <w:color w:val="auto"/>
          <w:kern w:val="0"/>
          <w:sz w:val="24"/>
          <w:szCs w:val="24"/>
          <w:lang w:val="en-US" w:eastAsia="zh-CN" w:bidi="ar"/>
        </w:rPr>
      </w:pPr>
      <w:r>
        <w:rPr>
          <w:rFonts w:hint="eastAsia" w:ascii="宋体" w:hAnsi="宋体" w:eastAsia="宋体" w:cs="宋体"/>
          <w:b w:val="0"/>
          <w:color w:val="auto"/>
          <w:kern w:val="0"/>
          <w:sz w:val="24"/>
          <w:szCs w:val="24"/>
          <w:lang w:val="en-US" w:eastAsia="zh-CN" w:bidi="ar"/>
        </w:rPr>
        <w:t>会前筹备保障</w:t>
      </w:r>
      <w:r>
        <w:rPr>
          <w:rFonts w:hint="eastAsia" w:ascii="宋体" w:hAnsi="宋体" w:cs="宋体"/>
          <w:b w:val="0"/>
          <w:color w:val="auto"/>
          <w:kern w:val="0"/>
          <w:sz w:val="24"/>
          <w:szCs w:val="24"/>
          <w:lang w:val="en-US" w:eastAsia="zh-CN" w:bidi="ar"/>
        </w:rPr>
        <w:t>。</w:t>
      </w:r>
      <w:r>
        <w:rPr>
          <w:rFonts w:hint="eastAsia" w:ascii="宋体" w:hAnsi="宋体" w:eastAsia="宋体" w:cs="宋体"/>
          <w:b w:val="0"/>
          <w:color w:val="auto"/>
          <w:kern w:val="0"/>
          <w:sz w:val="24"/>
          <w:szCs w:val="24"/>
          <w:lang w:val="en-US" w:eastAsia="zh-CN" w:bidi="ar"/>
        </w:rPr>
        <w:t>提前对接确认会议时长、参会人员、视频联调、大屏调度、录播等需求，按警务标准规整会场，做好场地、通道规整；全面调试音视频、大屏等设备，完成网络、用电、消防等安全前置检查。</w:t>
      </w:r>
    </w:p>
    <w:p w14:paraId="19030A0C">
      <w:pPr>
        <w:keepNext w:val="0"/>
        <w:keepLines w:val="0"/>
        <w:pageBreakBefore w:val="0"/>
        <w:widowControl/>
        <w:numPr>
          <w:ilvl w:val="0"/>
          <w:numId w:val="5"/>
        </w:numPr>
        <w:suppressLineNumbers w:val="0"/>
        <w:kinsoku/>
        <w:wordWrap/>
        <w:overflowPunct/>
        <w:topLinePunct w:val="0"/>
        <w:autoSpaceDE/>
        <w:autoSpaceDN/>
        <w:bidi w:val="0"/>
        <w:adjustRightInd/>
        <w:snapToGrid/>
        <w:spacing w:beforeAutospacing="0" w:afterAutospacing="0" w:line="360" w:lineRule="auto"/>
        <w:ind w:left="5" w:firstLine="480" w:firstLineChars="200"/>
        <w:jc w:val="left"/>
        <w:outlineLvl w:val="9"/>
        <w:rPr>
          <w:rFonts w:hint="eastAsia" w:ascii="宋体" w:hAnsi="宋体" w:eastAsia="宋体" w:cs="宋体"/>
          <w:b w:val="0"/>
          <w:color w:val="auto"/>
          <w:kern w:val="0"/>
          <w:sz w:val="24"/>
          <w:szCs w:val="24"/>
          <w:lang w:val="en-US" w:eastAsia="zh-CN" w:bidi="ar"/>
        </w:rPr>
      </w:pPr>
      <w:r>
        <w:rPr>
          <w:rFonts w:hint="eastAsia" w:ascii="宋体" w:hAnsi="宋体" w:eastAsia="宋体" w:cs="宋体"/>
          <w:b w:val="0"/>
          <w:color w:val="auto"/>
          <w:kern w:val="0"/>
          <w:sz w:val="24"/>
          <w:szCs w:val="24"/>
          <w:lang w:val="en-US" w:eastAsia="zh-CN" w:bidi="ar"/>
        </w:rPr>
        <w:t>会中全程值守</w:t>
      </w:r>
      <w:r>
        <w:rPr>
          <w:rFonts w:hint="eastAsia" w:ascii="宋体" w:hAnsi="宋体" w:cs="宋体"/>
          <w:b w:val="0"/>
          <w:color w:val="auto"/>
          <w:kern w:val="0"/>
          <w:sz w:val="24"/>
          <w:szCs w:val="24"/>
          <w:lang w:val="en-US" w:eastAsia="zh-CN" w:bidi="ar"/>
        </w:rPr>
        <w:t>。</w:t>
      </w:r>
      <w:r>
        <w:rPr>
          <w:rFonts w:hint="eastAsia" w:ascii="宋体" w:hAnsi="宋体" w:eastAsia="宋体" w:cs="宋体"/>
          <w:b w:val="0"/>
          <w:color w:val="auto"/>
          <w:kern w:val="0"/>
          <w:sz w:val="24"/>
          <w:szCs w:val="24"/>
          <w:lang w:val="en-US" w:eastAsia="zh-CN" w:bidi="ar"/>
        </w:rPr>
        <w:t>实时监测设备与网络运行，保障视频调度、会议直播录播平稳顺畅，留存完整会议资料；同步做好后勤服务，保障会议有序进行。</w:t>
      </w:r>
    </w:p>
    <w:p w14:paraId="20A5D213">
      <w:pPr>
        <w:keepNext w:val="0"/>
        <w:keepLines w:val="0"/>
        <w:pageBreakBefore w:val="0"/>
        <w:widowControl/>
        <w:numPr>
          <w:ilvl w:val="0"/>
          <w:numId w:val="5"/>
        </w:numPr>
        <w:suppressLineNumbers w:val="0"/>
        <w:kinsoku/>
        <w:wordWrap/>
        <w:overflowPunct/>
        <w:topLinePunct w:val="0"/>
        <w:autoSpaceDE/>
        <w:autoSpaceDN/>
        <w:bidi w:val="0"/>
        <w:adjustRightInd/>
        <w:snapToGrid/>
        <w:spacing w:beforeAutospacing="0" w:afterAutospacing="0" w:line="360" w:lineRule="auto"/>
        <w:ind w:left="5" w:firstLine="480" w:firstLineChars="200"/>
        <w:jc w:val="left"/>
        <w:outlineLvl w:val="9"/>
        <w:rPr>
          <w:rFonts w:hint="eastAsia" w:ascii="宋体" w:hAnsi="宋体" w:eastAsia="宋体" w:cs="宋体"/>
          <w:b w:val="0"/>
          <w:color w:val="auto"/>
          <w:kern w:val="0"/>
          <w:sz w:val="24"/>
          <w:szCs w:val="24"/>
          <w:lang w:val="en-US" w:eastAsia="zh-CN" w:bidi="ar"/>
        </w:rPr>
      </w:pPr>
      <w:r>
        <w:rPr>
          <w:rFonts w:hint="eastAsia" w:ascii="宋体" w:hAnsi="宋体" w:eastAsia="宋体" w:cs="宋体"/>
          <w:b w:val="0"/>
          <w:color w:val="auto"/>
          <w:kern w:val="0"/>
          <w:sz w:val="24"/>
          <w:szCs w:val="24"/>
          <w:lang w:val="en-US" w:eastAsia="zh-CN" w:bidi="ar"/>
        </w:rPr>
        <w:t>会后收尾管理</w:t>
      </w:r>
      <w:r>
        <w:rPr>
          <w:rFonts w:hint="eastAsia" w:ascii="宋体" w:hAnsi="宋体" w:cs="宋体"/>
          <w:b w:val="0"/>
          <w:color w:val="auto"/>
          <w:kern w:val="0"/>
          <w:sz w:val="24"/>
          <w:szCs w:val="24"/>
          <w:lang w:val="en-US" w:eastAsia="zh-CN" w:bidi="ar"/>
        </w:rPr>
        <w:t>。</w:t>
      </w:r>
      <w:r>
        <w:rPr>
          <w:rFonts w:hint="eastAsia" w:ascii="宋体" w:hAnsi="宋体" w:eastAsia="宋体" w:cs="宋体"/>
          <w:b w:val="0"/>
          <w:color w:val="auto"/>
          <w:kern w:val="0"/>
          <w:sz w:val="24"/>
          <w:szCs w:val="24"/>
          <w:lang w:val="en-US" w:eastAsia="zh-CN" w:bidi="ar"/>
        </w:rPr>
        <w:t>会议结束及时清理复原会场、整理物资、关停设备，排查现场安全隐患</w:t>
      </w:r>
      <w:r>
        <w:rPr>
          <w:rFonts w:hint="eastAsia" w:ascii="宋体" w:hAnsi="宋体" w:cs="宋体"/>
          <w:b w:val="0"/>
          <w:color w:val="auto"/>
          <w:kern w:val="0"/>
          <w:sz w:val="24"/>
          <w:szCs w:val="24"/>
          <w:lang w:val="en-US" w:eastAsia="zh-CN" w:bidi="ar"/>
        </w:rPr>
        <w:t>。</w:t>
      </w:r>
    </w:p>
    <w:p w14:paraId="76F0A64A">
      <w:pPr>
        <w:keepNext w:val="0"/>
        <w:keepLines w:val="0"/>
        <w:pageBreakBefore w:val="0"/>
        <w:widowControl/>
        <w:numPr>
          <w:ilvl w:val="0"/>
          <w:numId w:val="5"/>
        </w:numPr>
        <w:suppressLineNumbers w:val="0"/>
        <w:kinsoku/>
        <w:wordWrap/>
        <w:overflowPunct/>
        <w:topLinePunct w:val="0"/>
        <w:autoSpaceDE/>
        <w:autoSpaceDN/>
        <w:bidi w:val="0"/>
        <w:adjustRightInd/>
        <w:snapToGrid/>
        <w:spacing w:beforeAutospacing="0" w:afterAutospacing="0" w:line="360" w:lineRule="auto"/>
        <w:ind w:left="5" w:firstLine="480" w:firstLineChars="200"/>
        <w:jc w:val="left"/>
        <w:outlineLvl w:val="9"/>
        <w:rPr>
          <w:rFonts w:hint="eastAsia" w:ascii="宋体" w:hAnsi="宋体" w:eastAsia="宋体" w:cs="宋体"/>
          <w:b w:val="0"/>
          <w:color w:val="auto"/>
          <w:kern w:val="0"/>
          <w:sz w:val="24"/>
          <w:szCs w:val="24"/>
          <w:lang w:val="en-US" w:eastAsia="zh-CN" w:bidi="ar"/>
        </w:rPr>
      </w:pPr>
      <w:r>
        <w:rPr>
          <w:rFonts w:hint="eastAsia" w:ascii="宋体" w:hAnsi="宋体" w:eastAsia="宋体" w:cs="宋体"/>
          <w:b w:val="0"/>
          <w:color w:val="auto"/>
          <w:kern w:val="0"/>
          <w:sz w:val="24"/>
          <w:szCs w:val="24"/>
          <w:lang w:val="en-US" w:eastAsia="zh-CN" w:bidi="ar"/>
        </w:rPr>
        <w:t>严守警务保密规定</w:t>
      </w:r>
      <w:r>
        <w:rPr>
          <w:rFonts w:hint="eastAsia" w:ascii="宋体" w:hAnsi="宋体" w:cs="宋体"/>
          <w:b w:val="0"/>
          <w:color w:val="auto"/>
          <w:kern w:val="0"/>
          <w:sz w:val="24"/>
          <w:szCs w:val="24"/>
          <w:lang w:val="en-US" w:eastAsia="zh-CN" w:bidi="ar"/>
        </w:rPr>
        <w:t>。</w:t>
      </w:r>
      <w:r>
        <w:rPr>
          <w:rFonts w:hint="eastAsia" w:ascii="宋体" w:hAnsi="宋体" w:eastAsia="宋体" w:cs="宋体"/>
          <w:b w:val="0"/>
          <w:color w:val="auto"/>
          <w:kern w:val="0"/>
          <w:sz w:val="24"/>
          <w:szCs w:val="24"/>
          <w:lang w:val="en-US" w:eastAsia="zh-CN" w:bidi="ar"/>
        </w:rPr>
        <w:t>妥善保管会议音视频及涉密资料，严禁私自留存、外泄传播。</w:t>
      </w:r>
    </w:p>
    <w:p w14:paraId="1458F62F">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outlineLvl w:val="9"/>
        <w:rPr>
          <w:rFonts w:hint="eastAsia" w:ascii="宋体" w:hAnsi="宋体" w:eastAsia="宋体" w:cs="宋体"/>
          <w:b w:val="0"/>
          <w:bCs/>
          <w:color w:val="auto"/>
          <w:kern w:val="0"/>
          <w:sz w:val="24"/>
          <w:szCs w:val="24"/>
          <w:lang w:val="en-US" w:eastAsia="zh-CN" w:bidi="ar"/>
        </w:rPr>
      </w:pPr>
      <w:r>
        <w:rPr>
          <w:rFonts w:hint="eastAsia" w:ascii="宋体" w:hAnsi="宋体" w:eastAsia="宋体" w:cs="宋体"/>
          <w:b w:val="0"/>
          <w:bCs/>
          <w:color w:val="auto"/>
          <w:kern w:val="0"/>
          <w:sz w:val="24"/>
          <w:szCs w:val="24"/>
          <w:lang w:val="en-US" w:eastAsia="zh-CN" w:bidi="ar"/>
        </w:rPr>
        <w:t>5.2.</w:t>
      </w:r>
      <w:r>
        <w:rPr>
          <w:rFonts w:hint="eastAsia" w:ascii="宋体" w:hAnsi="宋体" w:cs="宋体"/>
          <w:b w:val="0"/>
          <w:bCs/>
          <w:color w:val="auto"/>
          <w:kern w:val="0"/>
          <w:sz w:val="24"/>
          <w:szCs w:val="24"/>
          <w:lang w:val="en-US" w:eastAsia="zh-CN" w:bidi="ar"/>
        </w:rPr>
        <w:t>4</w:t>
      </w:r>
      <w:r>
        <w:rPr>
          <w:rFonts w:hint="eastAsia" w:ascii="宋体" w:hAnsi="宋体" w:eastAsia="宋体" w:cs="宋体"/>
          <w:b w:val="0"/>
          <w:bCs/>
          <w:color w:val="auto"/>
          <w:kern w:val="0"/>
          <w:sz w:val="24"/>
          <w:szCs w:val="24"/>
          <w:lang w:val="en-US" w:eastAsia="zh-CN" w:bidi="ar"/>
        </w:rPr>
        <w:t>服务商</w:t>
      </w:r>
      <w:r>
        <w:rPr>
          <w:rFonts w:hint="eastAsia" w:ascii="宋体" w:hAnsi="宋体" w:cs="宋体"/>
          <w:b w:val="0"/>
          <w:bCs/>
          <w:color w:val="auto"/>
          <w:kern w:val="0"/>
          <w:sz w:val="24"/>
          <w:szCs w:val="24"/>
          <w:lang w:val="en-US" w:eastAsia="zh-CN" w:bidi="ar"/>
        </w:rPr>
        <w:t>至少</w:t>
      </w:r>
      <w:r>
        <w:rPr>
          <w:rFonts w:hint="eastAsia" w:ascii="宋体" w:hAnsi="宋体" w:eastAsia="宋体" w:cs="宋体"/>
          <w:b w:val="0"/>
          <w:bCs/>
          <w:color w:val="auto"/>
          <w:kern w:val="0"/>
          <w:sz w:val="24"/>
          <w:szCs w:val="24"/>
          <w:lang w:val="en-US" w:eastAsia="zh-CN" w:bidi="ar"/>
        </w:rPr>
        <w:t>配备2名专职计算机运维人员，专项负责110接警中心接警终端、办公电脑、指挥调度设备及配套网络设施的日常运维、故障抢修、安全隐患排查、系统运行保障等工作，确保各类设备及网络系统持续稳定、高效运行。</w:t>
      </w:r>
      <w:r>
        <w:rPr>
          <w:rFonts w:hint="eastAsia" w:ascii="宋体" w:hAnsi="宋体" w:cs="宋体"/>
          <w:b w:val="0"/>
          <w:bCs/>
          <w:color w:val="auto"/>
          <w:kern w:val="0"/>
          <w:sz w:val="24"/>
          <w:szCs w:val="24"/>
          <w:lang w:val="en-US" w:eastAsia="zh-CN" w:bidi="ar"/>
        </w:rPr>
        <w:t>运维</w:t>
      </w:r>
      <w:r>
        <w:rPr>
          <w:rFonts w:hint="eastAsia" w:ascii="宋体" w:hAnsi="宋体" w:eastAsia="宋体" w:cs="宋体"/>
          <w:b w:val="0"/>
          <w:bCs/>
          <w:color w:val="auto"/>
          <w:kern w:val="0"/>
          <w:sz w:val="24"/>
          <w:szCs w:val="24"/>
          <w:lang w:val="en-US" w:eastAsia="zh-CN" w:bidi="ar"/>
        </w:rPr>
        <w:t>人员持有网络工程师</w:t>
      </w:r>
      <w:r>
        <w:rPr>
          <w:rFonts w:hint="eastAsia" w:ascii="宋体" w:hAnsi="宋体" w:cs="宋体"/>
          <w:b w:val="0"/>
          <w:bCs/>
          <w:color w:val="auto"/>
          <w:kern w:val="0"/>
          <w:sz w:val="24"/>
          <w:szCs w:val="24"/>
          <w:lang w:val="en-US" w:eastAsia="zh-CN" w:bidi="ar"/>
        </w:rPr>
        <w:t>或</w:t>
      </w:r>
      <w:r>
        <w:rPr>
          <w:rFonts w:hint="eastAsia" w:ascii="宋体" w:hAnsi="宋体" w:eastAsia="宋体" w:cs="宋体"/>
          <w:b w:val="0"/>
          <w:bCs/>
          <w:color w:val="auto"/>
          <w:kern w:val="0"/>
          <w:sz w:val="24"/>
          <w:szCs w:val="24"/>
          <w:lang w:val="en-US" w:eastAsia="zh-CN" w:bidi="ar"/>
        </w:rPr>
        <w:t>通信工程师</w:t>
      </w:r>
      <w:r>
        <w:rPr>
          <w:rFonts w:hint="eastAsia" w:ascii="宋体" w:hAnsi="宋体" w:cs="宋体"/>
          <w:b w:val="0"/>
          <w:bCs/>
          <w:color w:val="auto"/>
          <w:kern w:val="0"/>
          <w:sz w:val="24"/>
          <w:szCs w:val="24"/>
          <w:lang w:val="en-US" w:eastAsia="zh-CN" w:bidi="ar"/>
        </w:rPr>
        <w:t>相关专业</w:t>
      </w:r>
      <w:r>
        <w:rPr>
          <w:rFonts w:hint="eastAsia" w:ascii="宋体" w:hAnsi="宋体" w:eastAsia="宋体" w:cs="宋体"/>
          <w:b w:val="0"/>
          <w:bCs/>
          <w:color w:val="auto"/>
          <w:kern w:val="0"/>
          <w:sz w:val="24"/>
          <w:szCs w:val="24"/>
          <w:lang w:val="en-US" w:eastAsia="zh-CN" w:bidi="ar"/>
        </w:rPr>
        <w:t>中级（含）及以上专业技术职称</w:t>
      </w:r>
      <w:r>
        <w:rPr>
          <w:rFonts w:hint="eastAsia" w:ascii="宋体" w:hAnsi="宋体" w:cs="宋体"/>
          <w:b w:val="0"/>
          <w:bCs/>
          <w:color w:val="auto"/>
          <w:kern w:val="0"/>
          <w:sz w:val="24"/>
          <w:szCs w:val="24"/>
          <w:lang w:val="en-US" w:eastAsia="zh-CN" w:bidi="ar"/>
        </w:rPr>
        <w:t>或相关证书</w:t>
      </w:r>
      <w:r>
        <w:rPr>
          <w:rFonts w:hint="eastAsia" w:ascii="宋体" w:hAnsi="宋体" w:eastAsia="宋体" w:cs="宋体"/>
          <w:b w:val="0"/>
          <w:bCs/>
          <w:color w:val="auto"/>
          <w:kern w:val="0"/>
          <w:sz w:val="24"/>
          <w:szCs w:val="24"/>
          <w:lang w:val="en-US" w:eastAsia="zh-CN" w:bidi="ar"/>
        </w:rPr>
        <w:t>，具体工作内容及岗位职责要求如下：</w:t>
      </w:r>
    </w:p>
    <w:p w14:paraId="53748823">
      <w:pPr>
        <w:keepNext w:val="0"/>
        <w:keepLines w:val="0"/>
        <w:pageBreakBefore w:val="0"/>
        <w:widowControl/>
        <w:numPr>
          <w:ilvl w:val="0"/>
          <w:numId w:val="6"/>
        </w:numPr>
        <w:suppressLineNumbers w:val="0"/>
        <w:kinsoku/>
        <w:wordWrap/>
        <w:overflowPunct/>
        <w:topLinePunct w:val="0"/>
        <w:autoSpaceDE/>
        <w:autoSpaceDN/>
        <w:bidi w:val="0"/>
        <w:adjustRightInd/>
        <w:snapToGrid/>
        <w:spacing w:beforeAutospacing="0" w:afterAutospacing="0" w:line="360" w:lineRule="auto"/>
        <w:ind w:left="5" w:firstLine="480" w:firstLineChars="200"/>
        <w:jc w:val="left"/>
        <w:outlineLvl w:val="9"/>
        <w:rPr>
          <w:rFonts w:hint="eastAsia" w:ascii="宋体" w:hAnsi="宋体" w:eastAsia="宋体" w:cs="宋体"/>
          <w:b w:val="0"/>
          <w:color w:val="auto"/>
          <w:kern w:val="0"/>
          <w:sz w:val="24"/>
          <w:szCs w:val="24"/>
          <w:lang w:val="en-US" w:eastAsia="zh-CN" w:bidi="ar"/>
        </w:rPr>
      </w:pPr>
      <w:r>
        <w:rPr>
          <w:rFonts w:hint="eastAsia" w:ascii="宋体" w:hAnsi="宋体" w:eastAsia="宋体" w:cs="宋体"/>
          <w:b w:val="0"/>
          <w:color w:val="auto"/>
          <w:kern w:val="0"/>
          <w:sz w:val="24"/>
          <w:szCs w:val="24"/>
          <w:lang w:val="en-US" w:eastAsia="zh-CN" w:bidi="ar"/>
        </w:rPr>
        <w:t>日常巡检养护</w:t>
      </w:r>
      <w:r>
        <w:rPr>
          <w:rFonts w:hint="eastAsia" w:ascii="宋体" w:hAnsi="宋体" w:cs="宋体"/>
          <w:b w:val="0"/>
          <w:color w:val="auto"/>
          <w:kern w:val="0"/>
          <w:sz w:val="24"/>
          <w:szCs w:val="24"/>
          <w:lang w:val="en-US" w:eastAsia="zh-CN" w:bidi="ar"/>
        </w:rPr>
        <w:t>。</w:t>
      </w:r>
      <w:r>
        <w:rPr>
          <w:rFonts w:hint="eastAsia" w:ascii="宋体" w:hAnsi="宋体" w:eastAsia="宋体" w:cs="宋体"/>
          <w:b w:val="0"/>
          <w:color w:val="auto"/>
          <w:kern w:val="0"/>
          <w:sz w:val="24"/>
          <w:szCs w:val="24"/>
          <w:lang w:val="en-US" w:eastAsia="zh-CN" w:bidi="ar"/>
        </w:rPr>
        <w:t>每日巡查接警终端、指挥大屏、会议设备、专线网络及软硬件设施，核查设备运行与安全状态，排查软硬件、网络、供电等隐患，做好设备养护，保障设施平稳运行。</w:t>
      </w:r>
    </w:p>
    <w:p w14:paraId="09D56F4A">
      <w:pPr>
        <w:keepNext w:val="0"/>
        <w:keepLines w:val="0"/>
        <w:pageBreakBefore w:val="0"/>
        <w:widowControl/>
        <w:numPr>
          <w:ilvl w:val="0"/>
          <w:numId w:val="6"/>
        </w:numPr>
        <w:suppressLineNumbers w:val="0"/>
        <w:kinsoku/>
        <w:wordWrap/>
        <w:overflowPunct/>
        <w:topLinePunct w:val="0"/>
        <w:autoSpaceDE/>
        <w:autoSpaceDN/>
        <w:bidi w:val="0"/>
        <w:adjustRightInd/>
        <w:snapToGrid/>
        <w:spacing w:beforeAutospacing="0" w:afterAutospacing="0" w:line="360" w:lineRule="auto"/>
        <w:ind w:left="5" w:firstLine="480" w:firstLineChars="200"/>
        <w:jc w:val="left"/>
        <w:outlineLvl w:val="9"/>
        <w:rPr>
          <w:rFonts w:hint="eastAsia" w:ascii="宋体" w:hAnsi="宋体" w:eastAsia="宋体" w:cs="宋体"/>
          <w:b w:val="0"/>
          <w:color w:val="auto"/>
          <w:kern w:val="0"/>
          <w:sz w:val="24"/>
          <w:szCs w:val="24"/>
          <w:lang w:val="en-US" w:eastAsia="zh-CN" w:bidi="ar"/>
        </w:rPr>
      </w:pPr>
      <w:r>
        <w:rPr>
          <w:rFonts w:hint="eastAsia" w:ascii="宋体" w:hAnsi="宋体" w:eastAsia="宋体" w:cs="宋体"/>
          <w:b w:val="0"/>
          <w:color w:val="auto"/>
          <w:kern w:val="0"/>
          <w:sz w:val="24"/>
          <w:szCs w:val="24"/>
          <w:lang w:val="en-US" w:eastAsia="zh-CN" w:bidi="ar"/>
        </w:rPr>
        <w:t>故障应急保障</w:t>
      </w:r>
      <w:r>
        <w:rPr>
          <w:rFonts w:hint="eastAsia" w:ascii="宋体" w:hAnsi="宋体" w:cs="宋体"/>
          <w:b w:val="0"/>
          <w:color w:val="auto"/>
          <w:kern w:val="0"/>
          <w:sz w:val="24"/>
          <w:szCs w:val="24"/>
          <w:lang w:val="en-US" w:eastAsia="zh-CN" w:bidi="ar"/>
        </w:rPr>
        <w:t>。</w:t>
      </w:r>
      <w:r>
        <w:rPr>
          <w:rFonts w:hint="eastAsia" w:ascii="宋体" w:hAnsi="宋体" w:eastAsia="宋体" w:cs="宋体"/>
          <w:b w:val="0"/>
          <w:color w:val="auto"/>
          <w:kern w:val="0"/>
          <w:sz w:val="24"/>
          <w:szCs w:val="24"/>
          <w:lang w:val="en-US" w:eastAsia="zh-CN" w:bidi="ar"/>
        </w:rPr>
        <w:t>快速处置设备、网络等突发故障，高效完成抢修恢复；遇重大故障第一时间上报，启用备用设备与网络，最大限度降低故障对110接警、警务调度、指挥会议工作的影响。</w:t>
      </w:r>
    </w:p>
    <w:p w14:paraId="50892DB2">
      <w:pPr>
        <w:keepNext w:val="0"/>
        <w:keepLines w:val="0"/>
        <w:pageBreakBefore w:val="0"/>
        <w:widowControl/>
        <w:numPr>
          <w:ilvl w:val="0"/>
          <w:numId w:val="6"/>
        </w:numPr>
        <w:suppressLineNumbers w:val="0"/>
        <w:kinsoku/>
        <w:wordWrap/>
        <w:overflowPunct/>
        <w:topLinePunct w:val="0"/>
        <w:autoSpaceDE/>
        <w:autoSpaceDN/>
        <w:bidi w:val="0"/>
        <w:adjustRightInd/>
        <w:snapToGrid/>
        <w:spacing w:beforeAutospacing="0" w:afterAutospacing="0" w:line="360" w:lineRule="auto"/>
        <w:ind w:left="5" w:firstLine="480" w:firstLineChars="200"/>
        <w:jc w:val="left"/>
        <w:outlineLvl w:val="9"/>
        <w:rPr>
          <w:rFonts w:hint="eastAsia" w:ascii="宋体" w:hAnsi="宋体" w:eastAsia="宋体" w:cs="宋体"/>
          <w:b w:val="0"/>
          <w:color w:val="auto"/>
          <w:kern w:val="0"/>
          <w:sz w:val="24"/>
          <w:szCs w:val="24"/>
          <w:lang w:val="en-US" w:eastAsia="zh-CN" w:bidi="ar"/>
        </w:rPr>
      </w:pPr>
      <w:r>
        <w:rPr>
          <w:rFonts w:hint="eastAsia" w:ascii="宋体" w:hAnsi="宋体" w:eastAsia="宋体" w:cs="宋体"/>
          <w:b w:val="0"/>
          <w:color w:val="auto"/>
          <w:kern w:val="0"/>
          <w:sz w:val="24"/>
          <w:szCs w:val="24"/>
          <w:lang w:val="en-US" w:eastAsia="zh-CN" w:bidi="ar"/>
        </w:rPr>
        <w:t>规范台账登记</w:t>
      </w:r>
      <w:r>
        <w:rPr>
          <w:rFonts w:hint="eastAsia" w:ascii="宋体" w:hAnsi="宋体" w:cs="宋体"/>
          <w:b w:val="0"/>
          <w:color w:val="auto"/>
          <w:kern w:val="0"/>
          <w:sz w:val="24"/>
          <w:szCs w:val="24"/>
          <w:lang w:val="en-US" w:eastAsia="zh-CN" w:bidi="ar"/>
        </w:rPr>
        <w:t>。</w:t>
      </w:r>
      <w:r>
        <w:rPr>
          <w:rFonts w:hint="eastAsia" w:ascii="宋体" w:hAnsi="宋体" w:eastAsia="宋体" w:cs="宋体"/>
          <w:b w:val="0"/>
          <w:color w:val="auto"/>
          <w:kern w:val="0"/>
          <w:sz w:val="24"/>
          <w:szCs w:val="24"/>
          <w:lang w:val="en-US" w:eastAsia="zh-CN" w:bidi="ar"/>
        </w:rPr>
        <w:t>建立完善运维台账，如实记录巡检情况、故障问题、维修处置、配件更换及隐患整改等内容，做到全程留痕、有据可查。</w:t>
      </w:r>
    </w:p>
    <w:p w14:paraId="71908E8D">
      <w:pPr>
        <w:keepNext w:val="0"/>
        <w:keepLines w:val="0"/>
        <w:pageBreakBefore w:val="0"/>
        <w:widowControl/>
        <w:numPr>
          <w:ilvl w:val="0"/>
          <w:numId w:val="6"/>
        </w:numPr>
        <w:suppressLineNumbers w:val="0"/>
        <w:kinsoku/>
        <w:wordWrap/>
        <w:overflowPunct/>
        <w:topLinePunct w:val="0"/>
        <w:autoSpaceDE/>
        <w:autoSpaceDN/>
        <w:bidi w:val="0"/>
        <w:adjustRightInd/>
        <w:snapToGrid/>
        <w:spacing w:beforeAutospacing="0" w:afterAutospacing="0" w:line="360" w:lineRule="auto"/>
        <w:ind w:left="5" w:firstLine="480" w:firstLineChars="200"/>
        <w:jc w:val="left"/>
        <w:outlineLvl w:val="9"/>
        <w:rPr>
          <w:rFonts w:hint="eastAsia" w:ascii="宋体" w:hAnsi="宋体" w:eastAsia="宋体" w:cs="宋体"/>
          <w:b w:val="0"/>
          <w:color w:val="auto"/>
          <w:kern w:val="0"/>
          <w:sz w:val="24"/>
          <w:szCs w:val="24"/>
          <w:lang w:val="en-US" w:eastAsia="zh-CN" w:bidi="ar"/>
        </w:rPr>
      </w:pPr>
      <w:r>
        <w:rPr>
          <w:rFonts w:hint="eastAsia" w:ascii="宋体" w:hAnsi="宋体" w:eastAsia="宋体" w:cs="宋体"/>
          <w:b w:val="0"/>
          <w:color w:val="auto"/>
          <w:kern w:val="0"/>
          <w:sz w:val="24"/>
          <w:szCs w:val="24"/>
          <w:lang w:val="en-US" w:eastAsia="zh-CN" w:bidi="ar"/>
        </w:rPr>
        <w:t>系统安全运维</w:t>
      </w:r>
      <w:r>
        <w:rPr>
          <w:rFonts w:hint="eastAsia" w:ascii="宋体" w:hAnsi="宋体" w:cs="宋体"/>
          <w:b w:val="0"/>
          <w:color w:val="auto"/>
          <w:kern w:val="0"/>
          <w:sz w:val="24"/>
          <w:szCs w:val="24"/>
          <w:lang w:val="en-US" w:eastAsia="zh-CN" w:bidi="ar"/>
        </w:rPr>
        <w:t>。</w:t>
      </w:r>
      <w:r>
        <w:rPr>
          <w:rFonts w:hint="eastAsia" w:ascii="宋体" w:hAnsi="宋体" w:eastAsia="宋体" w:cs="宋体"/>
          <w:b w:val="0"/>
          <w:color w:val="auto"/>
          <w:kern w:val="0"/>
          <w:sz w:val="24"/>
          <w:szCs w:val="24"/>
          <w:lang w:val="en-US" w:eastAsia="zh-CN" w:bidi="ar"/>
        </w:rPr>
        <w:t>定期开展系统升级、漏洞修复与安全加固，常态化梳理运维工作，持续提升设备整体保障效能。</w:t>
      </w:r>
    </w:p>
    <w:p w14:paraId="0CBDADFA">
      <w:pPr>
        <w:keepNext w:val="0"/>
        <w:keepLines w:val="0"/>
        <w:pageBreakBefore w:val="0"/>
        <w:widowControl/>
        <w:numPr>
          <w:ilvl w:val="0"/>
          <w:numId w:val="6"/>
        </w:numPr>
        <w:suppressLineNumbers w:val="0"/>
        <w:kinsoku/>
        <w:wordWrap/>
        <w:overflowPunct/>
        <w:topLinePunct w:val="0"/>
        <w:autoSpaceDE/>
        <w:autoSpaceDN/>
        <w:bidi w:val="0"/>
        <w:adjustRightInd/>
        <w:snapToGrid/>
        <w:spacing w:beforeAutospacing="0" w:afterAutospacing="0" w:line="360" w:lineRule="auto"/>
        <w:ind w:left="5" w:firstLine="480" w:firstLineChars="200"/>
        <w:jc w:val="left"/>
        <w:outlineLvl w:val="9"/>
        <w:rPr>
          <w:rFonts w:hint="eastAsia" w:ascii="宋体" w:hAnsi="宋体" w:eastAsia="宋体" w:cs="宋体"/>
          <w:b w:val="0"/>
          <w:color w:val="auto"/>
          <w:kern w:val="0"/>
          <w:sz w:val="24"/>
          <w:szCs w:val="24"/>
          <w:lang w:val="en-US" w:eastAsia="zh-CN" w:bidi="ar"/>
        </w:rPr>
      </w:pPr>
      <w:r>
        <w:rPr>
          <w:rFonts w:hint="eastAsia" w:ascii="宋体" w:hAnsi="宋体" w:eastAsia="宋体" w:cs="宋体"/>
          <w:b w:val="0"/>
          <w:color w:val="auto"/>
          <w:kern w:val="0"/>
          <w:sz w:val="24"/>
          <w:szCs w:val="24"/>
          <w:lang w:val="en-US" w:eastAsia="zh-CN" w:bidi="ar"/>
        </w:rPr>
        <w:t>严守保密纪律</w:t>
      </w:r>
      <w:r>
        <w:rPr>
          <w:rFonts w:hint="eastAsia" w:ascii="宋体" w:hAnsi="宋体" w:cs="宋体"/>
          <w:b w:val="0"/>
          <w:color w:val="auto"/>
          <w:kern w:val="0"/>
          <w:sz w:val="24"/>
          <w:szCs w:val="24"/>
          <w:lang w:val="en-US" w:eastAsia="zh-CN" w:bidi="ar"/>
        </w:rPr>
        <w:t>。</w:t>
      </w:r>
      <w:r>
        <w:rPr>
          <w:rFonts w:hint="eastAsia" w:ascii="宋体" w:hAnsi="宋体" w:eastAsia="宋体" w:cs="宋体"/>
          <w:b w:val="0"/>
          <w:color w:val="auto"/>
          <w:kern w:val="0"/>
          <w:sz w:val="24"/>
          <w:szCs w:val="24"/>
          <w:lang w:val="en-US" w:eastAsia="zh-CN" w:bidi="ar"/>
        </w:rPr>
        <w:t>严格遵守警务涉密管理规定，严禁私自留存、外泄、传播警务系统数据及涉密资料，筑牢信息安全防线。</w:t>
      </w:r>
    </w:p>
    <w:p w14:paraId="3BA30EAB">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color w:val="auto"/>
          <w:kern w:val="0"/>
          <w:sz w:val="24"/>
          <w:szCs w:val="24"/>
          <w:lang w:val="en-US" w:eastAsia="zh-CN" w:bidi="ar"/>
        </w:rPr>
        <w:t>★</w:t>
      </w:r>
      <w:r>
        <w:rPr>
          <w:rFonts w:hint="eastAsia" w:ascii="宋体" w:hAnsi="宋体" w:eastAsia="宋体" w:cs="宋体"/>
          <w:b w:val="0"/>
          <w:bCs w:val="0"/>
          <w:color w:val="auto"/>
          <w:kern w:val="0"/>
          <w:sz w:val="24"/>
          <w:szCs w:val="24"/>
          <w:lang w:val="en-US" w:eastAsia="zh-CN" w:bidi="ar"/>
        </w:rPr>
        <w:t>5.2.</w:t>
      </w:r>
      <w:r>
        <w:rPr>
          <w:rFonts w:hint="eastAsia" w:ascii="宋体" w:hAnsi="宋体" w:cs="宋体"/>
          <w:b w:val="0"/>
          <w:bCs w:val="0"/>
          <w:color w:val="auto"/>
          <w:kern w:val="0"/>
          <w:sz w:val="24"/>
          <w:szCs w:val="24"/>
          <w:lang w:val="en-US" w:eastAsia="zh-CN" w:bidi="ar"/>
        </w:rPr>
        <w:t>5</w:t>
      </w:r>
      <w:r>
        <w:rPr>
          <w:rFonts w:hint="eastAsia" w:ascii="宋体" w:hAnsi="宋体" w:eastAsia="宋体" w:cs="宋体"/>
          <w:b w:val="0"/>
          <w:bCs w:val="0"/>
          <w:color w:val="auto"/>
          <w:kern w:val="0"/>
          <w:sz w:val="24"/>
          <w:szCs w:val="24"/>
          <w:lang w:val="en-US" w:eastAsia="zh-CN" w:bidi="ar"/>
        </w:rPr>
        <w:t>服务商须根据市县两级报警接线工作量合理配置接线员，接线</w:t>
      </w:r>
      <w:r>
        <w:rPr>
          <w:rFonts w:hint="eastAsia" w:ascii="宋体" w:hAnsi="宋体" w:cs="宋体"/>
          <w:b w:val="0"/>
          <w:bCs w:val="0"/>
          <w:color w:val="auto"/>
          <w:kern w:val="0"/>
          <w:sz w:val="24"/>
          <w:szCs w:val="24"/>
          <w:lang w:val="en-US" w:eastAsia="zh-CN" w:bidi="ar"/>
        </w:rPr>
        <w:t>人</w:t>
      </w:r>
      <w:r>
        <w:rPr>
          <w:rFonts w:hint="eastAsia" w:ascii="宋体" w:hAnsi="宋体" w:eastAsia="宋体" w:cs="宋体"/>
          <w:b w:val="0"/>
          <w:bCs w:val="0"/>
          <w:color w:val="auto"/>
          <w:kern w:val="0"/>
          <w:sz w:val="24"/>
          <w:szCs w:val="24"/>
          <w:lang w:val="en-US" w:eastAsia="zh-CN" w:bidi="ar"/>
        </w:rPr>
        <w:t>员不少于</w:t>
      </w:r>
      <w:r>
        <w:rPr>
          <w:rFonts w:hint="eastAsia" w:ascii="宋体" w:hAnsi="宋体" w:cs="宋体"/>
          <w:b w:val="0"/>
          <w:bCs w:val="0"/>
          <w:color w:val="auto"/>
          <w:kern w:val="0"/>
          <w:sz w:val="24"/>
          <w:szCs w:val="24"/>
          <w:lang w:val="en-US" w:eastAsia="zh-CN" w:bidi="ar"/>
        </w:rPr>
        <w:t>58</w:t>
      </w:r>
      <w:r>
        <w:rPr>
          <w:rFonts w:hint="eastAsia" w:ascii="宋体" w:hAnsi="宋体" w:eastAsia="宋体" w:cs="宋体"/>
          <w:b w:val="0"/>
          <w:bCs w:val="0"/>
          <w:color w:val="auto"/>
          <w:kern w:val="0"/>
          <w:sz w:val="24"/>
          <w:szCs w:val="24"/>
          <w:lang w:val="en-US" w:eastAsia="zh-CN" w:bidi="ar"/>
        </w:rPr>
        <w:t>名，其中男性接线员不少于15人</w:t>
      </w:r>
      <w:r>
        <w:rPr>
          <w:rFonts w:hint="eastAsia" w:ascii="宋体" w:hAnsi="宋体" w:cs="宋体"/>
          <w:b w:val="0"/>
          <w:bCs w:val="0"/>
          <w:color w:val="auto"/>
          <w:kern w:val="0"/>
          <w:sz w:val="24"/>
          <w:szCs w:val="24"/>
          <w:lang w:val="en-US" w:eastAsia="zh-CN" w:bidi="ar"/>
        </w:rPr>
        <w:t>，</w:t>
      </w:r>
      <w:r>
        <w:rPr>
          <w:rFonts w:hint="eastAsia" w:ascii="宋体" w:hAnsi="宋体" w:eastAsia="宋体" w:cs="宋体"/>
          <w:b w:val="0"/>
          <w:bCs w:val="0"/>
          <w:color w:val="auto"/>
          <w:kern w:val="0"/>
          <w:sz w:val="24"/>
          <w:szCs w:val="24"/>
          <w:lang w:val="en-US" w:eastAsia="zh-CN" w:bidi="ar"/>
        </w:rPr>
        <w:t>须提供人员清单（含姓名、</w:t>
      </w:r>
      <w:r>
        <w:rPr>
          <w:rFonts w:hint="eastAsia" w:ascii="宋体" w:hAnsi="宋体" w:cs="宋体"/>
          <w:b w:val="0"/>
          <w:bCs w:val="0"/>
          <w:color w:val="auto"/>
          <w:kern w:val="0"/>
          <w:sz w:val="24"/>
          <w:szCs w:val="24"/>
          <w:lang w:val="en-US" w:eastAsia="zh-CN" w:bidi="ar"/>
        </w:rPr>
        <w:t>性别、年龄、</w:t>
      </w:r>
      <w:r>
        <w:rPr>
          <w:rFonts w:hint="eastAsia" w:ascii="宋体" w:hAnsi="宋体" w:eastAsia="宋体" w:cs="宋体"/>
          <w:b w:val="0"/>
          <w:bCs w:val="0"/>
          <w:color w:val="auto"/>
          <w:kern w:val="0"/>
          <w:sz w:val="24"/>
          <w:szCs w:val="24"/>
          <w:lang w:val="en-US" w:eastAsia="zh-CN" w:bidi="ar"/>
        </w:rPr>
        <w:t>学历、专业、呼叫</w:t>
      </w:r>
      <w:r>
        <w:rPr>
          <w:rFonts w:hint="eastAsia" w:ascii="宋体" w:hAnsi="宋体" w:cs="宋体"/>
          <w:b w:val="0"/>
          <w:bCs w:val="0"/>
          <w:color w:val="auto"/>
          <w:kern w:val="0"/>
          <w:sz w:val="24"/>
          <w:szCs w:val="24"/>
          <w:lang w:val="en-US" w:eastAsia="zh-CN" w:bidi="ar"/>
        </w:rPr>
        <w:t>热线</w:t>
      </w:r>
      <w:r>
        <w:rPr>
          <w:rFonts w:hint="eastAsia" w:ascii="宋体" w:hAnsi="宋体" w:eastAsia="宋体" w:cs="宋体"/>
          <w:b w:val="0"/>
          <w:bCs w:val="0"/>
          <w:color w:val="auto"/>
          <w:kern w:val="0"/>
          <w:sz w:val="24"/>
          <w:szCs w:val="24"/>
          <w:lang w:val="en-US" w:eastAsia="zh-CN" w:bidi="ar"/>
        </w:rPr>
        <w:t>客服工作年限、拟安排坐席岗位类型，并承诺可根据报警接线量动态调整，接线员要求如下：</w:t>
      </w:r>
      <w:bookmarkStart w:id="5" w:name="_GoBack"/>
      <w:bookmarkEnd w:id="5"/>
    </w:p>
    <w:p w14:paraId="5C674CC9">
      <w:pPr>
        <w:keepNext w:val="0"/>
        <w:keepLines w:val="0"/>
        <w:pageBreakBefore w:val="0"/>
        <w:widowControl/>
        <w:numPr>
          <w:ilvl w:val="0"/>
          <w:numId w:val="7"/>
        </w:numPr>
        <w:suppressLineNumbers w:val="0"/>
        <w:kinsoku/>
        <w:wordWrap/>
        <w:overflowPunct/>
        <w:topLinePunct w:val="0"/>
        <w:autoSpaceDE/>
        <w:autoSpaceDN/>
        <w:bidi w:val="0"/>
        <w:adjustRightInd/>
        <w:snapToGrid/>
        <w:spacing w:beforeAutospacing="0" w:afterAutospacing="0" w:line="360" w:lineRule="auto"/>
        <w:ind w:left="5"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人员配置数量：人员配置充足，可满足项目7</w:t>
      </w:r>
      <w:r>
        <w:rPr>
          <w:rFonts w:hint="eastAsia" w:ascii="宋体" w:hAnsi="宋体" w:cs="宋体"/>
          <w:b w:val="0"/>
          <w:bCs w:val="0"/>
          <w:color w:val="auto"/>
          <w:kern w:val="0"/>
          <w:sz w:val="24"/>
          <w:szCs w:val="24"/>
          <w:lang w:val="en-US" w:eastAsia="zh-CN" w:bidi="ar"/>
        </w:rPr>
        <w:t>×</w:t>
      </w:r>
      <w:r>
        <w:rPr>
          <w:rFonts w:hint="eastAsia" w:ascii="宋体" w:hAnsi="宋体" w:eastAsia="宋体" w:cs="宋体"/>
          <w:b w:val="0"/>
          <w:bCs w:val="0"/>
          <w:color w:val="auto"/>
          <w:kern w:val="0"/>
          <w:sz w:val="24"/>
          <w:szCs w:val="24"/>
          <w:lang w:val="en-US" w:eastAsia="zh-CN" w:bidi="ar"/>
        </w:rPr>
        <w:t>24小时不间断轮班值守、节假日在岗值守的工作要求，保障</w:t>
      </w:r>
      <w:r>
        <w:rPr>
          <w:rFonts w:hint="eastAsia" w:ascii="宋体" w:hAnsi="宋体" w:eastAsia="宋体" w:cs="宋体"/>
          <w:b w:val="0"/>
          <w:color w:val="auto"/>
          <w:kern w:val="0"/>
          <w:sz w:val="24"/>
          <w:szCs w:val="24"/>
          <w:lang w:val="en-US" w:eastAsia="zh-CN" w:bidi="ar"/>
        </w:rPr>
        <w:t>报警接线</w:t>
      </w:r>
      <w:r>
        <w:rPr>
          <w:rFonts w:hint="eastAsia" w:ascii="宋体" w:hAnsi="宋体" w:eastAsia="宋体" w:cs="宋体"/>
          <w:b w:val="0"/>
          <w:bCs w:val="0"/>
          <w:color w:val="auto"/>
          <w:kern w:val="0"/>
          <w:sz w:val="24"/>
          <w:szCs w:val="24"/>
          <w:lang w:val="en-US" w:eastAsia="zh-CN" w:bidi="ar"/>
        </w:rPr>
        <w:t>工作常态化、规范化、不间断开展</w:t>
      </w:r>
      <w:r>
        <w:rPr>
          <w:rFonts w:hint="eastAsia" w:ascii="宋体" w:hAnsi="宋体" w:cs="宋体"/>
          <w:b w:val="0"/>
          <w:bCs w:val="0"/>
          <w:color w:val="auto"/>
          <w:kern w:val="0"/>
          <w:sz w:val="24"/>
          <w:szCs w:val="24"/>
          <w:lang w:val="en-US" w:eastAsia="zh-CN" w:bidi="ar"/>
        </w:rPr>
        <w:t>。</w:t>
      </w:r>
    </w:p>
    <w:p w14:paraId="5B7B3B5A">
      <w:pPr>
        <w:keepNext w:val="0"/>
        <w:keepLines w:val="0"/>
        <w:pageBreakBefore w:val="0"/>
        <w:widowControl/>
        <w:numPr>
          <w:ilvl w:val="0"/>
          <w:numId w:val="7"/>
        </w:numPr>
        <w:suppressLineNumbers w:val="0"/>
        <w:kinsoku/>
        <w:wordWrap/>
        <w:overflowPunct/>
        <w:topLinePunct w:val="0"/>
        <w:autoSpaceDE/>
        <w:autoSpaceDN/>
        <w:bidi w:val="0"/>
        <w:adjustRightInd/>
        <w:snapToGrid/>
        <w:spacing w:beforeAutospacing="0" w:afterAutospacing="0" w:line="360" w:lineRule="auto"/>
        <w:ind w:left="5"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基本政治及素养条件：接线员须具有中华人民共和国国籍，拥护中国共产党的领导，自觉遵守国家宪法、法律法规及项目各项规章制度，政治立场坚定，思想作风正派，严格通过政治审查，无违法犯罪记录、无治安处罚记录、无失信被执行人记录，未参与任何非法组织及活动，政治清白、背景干净；</w:t>
      </w:r>
      <w:r>
        <w:rPr>
          <w:rFonts w:hint="eastAsia" w:ascii="宋体" w:hAnsi="宋体" w:cs="宋体"/>
          <w:b w:val="0"/>
          <w:bCs w:val="0"/>
          <w:color w:val="auto"/>
          <w:kern w:val="0"/>
          <w:sz w:val="24"/>
          <w:szCs w:val="24"/>
          <w:lang w:val="en-US" w:eastAsia="zh-CN" w:bidi="ar"/>
        </w:rPr>
        <w:t>品</w:t>
      </w:r>
      <w:r>
        <w:rPr>
          <w:rFonts w:hint="eastAsia" w:ascii="宋体" w:hAnsi="宋体" w:eastAsia="宋体" w:cs="宋体"/>
          <w:b w:val="0"/>
          <w:bCs w:val="0"/>
          <w:color w:val="auto"/>
          <w:kern w:val="0"/>
          <w:sz w:val="24"/>
          <w:szCs w:val="24"/>
          <w:lang w:val="en-US" w:eastAsia="zh-CN" w:bidi="ar"/>
        </w:rPr>
        <w:t>行端正、作风优良、责任心强、吃苦耐劳、服从管理，具备良好的职业道德和服务意识，无不良从业记录；身体健康，五官端正，心理素质良好，能够适应倒班、应急值守及高压报警接线工作，无影响岗位工作的疾病及心理问题。</w:t>
      </w:r>
    </w:p>
    <w:p w14:paraId="14C47A41">
      <w:pPr>
        <w:keepNext w:val="0"/>
        <w:keepLines w:val="0"/>
        <w:pageBreakBefore w:val="0"/>
        <w:widowControl/>
        <w:numPr>
          <w:ilvl w:val="0"/>
          <w:numId w:val="7"/>
        </w:numPr>
        <w:suppressLineNumbers w:val="0"/>
        <w:kinsoku/>
        <w:wordWrap/>
        <w:overflowPunct/>
        <w:topLinePunct w:val="0"/>
        <w:autoSpaceDE/>
        <w:autoSpaceDN/>
        <w:bidi w:val="0"/>
        <w:adjustRightInd/>
        <w:snapToGrid/>
        <w:spacing w:beforeAutospacing="0" w:afterAutospacing="0" w:line="360" w:lineRule="auto"/>
        <w:ind w:left="5"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年龄及学历专业要求：具备大专及以上学历；公安类、政法类、文秘类、计算机类、行政管理类、医学类、心理学等相关专业优先</w:t>
      </w:r>
      <w:r>
        <w:rPr>
          <w:rFonts w:hint="eastAsia" w:ascii="宋体" w:hAnsi="宋体" w:cs="宋体"/>
          <w:b w:val="0"/>
          <w:bCs w:val="0"/>
          <w:color w:val="auto"/>
          <w:kern w:val="0"/>
          <w:sz w:val="24"/>
          <w:szCs w:val="24"/>
          <w:lang w:val="en-US" w:eastAsia="zh-CN" w:bidi="ar"/>
        </w:rPr>
        <w:t>聘用</w:t>
      </w:r>
      <w:r>
        <w:rPr>
          <w:rFonts w:hint="eastAsia" w:ascii="宋体" w:hAnsi="宋体" w:eastAsia="宋体" w:cs="宋体"/>
          <w:b w:val="0"/>
          <w:bCs w:val="0"/>
          <w:color w:val="auto"/>
          <w:kern w:val="0"/>
          <w:sz w:val="24"/>
          <w:szCs w:val="24"/>
          <w:lang w:val="en-US" w:eastAsia="zh-CN" w:bidi="ar"/>
        </w:rPr>
        <w:t>；年龄在18-40周岁之间，条件优异、有丰富警务工作经验或退伍军人可适当放宽。</w:t>
      </w:r>
    </w:p>
    <w:p w14:paraId="4EA52C92">
      <w:pPr>
        <w:keepNext w:val="0"/>
        <w:keepLines w:val="0"/>
        <w:pageBreakBefore w:val="0"/>
        <w:widowControl/>
        <w:numPr>
          <w:ilvl w:val="0"/>
          <w:numId w:val="7"/>
        </w:numPr>
        <w:suppressLineNumbers w:val="0"/>
        <w:kinsoku/>
        <w:wordWrap/>
        <w:overflowPunct/>
        <w:topLinePunct w:val="0"/>
        <w:autoSpaceDE/>
        <w:autoSpaceDN/>
        <w:bidi w:val="0"/>
        <w:adjustRightInd/>
        <w:snapToGrid/>
        <w:spacing w:beforeAutospacing="0" w:afterAutospacing="0" w:line="360" w:lineRule="auto"/>
        <w:ind w:left="5"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综合素质及经验要求：普通话标准，吐字清晰，熟悉延安各区域方言，具备较强的语言表达、沟通协调、情绪安抚和应急沟通能力，可高效应对各类群众咨询、报警诉求；熟悉延安市市、县两级区域划分范围、重点管控区域、公共场所分布；具有公安接警、警务辅助、政务客服、热线值守等相关工作经验者优先；退伍军人优先</w:t>
      </w:r>
      <w:r>
        <w:rPr>
          <w:rFonts w:hint="eastAsia" w:ascii="宋体" w:hAnsi="宋体" w:cs="宋体"/>
          <w:b w:val="0"/>
          <w:bCs w:val="0"/>
          <w:color w:val="auto"/>
          <w:kern w:val="0"/>
          <w:sz w:val="24"/>
          <w:szCs w:val="24"/>
          <w:lang w:val="en-US" w:eastAsia="zh-CN" w:bidi="ar"/>
        </w:rPr>
        <w:t>聘用</w:t>
      </w:r>
      <w:r>
        <w:rPr>
          <w:rFonts w:hint="eastAsia" w:ascii="宋体" w:hAnsi="宋体" w:eastAsia="宋体" w:cs="宋体"/>
          <w:b w:val="0"/>
          <w:bCs w:val="0"/>
          <w:color w:val="auto"/>
          <w:kern w:val="0"/>
          <w:sz w:val="24"/>
          <w:szCs w:val="24"/>
          <w:lang w:val="en-US" w:eastAsia="zh-CN" w:bidi="ar"/>
        </w:rPr>
        <w:t>。</w:t>
      </w:r>
    </w:p>
    <w:p w14:paraId="56745809">
      <w:pPr>
        <w:keepNext w:val="0"/>
        <w:keepLines w:val="0"/>
        <w:pageBreakBefore w:val="0"/>
        <w:widowControl/>
        <w:numPr>
          <w:ilvl w:val="0"/>
          <w:numId w:val="7"/>
        </w:numPr>
        <w:suppressLineNumbers w:val="0"/>
        <w:kinsoku/>
        <w:wordWrap/>
        <w:overflowPunct/>
        <w:topLinePunct w:val="0"/>
        <w:autoSpaceDE/>
        <w:autoSpaceDN/>
        <w:bidi w:val="0"/>
        <w:adjustRightInd/>
        <w:snapToGrid/>
        <w:spacing w:beforeAutospacing="0" w:afterAutospacing="0" w:line="360" w:lineRule="auto"/>
        <w:ind w:left="5"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专业技能及业务能力要求：具备熟练的计算机操作能力，精通Office等常用办公软件，打字速度不低于80字/每分钟，具备较强的文字梳理、文案编辑及信息整理能力。</w:t>
      </w:r>
    </w:p>
    <w:p w14:paraId="3E01EE6E">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cs="宋体"/>
          <w:b w:val="0"/>
          <w:bCs w:val="0"/>
          <w:color w:val="auto"/>
          <w:sz w:val="24"/>
          <w:szCs w:val="24"/>
          <w:lang w:val="en-US" w:eastAsia="zh-CN"/>
        </w:rPr>
      </w:pPr>
      <w:r>
        <w:rPr>
          <w:rFonts w:hint="eastAsia" w:ascii="宋体" w:hAnsi="宋体" w:eastAsia="宋体" w:cs="宋体"/>
          <w:b w:val="0"/>
          <w:bCs w:val="0"/>
          <w:color w:val="auto"/>
          <w:kern w:val="0"/>
          <w:sz w:val="24"/>
          <w:szCs w:val="24"/>
          <w:lang w:val="en-US" w:eastAsia="zh-CN" w:bidi="ar"/>
        </w:rPr>
        <w:t>5.2.</w:t>
      </w: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color w:val="auto"/>
          <w:kern w:val="0"/>
          <w:sz w:val="24"/>
          <w:szCs w:val="24"/>
          <w:highlight w:val="none"/>
          <w:lang w:val="en-US" w:eastAsia="zh-CN" w:bidi="ar"/>
        </w:rPr>
        <w:t>服务商</w:t>
      </w:r>
      <w:r>
        <w:rPr>
          <w:rFonts w:hint="eastAsia" w:ascii="宋体" w:hAnsi="宋体" w:cs="宋体"/>
          <w:b w:val="0"/>
          <w:bCs/>
          <w:color w:val="auto"/>
          <w:kern w:val="0"/>
          <w:sz w:val="24"/>
          <w:szCs w:val="24"/>
          <w:highlight w:val="none"/>
          <w:lang w:val="en-US" w:eastAsia="zh-CN" w:bidi="ar"/>
        </w:rPr>
        <w:t>至少</w:t>
      </w:r>
      <w:r>
        <w:rPr>
          <w:rFonts w:hint="eastAsia" w:ascii="宋体" w:hAnsi="宋体" w:eastAsia="宋体" w:cs="宋体"/>
          <w:b w:val="0"/>
          <w:bCs/>
          <w:color w:val="auto"/>
          <w:kern w:val="0"/>
          <w:sz w:val="24"/>
          <w:szCs w:val="24"/>
          <w:highlight w:val="none"/>
          <w:lang w:val="en-US" w:eastAsia="zh-CN" w:bidi="ar"/>
        </w:rPr>
        <w:t>配备</w:t>
      </w:r>
      <w:r>
        <w:rPr>
          <w:rFonts w:hint="eastAsia" w:ascii="宋体" w:hAnsi="宋体" w:cs="宋体"/>
          <w:b w:val="0"/>
          <w:bCs/>
          <w:color w:val="auto"/>
          <w:kern w:val="0"/>
          <w:sz w:val="24"/>
          <w:szCs w:val="24"/>
          <w:highlight w:val="none"/>
          <w:lang w:val="en-US" w:eastAsia="zh-CN" w:bidi="ar"/>
        </w:rPr>
        <w:t>1</w:t>
      </w:r>
      <w:r>
        <w:rPr>
          <w:rFonts w:hint="eastAsia" w:ascii="宋体" w:hAnsi="宋体" w:eastAsia="宋体" w:cs="宋体"/>
          <w:b w:val="0"/>
          <w:bCs/>
          <w:color w:val="auto"/>
          <w:kern w:val="0"/>
          <w:sz w:val="24"/>
          <w:szCs w:val="24"/>
          <w:highlight w:val="none"/>
          <w:lang w:val="en-US" w:eastAsia="zh-CN" w:bidi="ar"/>
        </w:rPr>
        <w:t>名</w:t>
      </w:r>
      <w:r>
        <w:rPr>
          <w:rFonts w:hint="eastAsia" w:ascii="宋体" w:hAnsi="宋体" w:cs="宋体"/>
          <w:b w:val="0"/>
          <w:bCs/>
          <w:color w:val="auto"/>
          <w:kern w:val="0"/>
          <w:sz w:val="24"/>
          <w:szCs w:val="24"/>
          <w:highlight w:val="none"/>
          <w:lang w:val="en-US" w:eastAsia="zh-CN" w:bidi="ar"/>
        </w:rPr>
        <w:t>持A类驾照（须提供驾驶证）</w:t>
      </w:r>
      <w:r>
        <w:rPr>
          <w:rFonts w:hint="eastAsia" w:ascii="宋体" w:hAnsi="宋体" w:eastAsia="宋体" w:cs="宋体"/>
          <w:b w:val="0"/>
          <w:bCs/>
          <w:color w:val="auto"/>
          <w:kern w:val="0"/>
          <w:sz w:val="24"/>
          <w:szCs w:val="24"/>
          <w:highlight w:val="none"/>
          <w:lang w:val="en-US" w:eastAsia="zh-CN" w:bidi="ar"/>
        </w:rPr>
        <w:t>专职</w:t>
      </w:r>
      <w:r>
        <w:rPr>
          <w:rFonts w:hint="eastAsia" w:ascii="宋体" w:hAnsi="宋体" w:cs="宋体"/>
          <w:b w:val="0"/>
          <w:bCs/>
          <w:color w:val="auto"/>
          <w:kern w:val="0"/>
          <w:sz w:val="24"/>
          <w:szCs w:val="24"/>
          <w:highlight w:val="none"/>
          <w:lang w:val="en-US" w:eastAsia="zh-CN" w:bidi="ar"/>
        </w:rPr>
        <w:t>司机，</w:t>
      </w:r>
      <w:r>
        <w:rPr>
          <w:rFonts w:hint="eastAsia" w:ascii="宋体" w:hAnsi="宋体" w:cs="宋体"/>
          <w:b w:val="0"/>
          <w:bCs w:val="0"/>
          <w:color w:val="auto"/>
          <w:sz w:val="24"/>
          <w:szCs w:val="24"/>
          <w:highlight w:val="none"/>
          <w:lang w:val="en-US" w:eastAsia="zh-CN"/>
        </w:rPr>
        <w:t>协助采购人专职负责110接警中心公务出行及车辆驾驶保障工作，具备良好的车辆应急处置能力。</w:t>
      </w:r>
    </w:p>
    <w:p w14:paraId="498B7E95">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5.2.</w:t>
      </w:r>
      <w:r>
        <w:rPr>
          <w:rFonts w:hint="eastAsia" w:ascii="宋体" w:hAnsi="宋体" w:cs="宋体"/>
          <w:b w:val="0"/>
          <w:bCs w:val="0"/>
          <w:color w:val="auto"/>
          <w:kern w:val="0"/>
          <w:sz w:val="24"/>
          <w:szCs w:val="24"/>
          <w:lang w:val="en-US" w:eastAsia="zh-CN" w:bidi="ar"/>
        </w:rPr>
        <w:t>7</w:t>
      </w:r>
      <w:r>
        <w:rPr>
          <w:rFonts w:hint="eastAsia" w:ascii="宋体" w:hAnsi="宋体" w:eastAsia="宋体" w:cs="宋体"/>
          <w:b w:val="0"/>
          <w:bCs w:val="0"/>
          <w:color w:val="auto"/>
          <w:kern w:val="0"/>
          <w:sz w:val="24"/>
          <w:szCs w:val="24"/>
          <w:lang w:val="en-US" w:eastAsia="zh-CN" w:bidi="ar"/>
        </w:rPr>
        <w:t>建立人员储备机制，针对人员流动情况制定补充方案，确保人员流失率每月≤5%，保障报警接线服务连续稳定；优先</w:t>
      </w:r>
      <w:r>
        <w:rPr>
          <w:rFonts w:hint="eastAsia" w:ascii="宋体" w:hAnsi="宋体" w:cs="宋体"/>
          <w:b w:val="0"/>
          <w:bCs w:val="0"/>
          <w:color w:val="auto"/>
          <w:kern w:val="0"/>
          <w:sz w:val="24"/>
          <w:szCs w:val="24"/>
          <w:lang w:val="en-US" w:eastAsia="zh-CN" w:bidi="ar"/>
        </w:rPr>
        <w:t>聘用</w:t>
      </w:r>
      <w:r>
        <w:rPr>
          <w:rFonts w:hint="eastAsia" w:ascii="宋体" w:hAnsi="宋体" w:eastAsia="宋体" w:cs="宋体"/>
          <w:b w:val="0"/>
          <w:bCs w:val="0"/>
          <w:color w:val="auto"/>
          <w:kern w:val="0"/>
          <w:sz w:val="24"/>
          <w:szCs w:val="24"/>
          <w:lang w:val="en-US" w:eastAsia="zh-CN" w:bidi="ar"/>
        </w:rPr>
        <w:t>经考核合格的本项目现有服务人员</w:t>
      </w:r>
      <w:r>
        <w:rPr>
          <w:rFonts w:hint="eastAsia" w:ascii="宋体" w:hAnsi="宋体" w:cs="宋体"/>
          <w:b w:val="0"/>
          <w:bCs w:val="0"/>
          <w:color w:val="auto"/>
          <w:kern w:val="0"/>
          <w:sz w:val="24"/>
          <w:szCs w:val="24"/>
          <w:lang w:val="en-US" w:eastAsia="zh-CN" w:bidi="ar"/>
        </w:rPr>
        <w:t>及</w:t>
      </w:r>
      <w:r>
        <w:rPr>
          <w:rFonts w:hint="eastAsia" w:ascii="宋体" w:hAnsi="宋体" w:eastAsia="宋体" w:cs="宋体"/>
          <w:b w:val="0"/>
          <w:bCs w:val="0"/>
          <w:color w:val="auto"/>
          <w:kern w:val="0"/>
          <w:sz w:val="24"/>
          <w:szCs w:val="24"/>
          <w:lang w:val="en-US" w:eastAsia="zh-CN" w:bidi="ar"/>
        </w:rPr>
        <w:t>熟悉当地情况的人员。</w:t>
      </w:r>
    </w:p>
    <w:p w14:paraId="03ADEE9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5.3安全保密能力</w:t>
      </w:r>
    </w:p>
    <w:p w14:paraId="6FC130BD">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lang w:val="en-US" w:eastAsia="zh-CN" w:bidi="ar"/>
        </w:rPr>
        <w:t>服务商须具备完善的安全保密体系，严格遵守国家保密法律法规和采购人的保密</w:t>
      </w:r>
      <w:r>
        <w:rPr>
          <w:rFonts w:hint="eastAsia" w:ascii="宋体" w:hAnsi="宋体" w:eastAsia="宋体" w:cs="宋体"/>
          <w:color w:val="auto"/>
          <w:kern w:val="0"/>
          <w:sz w:val="24"/>
          <w:szCs w:val="24"/>
          <w:highlight w:val="none"/>
          <w:lang w:val="en-US" w:eastAsia="zh-CN" w:bidi="ar"/>
        </w:rPr>
        <w:t>规定，能够保障警情数据、群众信息和警务秘密的安全，具体要求如下：</w:t>
      </w:r>
    </w:p>
    <w:p w14:paraId="72606B44">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highlight w:val="none"/>
          <w:lang w:val="en-US" w:eastAsia="zh-CN" w:bidi="ar"/>
        </w:rPr>
        <w:t>5.3.1</w:t>
      </w:r>
      <w:r>
        <w:rPr>
          <w:rFonts w:hint="eastAsia" w:ascii="宋体" w:hAnsi="宋体" w:cs="宋体"/>
          <w:b w:val="0"/>
          <w:bCs w:val="0"/>
          <w:color w:val="auto"/>
          <w:kern w:val="0"/>
          <w:sz w:val="24"/>
          <w:szCs w:val="24"/>
          <w:highlight w:val="none"/>
          <w:lang w:val="en-US" w:eastAsia="zh-CN" w:bidi="ar"/>
        </w:rPr>
        <w:t>承诺</w:t>
      </w:r>
      <w:r>
        <w:rPr>
          <w:rFonts w:hint="eastAsia" w:ascii="宋体" w:hAnsi="宋体" w:eastAsia="宋体" w:cs="宋体"/>
          <w:b w:val="0"/>
          <w:bCs w:val="0"/>
          <w:color w:val="auto"/>
          <w:kern w:val="0"/>
          <w:sz w:val="24"/>
          <w:szCs w:val="24"/>
          <w:highlight w:val="none"/>
          <w:lang w:val="en-US" w:eastAsia="zh-CN" w:bidi="ar"/>
        </w:rPr>
        <w:t>签订合同前须与采购人签订保</w:t>
      </w:r>
      <w:r>
        <w:rPr>
          <w:rFonts w:hint="eastAsia" w:ascii="宋体" w:hAnsi="宋体" w:eastAsia="宋体" w:cs="宋体"/>
          <w:b w:val="0"/>
          <w:bCs w:val="0"/>
          <w:color w:val="auto"/>
          <w:kern w:val="0"/>
          <w:sz w:val="24"/>
          <w:szCs w:val="24"/>
          <w:lang w:val="en-US" w:eastAsia="zh-CN" w:bidi="ar"/>
        </w:rPr>
        <w:t>密协议，同时与所有工作人员签订保密协议，明确保密责任和义务，严防国家秘密、商业秘密和群众个人隐私泄露。</w:t>
      </w:r>
    </w:p>
    <w:p w14:paraId="3D773FE7">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5.3.2严禁工作人员将内部信息资料外借或作为宣传资料，严禁私自携带磁盘、光盘、U盘等存储设备进入报警接线工作场所和机房，严禁使用</w:t>
      </w:r>
      <w:r>
        <w:rPr>
          <w:rFonts w:hint="eastAsia" w:ascii="宋体" w:hAnsi="宋体" w:eastAsia="宋体" w:cs="宋体"/>
          <w:b w:val="0"/>
          <w:color w:val="auto"/>
          <w:kern w:val="0"/>
          <w:sz w:val="24"/>
          <w:szCs w:val="24"/>
          <w:lang w:val="en-US" w:eastAsia="zh-CN" w:bidi="ar"/>
        </w:rPr>
        <w:t>报警接线</w:t>
      </w:r>
      <w:r>
        <w:rPr>
          <w:rFonts w:hint="eastAsia" w:ascii="宋体" w:hAnsi="宋体" w:eastAsia="宋体" w:cs="宋体"/>
          <w:b w:val="0"/>
          <w:bCs w:val="0"/>
          <w:color w:val="auto"/>
          <w:kern w:val="0"/>
          <w:sz w:val="24"/>
          <w:szCs w:val="24"/>
          <w:lang w:val="en-US" w:eastAsia="zh-CN" w:bidi="ar"/>
        </w:rPr>
        <w:t>电话拨打外线进行私人通话，严禁泄露市县两级接处警相关敏感信息。</w:t>
      </w:r>
    </w:p>
    <w:p w14:paraId="494B8A37">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5.3.3.建立保密培训制度，定期对接线员开展保密培训，提高保密意识；若发生泄密事件，须立即采取补救措施，防止泄密范围扩大，并及时向采购人报告；承担由此造成的一切经济损失和法律责任，涉嫌犯罪的，移交司法机关处理。</w:t>
      </w:r>
    </w:p>
    <w:p w14:paraId="4B4EB6E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5.4数据分析能力</w:t>
      </w:r>
    </w:p>
    <w:p w14:paraId="6BAF247A">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服务商需具备市县两级</w:t>
      </w:r>
      <w:r>
        <w:rPr>
          <w:rFonts w:hint="eastAsia" w:ascii="宋体" w:hAnsi="宋体" w:eastAsia="宋体" w:cs="宋体"/>
          <w:b w:val="0"/>
          <w:bCs w:val="0"/>
          <w:color w:val="auto"/>
          <w:sz w:val="24"/>
          <w:szCs w:val="24"/>
          <w:highlight w:val="none"/>
          <w:lang w:val="en-US" w:eastAsia="zh-CN"/>
        </w:rPr>
        <w:t>报警接线</w:t>
      </w:r>
      <w:r>
        <w:rPr>
          <w:rFonts w:hint="eastAsia" w:ascii="宋体" w:hAnsi="宋体" w:eastAsia="宋体" w:cs="宋体"/>
          <w:color w:val="auto"/>
          <w:kern w:val="0"/>
          <w:sz w:val="24"/>
          <w:szCs w:val="24"/>
          <w:lang w:val="en-US" w:eastAsia="zh-CN" w:bidi="ar"/>
        </w:rPr>
        <w:t>运营数据统计分析能力，可按日、周、月、季度统计各项</w:t>
      </w:r>
      <w:r>
        <w:rPr>
          <w:rFonts w:hint="eastAsia" w:ascii="宋体" w:hAnsi="宋体" w:eastAsia="宋体" w:cs="宋体"/>
          <w:b w:val="0"/>
          <w:color w:val="auto"/>
          <w:kern w:val="0"/>
          <w:sz w:val="24"/>
          <w:szCs w:val="24"/>
          <w:lang w:val="en-US" w:eastAsia="zh-CN" w:bidi="ar"/>
        </w:rPr>
        <w:t>报警接线</w:t>
      </w:r>
      <w:r>
        <w:rPr>
          <w:rFonts w:hint="eastAsia" w:ascii="宋体" w:hAnsi="宋体" w:eastAsia="宋体" w:cs="宋体"/>
          <w:color w:val="auto"/>
          <w:kern w:val="0"/>
          <w:sz w:val="24"/>
          <w:szCs w:val="24"/>
          <w:lang w:val="en-US" w:eastAsia="zh-CN" w:bidi="ar"/>
        </w:rPr>
        <w:t>核心指标，编制统一规范的数据报表与分析资料，常态化开展警情分类界定、信息录入合规核查，完成问题纠偏整改，为规范</w:t>
      </w:r>
      <w:r>
        <w:rPr>
          <w:rFonts w:hint="eastAsia" w:ascii="宋体" w:hAnsi="宋体" w:eastAsia="宋体" w:cs="宋体"/>
          <w:b w:val="0"/>
          <w:color w:val="auto"/>
          <w:kern w:val="0"/>
          <w:sz w:val="24"/>
          <w:szCs w:val="24"/>
          <w:lang w:val="en-US" w:eastAsia="zh-CN" w:bidi="ar"/>
        </w:rPr>
        <w:t>报警接线</w:t>
      </w:r>
      <w:r>
        <w:rPr>
          <w:rFonts w:hint="eastAsia" w:ascii="宋体" w:hAnsi="宋体" w:eastAsia="宋体" w:cs="宋体"/>
          <w:color w:val="auto"/>
          <w:kern w:val="0"/>
          <w:sz w:val="24"/>
          <w:szCs w:val="24"/>
          <w:lang w:val="en-US" w:eastAsia="zh-CN" w:bidi="ar"/>
        </w:rPr>
        <w:t>业务运行、统一业务标准提供坚实数据支撑。</w:t>
      </w:r>
    </w:p>
    <w:p w14:paraId="59914A9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2" w:firstLineChars="200"/>
        <w:jc w:val="left"/>
        <w:textAlignment w:val="auto"/>
        <w:outlineLvl w:val="9"/>
        <w:rPr>
          <w:rFonts w:hint="eastAsia" w:ascii="宋体" w:hAnsi="宋体" w:eastAsia="宋体" w:cs="宋体"/>
          <w:b/>
          <w:bCs w:val="0"/>
          <w:color w:val="auto"/>
          <w:sz w:val="24"/>
          <w:szCs w:val="24"/>
          <w:lang w:val="en-US" w:eastAsia="zh-CN"/>
        </w:rPr>
      </w:pPr>
      <w:r>
        <w:rPr>
          <w:rFonts w:hint="eastAsia" w:ascii="宋体" w:hAnsi="宋体" w:cs="宋体"/>
          <w:b/>
          <w:bCs w:val="0"/>
          <w:color w:val="auto"/>
          <w:kern w:val="2"/>
          <w:sz w:val="24"/>
          <w:szCs w:val="24"/>
          <w:lang w:val="en-US" w:eastAsia="zh-CN" w:bidi="ar-SA"/>
        </w:rPr>
        <w:t>6.</w:t>
      </w:r>
      <w:r>
        <w:rPr>
          <w:rFonts w:hint="eastAsia" w:ascii="宋体" w:hAnsi="宋体" w:eastAsia="宋体" w:cs="宋体"/>
          <w:b/>
          <w:bCs w:val="0"/>
          <w:color w:val="auto"/>
          <w:sz w:val="24"/>
          <w:szCs w:val="24"/>
          <w:lang w:val="en-US" w:eastAsia="zh-CN"/>
        </w:rPr>
        <w:t>服务</w:t>
      </w:r>
      <w:r>
        <w:rPr>
          <w:rFonts w:hint="eastAsia" w:ascii="宋体" w:hAnsi="宋体" w:cs="宋体"/>
          <w:b/>
          <w:bCs w:val="0"/>
          <w:color w:val="auto"/>
          <w:sz w:val="24"/>
          <w:szCs w:val="24"/>
          <w:lang w:val="en-US" w:eastAsia="zh-CN"/>
        </w:rPr>
        <w:t>要求</w:t>
      </w:r>
    </w:p>
    <w:p w14:paraId="34441A86">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1</w:t>
      </w:r>
      <w:r>
        <w:rPr>
          <w:rFonts w:hint="eastAsia" w:ascii="宋体" w:hAnsi="宋体" w:eastAsia="宋体" w:cs="宋体"/>
          <w:b w:val="0"/>
          <w:bCs w:val="0"/>
          <w:color w:val="auto"/>
          <w:kern w:val="0"/>
          <w:sz w:val="24"/>
          <w:szCs w:val="24"/>
          <w:lang w:val="en-US" w:eastAsia="zh-CN" w:bidi="ar"/>
        </w:rPr>
        <w:t>报警接线服务</w:t>
      </w:r>
    </w:p>
    <w:p w14:paraId="7D7E3D50">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服务商须在市级统一接警中心提供7</w:t>
      </w:r>
      <w:r>
        <w:rPr>
          <w:rFonts w:hint="eastAsia" w:ascii="宋体" w:hAnsi="宋体" w:cs="宋体"/>
          <w:b w:val="0"/>
          <w:bCs w:val="0"/>
          <w:color w:val="auto"/>
          <w:kern w:val="0"/>
          <w:sz w:val="24"/>
          <w:szCs w:val="24"/>
          <w:lang w:val="en-US" w:eastAsia="zh-CN" w:bidi="ar"/>
        </w:rPr>
        <w:t>×</w:t>
      </w:r>
      <w:r>
        <w:rPr>
          <w:rFonts w:hint="eastAsia" w:ascii="宋体" w:hAnsi="宋体" w:eastAsia="宋体" w:cs="宋体"/>
          <w:b w:val="0"/>
          <w:bCs w:val="0"/>
          <w:color w:val="auto"/>
          <w:kern w:val="0"/>
          <w:sz w:val="24"/>
          <w:szCs w:val="24"/>
          <w:lang w:val="en-US" w:eastAsia="zh-CN" w:bidi="ar"/>
        </w:rPr>
        <w:t>24小时不间断110电话</w:t>
      </w:r>
      <w:r>
        <w:rPr>
          <w:rFonts w:hint="eastAsia" w:ascii="宋体" w:hAnsi="宋体" w:eastAsia="宋体" w:cs="宋体"/>
          <w:b w:val="0"/>
          <w:bCs w:val="0"/>
          <w:color w:val="auto"/>
          <w:sz w:val="24"/>
          <w:szCs w:val="24"/>
          <w:highlight w:val="none"/>
          <w:lang w:val="en-US" w:eastAsia="zh-CN"/>
        </w:rPr>
        <w:t>报警接线</w:t>
      </w:r>
      <w:r>
        <w:rPr>
          <w:rFonts w:hint="eastAsia" w:ascii="宋体" w:hAnsi="宋体" w:eastAsia="宋体" w:cs="宋体"/>
          <w:b w:val="0"/>
          <w:bCs w:val="0"/>
          <w:color w:val="auto"/>
          <w:kern w:val="0"/>
          <w:sz w:val="24"/>
          <w:szCs w:val="24"/>
          <w:lang w:val="en-US" w:eastAsia="zh-CN" w:bidi="ar"/>
        </w:rPr>
        <w:t>、短信接警服务，严格按照110接处警工作规则，完成以下工作：</w:t>
      </w:r>
    </w:p>
    <w:p w14:paraId="2155D63E">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1</w:t>
      </w:r>
      <w:r>
        <w:rPr>
          <w:rFonts w:hint="eastAsia" w:ascii="宋体" w:hAnsi="宋体" w:eastAsia="宋体" w:cs="宋体"/>
          <w:b w:val="0"/>
          <w:bCs w:val="0"/>
          <w:color w:val="auto"/>
          <w:kern w:val="0"/>
          <w:sz w:val="24"/>
          <w:szCs w:val="24"/>
          <w:lang w:val="en-US" w:eastAsia="zh-CN" w:bidi="ar"/>
        </w:rPr>
        <w:t>.1及时接听群众报警电话，确保市级统一接警中心10秒内人工应答，平均即时接通率100%；</w:t>
      </w:r>
    </w:p>
    <w:p w14:paraId="46C5D090">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1.</w:t>
      </w:r>
      <w:r>
        <w:rPr>
          <w:rFonts w:hint="eastAsia" w:ascii="宋体" w:hAnsi="宋体" w:eastAsia="宋体" w:cs="宋体"/>
          <w:b w:val="0"/>
          <w:bCs w:val="0"/>
          <w:color w:val="auto"/>
          <w:kern w:val="0"/>
          <w:sz w:val="24"/>
          <w:szCs w:val="24"/>
          <w:lang w:val="en-US" w:eastAsia="zh-CN" w:bidi="ar"/>
        </w:rPr>
        <w:t>2耐心倾听群众诉求，准确询问报警人基本信息、报警内容、事发地点、现场情况等关键信息，规范填写报警接线记录，确保信息完整、准确、无遗漏，符合公安机关接报案、受案立案信息系统使用要求。</w:t>
      </w:r>
    </w:p>
    <w:p w14:paraId="559CA459">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1.</w:t>
      </w:r>
      <w:r>
        <w:rPr>
          <w:rFonts w:hint="eastAsia" w:ascii="宋体" w:hAnsi="宋体" w:eastAsia="宋体" w:cs="宋体"/>
          <w:b w:val="0"/>
          <w:bCs w:val="0"/>
          <w:color w:val="auto"/>
          <w:kern w:val="0"/>
          <w:sz w:val="24"/>
          <w:szCs w:val="24"/>
          <w:lang w:val="en-US" w:eastAsia="zh-CN" w:bidi="ar"/>
        </w:rPr>
        <w:t>3准确识别警情类型，区分警务警情与非警务警情，对警务警情按规定及时推送至相应市、县处警单位，明确推送时限和要求；对非警务警情，耐心引导群众向相关职能部门求助，或采购人要求进行分流处置。</w:t>
      </w:r>
    </w:p>
    <w:p w14:paraId="67CEACB9">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1.4</w:t>
      </w:r>
      <w:r>
        <w:rPr>
          <w:rFonts w:hint="eastAsia" w:ascii="宋体" w:hAnsi="宋体" w:eastAsia="宋体" w:cs="宋体"/>
          <w:b w:val="0"/>
          <w:bCs w:val="0"/>
          <w:color w:val="auto"/>
          <w:kern w:val="0"/>
          <w:sz w:val="24"/>
          <w:szCs w:val="24"/>
          <w:lang w:val="en-US" w:eastAsia="zh-CN" w:bidi="ar"/>
        </w:rPr>
        <w:t>报警接线过程中保持文明用语，态度热情、耐心，严禁与群众发生争执、推诿扯皮，杜绝冷、硬、横、推等现象，严格执行报警接线话术规范。</w:t>
      </w:r>
    </w:p>
    <w:p w14:paraId="31D68551">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 xml:space="preserve">2  </w:t>
      </w:r>
      <w:r>
        <w:rPr>
          <w:rFonts w:hint="eastAsia" w:ascii="宋体" w:hAnsi="宋体" w:eastAsia="宋体" w:cs="宋体"/>
          <w:b w:val="0"/>
          <w:bCs w:val="0"/>
          <w:color w:val="auto"/>
          <w:kern w:val="0"/>
          <w:sz w:val="24"/>
          <w:szCs w:val="24"/>
          <w:lang w:val="en-US" w:eastAsia="zh-CN" w:bidi="ar"/>
        </w:rPr>
        <w:t>12345转接警情报警接线</w:t>
      </w:r>
    </w:p>
    <w:p w14:paraId="1CE6AF2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leftChars="0" w:firstLine="480" w:firstLineChars="200"/>
        <w:jc w:val="left"/>
        <w:textAlignment w:val="auto"/>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highlight w:val="none"/>
          <w:lang w:val="en-US" w:eastAsia="zh-CN" w:bidi="ar"/>
        </w:rPr>
        <w:t>110</w:t>
      </w:r>
      <w:r>
        <w:rPr>
          <w:rFonts w:hint="eastAsia" w:ascii="宋体" w:hAnsi="宋体" w:eastAsia="宋体" w:cs="宋体"/>
          <w:b w:val="0"/>
          <w:bCs w:val="0"/>
          <w:color w:val="auto"/>
          <w:kern w:val="0"/>
          <w:sz w:val="24"/>
          <w:szCs w:val="24"/>
          <w:lang w:val="en-US" w:eastAsia="zh-CN" w:bidi="ar"/>
        </w:rPr>
        <w:t>接线员</w:t>
      </w:r>
      <w:r>
        <w:rPr>
          <w:rFonts w:hint="eastAsia" w:ascii="宋体" w:hAnsi="宋体" w:eastAsia="宋体" w:cs="宋体"/>
          <w:color w:val="auto"/>
          <w:kern w:val="0"/>
          <w:sz w:val="24"/>
          <w:szCs w:val="24"/>
          <w:highlight w:val="none"/>
          <w:lang w:val="en-US" w:eastAsia="zh-CN" w:bidi="ar"/>
        </w:rPr>
        <w:t>接到12345转来的报警/求助，核心要求是先判紧急、再定管辖、全程留痕、闭环处置，具体</w:t>
      </w:r>
      <w:r>
        <w:rPr>
          <w:rFonts w:hint="eastAsia" w:ascii="宋体" w:hAnsi="宋体" w:eastAsia="宋体" w:cs="宋体"/>
          <w:b w:val="0"/>
          <w:bCs w:val="0"/>
          <w:color w:val="auto"/>
          <w:sz w:val="24"/>
          <w:szCs w:val="24"/>
          <w:highlight w:val="none"/>
          <w:lang w:val="en-US" w:eastAsia="zh-CN"/>
        </w:rPr>
        <w:t>报警接线</w:t>
      </w:r>
      <w:r>
        <w:rPr>
          <w:rFonts w:hint="eastAsia" w:ascii="宋体" w:hAnsi="宋体" w:eastAsia="宋体" w:cs="宋体"/>
          <w:color w:val="auto"/>
          <w:kern w:val="0"/>
          <w:sz w:val="24"/>
          <w:szCs w:val="24"/>
          <w:lang w:val="en-US" w:eastAsia="zh-CN" w:bidi="ar"/>
        </w:rPr>
        <w:t>操作要求如下：</w:t>
      </w:r>
    </w:p>
    <w:p w14:paraId="7DC3C931">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2</w:t>
      </w:r>
      <w:r>
        <w:rPr>
          <w:rFonts w:hint="eastAsia" w:ascii="宋体" w:hAnsi="宋体" w:eastAsia="宋体" w:cs="宋体"/>
          <w:b w:val="0"/>
          <w:bCs w:val="0"/>
          <w:color w:val="auto"/>
          <w:kern w:val="0"/>
          <w:sz w:val="24"/>
          <w:szCs w:val="24"/>
          <w:lang w:val="en-US" w:eastAsia="zh-CN" w:bidi="ar"/>
        </w:rPr>
        <w:t>.1接警必登记：完整记录诉求人、时间、地点、事由、联系方式、12345工单编号。</w:t>
      </w:r>
    </w:p>
    <w:p w14:paraId="40CE382E">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2</w:t>
      </w:r>
      <w:r>
        <w:rPr>
          <w:rFonts w:hint="eastAsia" w:ascii="宋体" w:hAnsi="宋体" w:eastAsia="宋体" w:cs="宋体"/>
          <w:b w:val="0"/>
          <w:bCs w:val="0"/>
          <w:color w:val="auto"/>
          <w:kern w:val="0"/>
          <w:sz w:val="24"/>
          <w:szCs w:val="24"/>
          <w:lang w:val="en-US" w:eastAsia="zh-CN" w:bidi="ar"/>
        </w:rPr>
        <w:t>.2快速判类型：警务/紧急（刑事、治安、交通、人身危险、公共安全）：立即录入，同步回告12345。</w:t>
      </w:r>
    </w:p>
    <w:p w14:paraId="425DFBB7">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2</w:t>
      </w:r>
      <w:r>
        <w:rPr>
          <w:rFonts w:hint="eastAsia" w:ascii="宋体" w:hAnsi="宋体" w:eastAsia="宋体" w:cs="宋体"/>
          <w:b w:val="0"/>
          <w:bCs w:val="0"/>
          <w:color w:val="auto"/>
          <w:kern w:val="0"/>
          <w:sz w:val="24"/>
          <w:szCs w:val="24"/>
          <w:lang w:val="en-US" w:eastAsia="zh-CN" w:bidi="ar"/>
        </w:rPr>
        <w:t>.3非警务/非紧急（物业、噪音、劳资、民生服务）：一键转接/系统推送12345，不派警。</w:t>
      </w:r>
    </w:p>
    <w:p w14:paraId="4F8D5EB7">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2</w:t>
      </w:r>
      <w:r>
        <w:rPr>
          <w:rFonts w:hint="eastAsia" w:ascii="宋体" w:hAnsi="宋体" w:eastAsia="宋体" w:cs="宋体"/>
          <w:b w:val="0"/>
          <w:bCs w:val="0"/>
          <w:color w:val="auto"/>
          <w:kern w:val="0"/>
          <w:sz w:val="24"/>
          <w:szCs w:val="24"/>
          <w:lang w:val="en-US" w:eastAsia="zh-CN" w:bidi="ar"/>
        </w:rPr>
        <w:t>.4职责交叉/边界不清：三方通话（诉求人+12345+110）会商；仍不清则110先受理，紧急先处置。</w:t>
      </w:r>
    </w:p>
    <w:p w14:paraId="647023AA">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2</w:t>
      </w:r>
      <w:r>
        <w:rPr>
          <w:rFonts w:hint="eastAsia" w:ascii="宋体" w:hAnsi="宋体" w:eastAsia="宋体" w:cs="宋体"/>
          <w:b w:val="0"/>
          <w:bCs w:val="0"/>
          <w:color w:val="auto"/>
          <w:kern w:val="0"/>
          <w:sz w:val="24"/>
          <w:szCs w:val="24"/>
          <w:lang w:val="en-US" w:eastAsia="zh-CN" w:bidi="ar"/>
        </w:rPr>
        <w:t>.5态度与话术：礼貌耐心、不推诿、不拒绝；明确告知“已受理/已转12345，会跟进反馈”。</w:t>
      </w:r>
    </w:p>
    <w:p w14:paraId="15A1D6A1">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3</w:t>
      </w:r>
      <w:r>
        <w:rPr>
          <w:rFonts w:hint="eastAsia" w:ascii="宋体" w:hAnsi="宋体" w:eastAsia="宋体" w:cs="宋体"/>
          <w:b w:val="0"/>
          <w:bCs w:val="0"/>
          <w:color w:val="auto"/>
          <w:kern w:val="0"/>
          <w:sz w:val="24"/>
          <w:szCs w:val="24"/>
          <w:lang w:val="en-US" w:eastAsia="zh-CN" w:bidi="ar"/>
        </w:rPr>
        <w:t>警情录入</w:t>
      </w:r>
    </w:p>
    <w:p w14:paraId="3B1D2D09">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服务商须严格按照公安部《公安机关110接处警警情数据规范》开展警情录入与分流，确保警情信息录入及时、准确、完整，为</w:t>
      </w:r>
      <w:r>
        <w:rPr>
          <w:rFonts w:hint="eastAsia" w:ascii="宋体" w:hAnsi="宋体" w:eastAsia="宋体" w:cs="宋体"/>
          <w:b w:val="0"/>
          <w:color w:val="auto"/>
          <w:kern w:val="0"/>
          <w:sz w:val="24"/>
          <w:szCs w:val="24"/>
          <w:lang w:val="en-US" w:eastAsia="zh-CN" w:bidi="ar"/>
        </w:rPr>
        <w:t>报警接线</w:t>
      </w:r>
      <w:r>
        <w:rPr>
          <w:rFonts w:hint="eastAsia" w:ascii="宋体" w:hAnsi="宋体" w:eastAsia="宋体" w:cs="宋体"/>
          <w:b w:val="0"/>
          <w:bCs w:val="0"/>
          <w:color w:val="auto"/>
          <w:kern w:val="0"/>
          <w:sz w:val="24"/>
          <w:szCs w:val="24"/>
          <w:lang w:val="en-US" w:eastAsia="zh-CN" w:bidi="ar"/>
        </w:rPr>
        <w:t>数据规范化管理和警务决策提供支撑，具体要求如下：</w:t>
      </w:r>
    </w:p>
    <w:p w14:paraId="5C6A5B61">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3</w:t>
      </w:r>
      <w:r>
        <w:rPr>
          <w:rFonts w:hint="eastAsia" w:ascii="宋体" w:hAnsi="宋体" w:eastAsia="宋体" w:cs="宋体"/>
          <w:b w:val="0"/>
          <w:bCs w:val="0"/>
          <w:color w:val="auto"/>
          <w:kern w:val="0"/>
          <w:sz w:val="24"/>
          <w:szCs w:val="24"/>
          <w:lang w:val="en-US" w:eastAsia="zh-CN" w:bidi="ar"/>
        </w:rPr>
        <w:t>.1录入范围：覆盖全市所有110电话报警、短信等渠道的全部警情，包括报警、紧急求助、投诉、警务咨询、非警务咨询，实现警情录入无遗漏、全覆盖，确保市级集约接警中心与县级驻场点警情录入标准统一、数据同步。</w:t>
      </w:r>
    </w:p>
    <w:p w14:paraId="6F8B1349">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3</w:t>
      </w:r>
      <w:r>
        <w:rPr>
          <w:rFonts w:hint="eastAsia" w:ascii="宋体" w:hAnsi="宋体" w:eastAsia="宋体" w:cs="宋体"/>
          <w:b w:val="0"/>
          <w:bCs w:val="0"/>
          <w:color w:val="auto"/>
          <w:kern w:val="0"/>
          <w:sz w:val="24"/>
          <w:szCs w:val="24"/>
          <w:lang w:val="en-US" w:eastAsia="zh-CN" w:bidi="ar"/>
        </w:rPr>
        <w:t>.2录入标准：指导所有接线员严格按照市级统一规范，完整录入警情核心信息，包括但不限于报警人基本信息、事发精确地点、警情发生时间、警情类型、现场详细情况、报警人诉求及处置要求等，确保录入信息真实、规范，符合公安机关接报案、受案立案信息系统使用要求，杜绝漏录、错录、迟录、简录现象。</w:t>
      </w:r>
    </w:p>
    <w:p w14:paraId="773FB265">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3</w:t>
      </w:r>
      <w:r>
        <w:rPr>
          <w:rFonts w:hint="eastAsia" w:ascii="宋体" w:hAnsi="宋体" w:eastAsia="宋体" w:cs="宋体"/>
          <w:b w:val="0"/>
          <w:bCs w:val="0"/>
          <w:color w:val="auto"/>
          <w:kern w:val="0"/>
          <w:sz w:val="24"/>
          <w:szCs w:val="24"/>
          <w:lang w:val="en-US" w:eastAsia="zh-CN" w:bidi="ar"/>
        </w:rPr>
        <w:t>.3录入时限：电话报警警情须在1分钟内完成录入，紧急警情须在30秒内完成录入，确保警情信息及时同步，为后续分流、处置、回访提供基础支撑。</w:t>
      </w:r>
    </w:p>
    <w:p w14:paraId="0FB172F5">
      <w:pPr>
        <w:keepNext w:val="0"/>
        <w:keepLines w:val="0"/>
        <w:pageBreakBefore w:val="0"/>
        <w:widowControl/>
        <w:numPr>
          <w:ilvl w:val="2"/>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6</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3</w:t>
      </w:r>
      <w:r>
        <w:rPr>
          <w:rFonts w:hint="eastAsia" w:ascii="宋体" w:hAnsi="宋体" w:eastAsia="宋体" w:cs="宋体"/>
          <w:b w:val="0"/>
          <w:bCs w:val="0"/>
          <w:color w:val="auto"/>
          <w:kern w:val="0"/>
          <w:sz w:val="24"/>
          <w:szCs w:val="24"/>
          <w:lang w:val="en-US" w:eastAsia="zh-CN" w:bidi="ar"/>
        </w:rPr>
        <w:t>.4质量管控：建立警情录入质量核查机制，每日对录入的警情进行抽查核对，抽查比例不低于当日警情总量的10%，重点核查录入信息的完整性、准确性、规范性；对发现的漏录、错录等问题，及时通知相关人员整改，建立整改台账，跟踪整改落实情况，确保问题闭环。</w:t>
      </w:r>
    </w:p>
    <w:p w14:paraId="7192BD0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firstLine="420" w:firstLineChars="0"/>
        <w:jc w:val="left"/>
        <w:textAlignment w:val="auto"/>
        <w:outlineLvl w:val="9"/>
        <w:rPr>
          <w:rFonts w:hint="eastAsia" w:ascii="宋体" w:hAnsi="宋体" w:eastAsia="宋体" w:cs="宋体"/>
          <w:color w:val="auto"/>
          <w:sz w:val="24"/>
          <w:szCs w:val="24"/>
          <w:lang w:val="en-US" w:eastAsia="zh-CN"/>
        </w:rPr>
      </w:pPr>
      <w:r>
        <w:rPr>
          <w:rFonts w:hint="eastAsia" w:ascii="宋体" w:hAnsi="宋体" w:cs="宋体"/>
          <w:bCs/>
          <w:color w:val="auto"/>
          <w:kern w:val="2"/>
          <w:sz w:val="24"/>
          <w:szCs w:val="24"/>
          <w:lang w:val="en-US" w:eastAsia="zh-CN" w:bidi="ar-SA"/>
        </w:rPr>
        <w:t>6.4</w:t>
      </w:r>
      <w:r>
        <w:rPr>
          <w:rFonts w:hint="eastAsia" w:ascii="宋体" w:hAnsi="宋体" w:eastAsia="宋体" w:cs="宋体"/>
          <w:color w:val="auto"/>
          <w:sz w:val="24"/>
          <w:szCs w:val="24"/>
          <w:lang w:val="en-US" w:eastAsia="zh-CN"/>
        </w:rPr>
        <w:t>警情回访服务</w:t>
      </w:r>
    </w:p>
    <w:p w14:paraId="19C2904F">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服务商须建立完善的回访机制，对已处置完毕的警情进行回访，具体要求如下：</w:t>
      </w:r>
    </w:p>
    <w:p w14:paraId="7AFB448D">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Cs/>
          <w:color w:val="auto"/>
          <w:kern w:val="2"/>
          <w:sz w:val="24"/>
          <w:szCs w:val="24"/>
          <w:lang w:val="en-US" w:eastAsia="zh-CN" w:bidi="ar-SA"/>
        </w:rPr>
        <w:t>6.4</w:t>
      </w:r>
      <w:r>
        <w:rPr>
          <w:rFonts w:hint="eastAsia" w:ascii="宋体" w:hAnsi="宋体" w:eastAsia="宋体" w:cs="宋体"/>
          <w:bCs/>
          <w:color w:val="auto"/>
          <w:kern w:val="2"/>
          <w:sz w:val="24"/>
          <w:szCs w:val="24"/>
          <w:lang w:val="en-US" w:eastAsia="zh-CN" w:bidi="ar-SA"/>
        </w:rPr>
        <w:t>.</w:t>
      </w:r>
      <w:r>
        <w:rPr>
          <w:rFonts w:hint="eastAsia" w:ascii="宋体" w:hAnsi="宋体" w:eastAsia="宋体" w:cs="宋体"/>
          <w:b w:val="0"/>
          <w:bCs w:val="0"/>
          <w:color w:val="auto"/>
          <w:kern w:val="0"/>
          <w:sz w:val="24"/>
          <w:szCs w:val="24"/>
          <w:lang w:val="en-US" w:eastAsia="zh-CN" w:bidi="ar"/>
        </w:rPr>
        <w:t>1针对不满意警情进行回访，回访率不低于90%。</w:t>
      </w:r>
    </w:p>
    <w:p w14:paraId="08E3B74B">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Cs/>
          <w:color w:val="auto"/>
          <w:kern w:val="2"/>
          <w:sz w:val="24"/>
          <w:szCs w:val="24"/>
          <w:lang w:val="en-US" w:eastAsia="zh-CN" w:bidi="ar-SA"/>
        </w:rPr>
        <w:t>6.4</w:t>
      </w:r>
      <w:r>
        <w:rPr>
          <w:rFonts w:hint="eastAsia" w:ascii="宋体" w:hAnsi="宋体" w:eastAsia="宋体" w:cs="宋体"/>
          <w:bCs/>
          <w:color w:val="auto"/>
          <w:kern w:val="2"/>
          <w:sz w:val="24"/>
          <w:szCs w:val="24"/>
          <w:lang w:val="en-US" w:eastAsia="zh-CN" w:bidi="ar-SA"/>
        </w:rPr>
        <w:t>.</w:t>
      </w:r>
      <w:r>
        <w:rPr>
          <w:rFonts w:hint="eastAsia" w:ascii="宋体" w:hAnsi="宋体" w:eastAsia="宋体" w:cs="宋体"/>
          <w:b w:val="0"/>
          <w:bCs w:val="0"/>
          <w:color w:val="auto"/>
          <w:kern w:val="0"/>
          <w:sz w:val="24"/>
          <w:szCs w:val="24"/>
          <w:lang w:val="en-US" w:eastAsia="zh-CN" w:bidi="ar"/>
        </w:rPr>
        <w:t>2回访内容包括群众对报警接线服务态度、报警接线效率、分流准确性、处置结果的满意度，以及是否存在遗漏信息、处置不当等问题，准确记录回访情况，形成回访台账。</w:t>
      </w:r>
    </w:p>
    <w:p w14:paraId="1B70B2B9">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Cs/>
          <w:color w:val="auto"/>
          <w:kern w:val="2"/>
          <w:sz w:val="24"/>
          <w:szCs w:val="24"/>
          <w:lang w:val="en-US" w:eastAsia="zh-CN" w:bidi="ar-SA"/>
        </w:rPr>
        <w:t>6.4</w:t>
      </w:r>
      <w:r>
        <w:rPr>
          <w:rFonts w:hint="eastAsia" w:ascii="宋体" w:hAnsi="宋体" w:eastAsia="宋体" w:cs="宋体"/>
          <w:bCs/>
          <w:color w:val="auto"/>
          <w:kern w:val="2"/>
          <w:sz w:val="24"/>
          <w:szCs w:val="24"/>
          <w:lang w:val="en-US" w:eastAsia="zh-CN" w:bidi="ar-SA"/>
        </w:rPr>
        <w:t>.</w:t>
      </w:r>
      <w:r>
        <w:rPr>
          <w:rFonts w:hint="eastAsia" w:ascii="宋体" w:hAnsi="宋体" w:eastAsia="宋体" w:cs="宋体"/>
          <w:b w:val="0"/>
          <w:bCs w:val="0"/>
          <w:color w:val="auto"/>
          <w:kern w:val="0"/>
          <w:sz w:val="24"/>
          <w:szCs w:val="24"/>
          <w:lang w:val="en-US" w:eastAsia="zh-CN" w:bidi="ar"/>
        </w:rPr>
        <w:t>3对回访中发现的问题，及时汇总分析，反馈给采购人。</w:t>
      </w:r>
    </w:p>
    <w:p w14:paraId="5ED075D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firstLine="420" w:firstLineChars="0"/>
        <w:jc w:val="left"/>
        <w:textAlignment w:val="auto"/>
        <w:outlineLvl w:val="9"/>
        <w:rPr>
          <w:rFonts w:hint="eastAsia" w:ascii="宋体" w:hAnsi="宋体" w:eastAsia="宋体" w:cs="宋体"/>
          <w:bCs/>
          <w:color w:val="auto"/>
          <w:kern w:val="2"/>
          <w:sz w:val="24"/>
          <w:szCs w:val="24"/>
          <w:lang w:val="en-US" w:eastAsia="zh-CN" w:bidi="ar-SA"/>
        </w:rPr>
      </w:pPr>
      <w:r>
        <w:rPr>
          <w:rFonts w:hint="eastAsia" w:ascii="宋体" w:hAnsi="宋体" w:cs="宋体"/>
          <w:bCs/>
          <w:color w:val="auto"/>
          <w:kern w:val="2"/>
          <w:sz w:val="24"/>
          <w:szCs w:val="24"/>
          <w:lang w:val="en-US" w:eastAsia="zh-CN" w:bidi="ar-SA"/>
        </w:rPr>
        <w:t>6.5</w:t>
      </w:r>
      <w:r>
        <w:rPr>
          <w:rFonts w:hint="eastAsia" w:ascii="宋体" w:hAnsi="宋体" w:eastAsia="宋体" w:cs="宋体"/>
          <w:bCs/>
          <w:color w:val="auto"/>
          <w:kern w:val="2"/>
          <w:sz w:val="24"/>
          <w:szCs w:val="24"/>
          <w:lang w:val="en-US" w:eastAsia="zh-CN" w:bidi="ar-SA"/>
        </w:rPr>
        <w:t>警情数据分析服务</w:t>
      </w:r>
    </w:p>
    <w:p w14:paraId="2467114A">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Cs/>
          <w:color w:val="auto"/>
          <w:kern w:val="2"/>
          <w:sz w:val="24"/>
          <w:szCs w:val="24"/>
          <w:lang w:val="en-US" w:eastAsia="zh-CN" w:bidi="ar-SA"/>
        </w:rPr>
        <w:t>6.5.</w:t>
      </w:r>
      <w:r>
        <w:rPr>
          <w:rFonts w:hint="eastAsia" w:ascii="宋体" w:hAnsi="宋体" w:eastAsia="宋体" w:cs="宋体"/>
          <w:b w:val="0"/>
          <w:bCs w:val="0"/>
          <w:color w:val="auto"/>
          <w:kern w:val="0"/>
          <w:sz w:val="24"/>
          <w:szCs w:val="24"/>
          <w:lang w:val="en-US" w:eastAsia="zh-CN" w:bidi="ar"/>
        </w:rPr>
        <w:t>1数据处理与统计：服务商须按日、周、月、季度统计全市及各县级区域报警接线核心指标，包括报警接线总量、有效警情量、人工接通率、警情单差错率、人员流失率等，形成全市及分县的结构化统计报表，按时上报采购人。</w:t>
      </w:r>
    </w:p>
    <w:p w14:paraId="1832D26C">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Cs/>
          <w:color w:val="auto"/>
          <w:kern w:val="2"/>
          <w:sz w:val="24"/>
          <w:szCs w:val="24"/>
          <w:lang w:val="en-US" w:eastAsia="zh-CN" w:bidi="ar-SA"/>
        </w:rPr>
        <w:t>6.5.</w:t>
      </w:r>
      <w:r>
        <w:rPr>
          <w:rFonts w:hint="eastAsia" w:ascii="宋体" w:hAnsi="宋体" w:eastAsia="宋体" w:cs="宋体"/>
          <w:b w:val="0"/>
          <w:bCs w:val="0"/>
          <w:color w:val="auto"/>
          <w:kern w:val="0"/>
          <w:sz w:val="24"/>
          <w:szCs w:val="24"/>
          <w:lang w:val="en-US" w:eastAsia="zh-CN" w:bidi="ar"/>
        </w:rPr>
        <w:t>2数据分析与支撑：服务商立足市县两级警务需求，紧扣报警接线、警情分类、警情录入等核心工作开展专项数据分析。从接听处置效率、警情分类精准度、信息录入完整度及规范度等维度开展量化统计，深挖日常工作中的薄弱环节与管理漏洞，编制条理清晰、数据详实的统计报表及专业分析报告，为统一报警接线业务规范、统一警情划分标准、从严规范信息录入管理、优化一线报警接线处置流程，提供数据支撑与决策参考。</w:t>
      </w:r>
    </w:p>
    <w:p w14:paraId="293B53D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firstLine="420" w:firstLineChars="0"/>
        <w:jc w:val="left"/>
        <w:textAlignment w:val="auto"/>
        <w:outlineLvl w:val="9"/>
        <w:rPr>
          <w:rFonts w:hint="default" w:ascii="宋体" w:hAnsi="宋体" w:cs="宋体"/>
          <w:b/>
          <w:bCs w:val="0"/>
          <w:color w:val="auto"/>
          <w:kern w:val="2"/>
          <w:sz w:val="24"/>
          <w:szCs w:val="24"/>
          <w:lang w:val="en-US" w:eastAsia="zh-CN" w:bidi="ar-SA"/>
        </w:rPr>
      </w:pPr>
      <w:r>
        <w:rPr>
          <w:rFonts w:hint="eastAsia" w:ascii="宋体" w:hAnsi="宋体" w:cs="宋体"/>
          <w:b/>
          <w:bCs w:val="0"/>
          <w:color w:val="auto"/>
          <w:kern w:val="2"/>
          <w:sz w:val="24"/>
          <w:szCs w:val="24"/>
          <w:lang w:val="en-US" w:eastAsia="zh-CN" w:bidi="ar-SA"/>
        </w:rPr>
        <w:t>7.培训及运营服务</w:t>
      </w:r>
    </w:p>
    <w:p w14:paraId="2B4D9E7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firstLine="420" w:firstLineChars="0"/>
        <w:jc w:val="left"/>
        <w:textAlignment w:val="auto"/>
        <w:outlineLvl w:val="9"/>
        <w:rPr>
          <w:rFonts w:hint="eastAsia" w:ascii="宋体" w:hAnsi="宋体" w:eastAsia="宋体" w:cs="宋体"/>
          <w:b w:val="0"/>
          <w:bCs/>
          <w:color w:val="auto"/>
          <w:kern w:val="2"/>
          <w:sz w:val="24"/>
          <w:szCs w:val="24"/>
          <w:lang w:val="en-US" w:eastAsia="zh-CN" w:bidi="ar-SA"/>
        </w:rPr>
      </w:pPr>
      <w:r>
        <w:rPr>
          <w:rFonts w:hint="eastAsia" w:ascii="宋体" w:hAnsi="宋体" w:cs="宋体"/>
          <w:b w:val="0"/>
          <w:bCs/>
          <w:color w:val="auto"/>
          <w:kern w:val="2"/>
          <w:sz w:val="24"/>
          <w:szCs w:val="24"/>
          <w:lang w:val="en-US" w:eastAsia="zh-CN" w:bidi="ar-SA"/>
        </w:rPr>
        <w:t>7.1</w:t>
      </w:r>
      <w:r>
        <w:rPr>
          <w:rFonts w:hint="eastAsia" w:ascii="宋体" w:hAnsi="宋体" w:eastAsia="宋体" w:cs="宋体"/>
          <w:b w:val="0"/>
          <w:bCs/>
          <w:color w:val="auto"/>
          <w:kern w:val="2"/>
          <w:sz w:val="24"/>
          <w:szCs w:val="24"/>
          <w:lang w:val="en-US" w:eastAsia="zh-CN" w:bidi="ar-SA"/>
        </w:rPr>
        <w:t>培训服务</w:t>
      </w:r>
    </w:p>
    <w:p w14:paraId="5526E77F">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服务商须建立完善的培训体系，定期开展培训，具体要求如下：</w:t>
      </w:r>
    </w:p>
    <w:p w14:paraId="6D367A7D">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7.1</w:t>
      </w:r>
      <w:r>
        <w:rPr>
          <w:rFonts w:hint="eastAsia" w:ascii="宋体" w:hAnsi="宋体" w:eastAsia="宋体" w:cs="宋体"/>
          <w:b w:val="0"/>
          <w:bCs w:val="0"/>
          <w:color w:val="auto"/>
          <w:kern w:val="0"/>
          <w:sz w:val="24"/>
          <w:szCs w:val="24"/>
          <w:lang w:val="en-US" w:eastAsia="zh-CN" w:bidi="ar"/>
        </w:rPr>
        <w:t>.1岗前培训：对新入职的接线员、管理人员进行10-15天的岗前集中培训，内容包括110报警接线规则、统一操作规范、警情识别、警情录入与分流标准、沟通技巧、保密知识、系统操作、市县行政区划和重点区域情况等，经考核合格后方可上岗。</w:t>
      </w:r>
    </w:p>
    <w:p w14:paraId="352FE057">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7.1</w:t>
      </w:r>
      <w:r>
        <w:rPr>
          <w:rFonts w:hint="eastAsia" w:ascii="宋体" w:hAnsi="宋体" w:eastAsia="宋体" w:cs="宋体"/>
          <w:b w:val="0"/>
          <w:bCs w:val="0"/>
          <w:color w:val="auto"/>
          <w:kern w:val="0"/>
          <w:sz w:val="24"/>
          <w:szCs w:val="24"/>
          <w:lang w:val="en-US" w:eastAsia="zh-CN" w:bidi="ar"/>
        </w:rPr>
        <w:t>.2日常培训：每月组织不少于1次的日常培训，内容包括业务知识更新、警情识别与录入规范、服务技能提升、应急处置演练、心理辅导等，确保接线员持续提升专业能力。</w:t>
      </w:r>
    </w:p>
    <w:p w14:paraId="2508C9E5">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7.1</w:t>
      </w:r>
      <w:r>
        <w:rPr>
          <w:rFonts w:hint="eastAsia" w:ascii="宋体" w:hAnsi="宋体" w:eastAsia="宋体" w:cs="宋体"/>
          <w:b w:val="0"/>
          <w:bCs w:val="0"/>
          <w:color w:val="auto"/>
          <w:kern w:val="0"/>
          <w:sz w:val="24"/>
          <w:szCs w:val="24"/>
          <w:lang w:val="en-US" w:eastAsia="zh-CN" w:bidi="ar"/>
        </w:rPr>
        <w:t>.3专项培训：根据采购人要求和服务实际需求，开展系统操作、特殊警情处置、保密知识等专项培训，提升相关人员业务能力，确保适配报警接线工作需求。</w:t>
      </w:r>
    </w:p>
    <w:p w14:paraId="5BF1E9A4">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7.1</w:t>
      </w:r>
      <w:r>
        <w:rPr>
          <w:rFonts w:hint="eastAsia" w:ascii="宋体" w:hAnsi="宋体" w:eastAsia="宋体" w:cs="宋体"/>
          <w:b w:val="0"/>
          <w:bCs w:val="0"/>
          <w:color w:val="auto"/>
          <w:kern w:val="0"/>
          <w:sz w:val="24"/>
          <w:szCs w:val="24"/>
          <w:lang w:val="en-US" w:eastAsia="zh-CN" w:bidi="ar"/>
        </w:rPr>
        <w:t>.4培训记录：建立完整的培训档案，记录培训时间、内容、参与人员、考核结果等信息，定期将培训情况上报采购人。</w:t>
      </w:r>
    </w:p>
    <w:p w14:paraId="13EE861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firstLine="420" w:firstLineChars="0"/>
        <w:jc w:val="left"/>
        <w:textAlignment w:val="auto"/>
        <w:outlineLvl w:val="9"/>
        <w:rPr>
          <w:rFonts w:hint="eastAsia" w:ascii="宋体" w:hAnsi="宋体" w:eastAsia="宋体" w:cs="宋体"/>
          <w:bCs/>
          <w:color w:val="auto"/>
          <w:kern w:val="2"/>
          <w:sz w:val="24"/>
          <w:szCs w:val="24"/>
          <w:lang w:val="en-US" w:eastAsia="zh-CN" w:bidi="ar-SA"/>
        </w:rPr>
      </w:pPr>
      <w:r>
        <w:rPr>
          <w:rFonts w:hint="eastAsia" w:ascii="宋体" w:hAnsi="宋体" w:cs="宋体"/>
          <w:b w:val="0"/>
          <w:bCs w:val="0"/>
          <w:color w:val="auto"/>
          <w:kern w:val="0"/>
          <w:sz w:val="24"/>
          <w:szCs w:val="24"/>
          <w:lang w:val="en-US" w:eastAsia="zh-CN" w:bidi="ar"/>
        </w:rPr>
        <w:t>7.</w:t>
      </w:r>
      <w:r>
        <w:rPr>
          <w:rFonts w:hint="eastAsia" w:ascii="宋体" w:hAnsi="宋体" w:cs="宋体"/>
          <w:bCs/>
          <w:color w:val="auto"/>
          <w:kern w:val="2"/>
          <w:sz w:val="24"/>
          <w:szCs w:val="24"/>
          <w:lang w:val="en-US" w:eastAsia="zh-CN" w:bidi="ar-SA"/>
        </w:rPr>
        <w:t>2</w:t>
      </w:r>
      <w:r>
        <w:rPr>
          <w:rFonts w:hint="eastAsia" w:ascii="宋体" w:hAnsi="宋体" w:eastAsia="宋体" w:cs="宋体"/>
          <w:bCs/>
          <w:color w:val="auto"/>
          <w:kern w:val="2"/>
          <w:sz w:val="24"/>
          <w:szCs w:val="24"/>
          <w:lang w:val="en-US" w:eastAsia="zh-CN" w:bidi="ar-SA"/>
        </w:rPr>
        <w:t>运营服务</w:t>
      </w:r>
    </w:p>
    <w:p w14:paraId="18FFC84B">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7.2</w:t>
      </w:r>
      <w:r>
        <w:rPr>
          <w:rFonts w:hint="eastAsia" w:ascii="宋体" w:hAnsi="宋体" w:eastAsia="宋体" w:cs="宋体"/>
          <w:b w:val="0"/>
          <w:bCs w:val="0"/>
          <w:color w:val="auto"/>
          <w:kern w:val="0"/>
          <w:sz w:val="24"/>
          <w:szCs w:val="24"/>
          <w:lang w:val="en-US" w:eastAsia="zh-CN" w:bidi="ar"/>
        </w:rPr>
        <w:t>.1日常运营管理：服务商须建立完善的日常运营管理制度，保持现场工作环境安静有序，严禁串岗、脱岗、扎堆聊天、玩游戏等行为；接线员、管理人员须按要求统一着装，干净整洁、佩带工牌，坐姿端正，严禁出现翘脚盘腿、踩踏主机等有损服务形象的行为；保持工作桌面整洁，工作场所严禁吸烟，爱护公共设施。</w:t>
      </w:r>
    </w:p>
    <w:p w14:paraId="48C0612A">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7.2</w:t>
      </w:r>
      <w:r>
        <w:rPr>
          <w:rFonts w:hint="eastAsia" w:ascii="宋体" w:hAnsi="宋体" w:eastAsia="宋体" w:cs="宋体"/>
          <w:b w:val="0"/>
          <w:bCs w:val="0"/>
          <w:color w:val="auto"/>
          <w:kern w:val="0"/>
          <w:sz w:val="24"/>
          <w:szCs w:val="24"/>
          <w:lang w:val="en-US" w:eastAsia="zh-CN" w:bidi="ar"/>
        </w:rPr>
        <w:t>.2人员管理：服务商须制定完善的人员管理制度，加强日常管理和考核，建立绩效考核机制，将报警接线效率、服务质量等纳入考核范围，考核结果与薪酬挂钩；</w:t>
      </w:r>
    </w:p>
    <w:p w14:paraId="0F0FED5C">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7.2</w:t>
      </w:r>
      <w:r>
        <w:rPr>
          <w:rFonts w:hint="eastAsia" w:ascii="宋体" w:hAnsi="宋体" w:eastAsia="宋体" w:cs="宋体"/>
          <w:b w:val="0"/>
          <w:bCs w:val="0"/>
          <w:color w:val="auto"/>
          <w:kern w:val="0"/>
          <w:sz w:val="24"/>
          <w:szCs w:val="24"/>
          <w:lang w:val="en-US" w:eastAsia="zh-CN" w:bidi="ar"/>
        </w:rPr>
        <w:t>.3劳动关系管理：服务商</w:t>
      </w:r>
      <w:r>
        <w:rPr>
          <w:rFonts w:hint="eastAsia" w:ascii="宋体" w:hAnsi="宋体" w:cs="宋体"/>
          <w:b w:val="0"/>
          <w:bCs w:val="0"/>
          <w:color w:val="auto"/>
          <w:kern w:val="0"/>
          <w:sz w:val="24"/>
          <w:szCs w:val="24"/>
          <w:lang w:val="en-US" w:eastAsia="zh-CN" w:bidi="ar"/>
        </w:rPr>
        <w:t>须承诺</w:t>
      </w:r>
      <w:r>
        <w:rPr>
          <w:rFonts w:hint="eastAsia" w:ascii="宋体" w:hAnsi="宋体" w:eastAsia="宋体" w:cs="宋体"/>
          <w:b w:val="0"/>
          <w:bCs w:val="0"/>
          <w:color w:val="auto"/>
          <w:kern w:val="0"/>
          <w:sz w:val="24"/>
          <w:szCs w:val="24"/>
          <w:lang w:val="en-US" w:eastAsia="zh-CN" w:bidi="ar"/>
        </w:rPr>
        <w:t>负责所有聘用人员的人事管理工作，薪资发放，并依法依规缴纳各项社会保险</w:t>
      </w:r>
      <w:r>
        <w:rPr>
          <w:rFonts w:hint="eastAsia" w:ascii="宋体" w:hAnsi="宋体" w:cs="宋体"/>
          <w:b w:val="0"/>
          <w:bCs w:val="0"/>
          <w:color w:val="auto"/>
          <w:kern w:val="0"/>
          <w:sz w:val="24"/>
          <w:szCs w:val="24"/>
          <w:lang w:val="en-US" w:eastAsia="zh-CN" w:bidi="ar"/>
        </w:rPr>
        <w:t>及住房公积金</w:t>
      </w:r>
      <w:r>
        <w:rPr>
          <w:rFonts w:hint="eastAsia" w:ascii="宋体" w:hAnsi="宋体" w:eastAsia="宋体" w:cs="宋体"/>
          <w:b w:val="0"/>
          <w:bCs w:val="0"/>
          <w:color w:val="auto"/>
          <w:kern w:val="0"/>
          <w:sz w:val="24"/>
          <w:szCs w:val="24"/>
          <w:lang w:val="en-US" w:eastAsia="zh-CN" w:bidi="ar"/>
        </w:rPr>
        <w:t>，处理与其聘用人员的一切劳动纠纷、工伤、意外伤害等，并承担全部责任。</w:t>
      </w:r>
    </w:p>
    <w:p w14:paraId="487F3DA6">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7.2</w:t>
      </w:r>
      <w:r>
        <w:rPr>
          <w:rFonts w:hint="eastAsia" w:ascii="宋体" w:hAnsi="宋体" w:eastAsia="宋体" w:cs="宋体"/>
          <w:b w:val="0"/>
          <w:bCs w:val="0"/>
          <w:color w:val="auto"/>
          <w:kern w:val="0"/>
          <w:sz w:val="24"/>
          <w:szCs w:val="24"/>
          <w:lang w:val="en-US" w:eastAsia="zh-CN" w:bidi="ar"/>
        </w:rPr>
        <w:t>.4应急处置：服务商须制定完善的应急处置预案，针对突发话务高峰、系统故障、重大警情、人员短缺等突发情况，明确处置流程、责任分工和应对措施，确保能够快速响应、有效处置，保障报警接线服务不中断。重大警情时，须配合采购人做好应急联动、信息上报等工作。</w:t>
      </w:r>
    </w:p>
    <w:p w14:paraId="1ED5C6B0">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7.2</w:t>
      </w:r>
      <w:r>
        <w:rPr>
          <w:rFonts w:hint="eastAsia" w:ascii="宋体" w:hAnsi="宋体" w:eastAsia="宋体" w:cs="宋体"/>
          <w:b w:val="0"/>
          <w:bCs w:val="0"/>
          <w:color w:val="auto"/>
          <w:kern w:val="0"/>
          <w:sz w:val="24"/>
          <w:szCs w:val="24"/>
          <w:lang w:val="en-US" w:eastAsia="zh-CN" w:bidi="ar"/>
        </w:rPr>
        <w:t>.5沟通对接：服务商须建立与采购人的常态化沟通机制，配备专职对接人员，负责日常业务沟通、问题反馈、资料提交等工作；每月须提供周报、月度运营报告，每季度提供季度分析报告，及时发现存在的问题，提出完善的解决方案；配合采购人对座席忙闲情况、话务情况、警情处置情况进行实时监控，接受采购人的实时监听、录音质检和资料查阅。</w:t>
      </w:r>
    </w:p>
    <w:p w14:paraId="49035F0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firstLine="420" w:firstLineChars="0"/>
        <w:jc w:val="left"/>
        <w:textAlignment w:val="auto"/>
        <w:outlineLvl w:val="9"/>
        <w:rPr>
          <w:rFonts w:hint="eastAsia" w:ascii="宋体" w:hAnsi="宋体" w:eastAsia="宋体" w:cs="宋体"/>
          <w:bCs/>
          <w:color w:val="auto"/>
          <w:kern w:val="2"/>
          <w:sz w:val="24"/>
          <w:szCs w:val="24"/>
          <w:lang w:val="en-US" w:eastAsia="zh-CN" w:bidi="ar-SA"/>
        </w:rPr>
      </w:pPr>
      <w:r>
        <w:rPr>
          <w:rFonts w:hint="eastAsia" w:ascii="宋体" w:hAnsi="宋体" w:cs="宋体"/>
          <w:b w:val="0"/>
          <w:bCs w:val="0"/>
          <w:color w:val="auto"/>
          <w:kern w:val="0"/>
          <w:sz w:val="24"/>
          <w:szCs w:val="24"/>
          <w:lang w:val="en-US" w:eastAsia="zh-CN" w:bidi="ar"/>
        </w:rPr>
        <w:t>7.</w:t>
      </w:r>
      <w:r>
        <w:rPr>
          <w:rFonts w:hint="eastAsia" w:ascii="宋体" w:hAnsi="宋体" w:cs="宋体"/>
          <w:bCs/>
          <w:color w:val="auto"/>
          <w:kern w:val="2"/>
          <w:sz w:val="24"/>
          <w:szCs w:val="24"/>
          <w:lang w:val="en-US" w:eastAsia="zh-CN" w:bidi="ar-SA"/>
        </w:rPr>
        <w:t>3</w:t>
      </w:r>
      <w:r>
        <w:rPr>
          <w:rFonts w:hint="eastAsia" w:ascii="宋体" w:hAnsi="宋体" w:eastAsia="宋体" w:cs="宋体"/>
          <w:bCs/>
          <w:color w:val="auto"/>
          <w:kern w:val="2"/>
          <w:sz w:val="24"/>
          <w:szCs w:val="24"/>
          <w:lang w:val="en-US" w:eastAsia="zh-CN" w:bidi="ar-SA"/>
        </w:rPr>
        <w:t>.系统平台使用要求</w:t>
      </w:r>
    </w:p>
    <w:p w14:paraId="2BDFF8CC">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7.3</w:t>
      </w:r>
      <w:r>
        <w:rPr>
          <w:rFonts w:hint="eastAsia" w:ascii="宋体" w:hAnsi="宋体" w:eastAsia="宋体" w:cs="宋体"/>
          <w:b w:val="0"/>
          <w:bCs w:val="0"/>
          <w:color w:val="auto"/>
          <w:kern w:val="0"/>
          <w:sz w:val="24"/>
          <w:szCs w:val="24"/>
          <w:lang w:val="en-US" w:eastAsia="zh-CN" w:bidi="ar"/>
        </w:rPr>
        <w:t>.1服务商使用采购方指定系统开展报警接线服务工作。但要求服务商服务团队必须熟练掌握采购方系统功能使用，需确保服务人员遵守系统安全和信息安全的相关管理规范，在授权下规范进行系统操作、数据操作等工作。</w:t>
      </w:r>
    </w:p>
    <w:p w14:paraId="0C0A38E0">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7.3</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2</w:t>
      </w:r>
      <w:r>
        <w:rPr>
          <w:rFonts w:hint="eastAsia" w:ascii="宋体" w:hAnsi="宋体" w:eastAsia="宋体" w:cs="宋体"/>
          <w:b w:val="0"/>
          <w:bCs w:val="0"/>
          <w:color w:val="auto"/>
          <w:kern w:val="0"/>
          <w:sz w:val="24"/>
          <w:szCs w:val="24"/>
          <w:lang w:val="en-US" w:eastAsia="zh-CN" w:bidi="ar"/>
        </w:rPr>
        <w:t>服务商需严格遵守国家及地方关于数据安全、个人信息保护的相关法律法规，建立完善的数据安全与保密管理制度，明确保密责任，加强对业务数据、公众信息、采购方相关信息的安全保护，杜绝数据泄露、篡改、滥用等情况。服务商投入使用的自研软件，需全面落实数据安全防护机制，软件存储、处理、传输的所有项目数据均纳入统一保密管理体系，严格规避软件使用过程中产生的数据安全风险。</w:t>
      </w:r>
    </w:p>
    <w:p w14:paraId="519878C2">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20" w:firstLineChars="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cs="宋体"/>
          <w:b w:val="0"/>
          <w:bCs w:val="0"/>
          <w:color w:val="auto"/>
          <w:kern w:val="0"/>
          <w:sz w:val="24"/>
          <w:szCs w:val="24"/>
          <w:lang w:val="en-US" w:eastAsia="zh-CN" w:bidi="ar"/>
        </w:rPr>
        <w:t>7.3</w:t>
      </w:r>
      <w:r>
        <w:rPr>
          <w:rFonts w:hint="eastAsia" w:ascii="宋体" w:hAnsi="宋体" w:eastAsia="宋体" w:cs="宋体"/>
          <w:b w:val="0"/>
          <w:bCs w:val="0"/>
          <w:color w:val="auto"/>
          <w:kern w:val="0"/>
          <w:sz w:val="24"/>
          <w:szCs w:val="24"/>
          <w:lang w:val="en-US" w:eastAsia="zh-CN" w:bidi="ar"/>
        </w:rPr>
        <w:t>.</w:t>
      </w:r>
      <w:r>
        <w:rPr>
          <w:rFonts w:hint="eastAsia" w:ascii="宋体" w:hAnsi="宋体" w:cs="宋体"/>
          <w:b w:val="0"/>
          <w:bCs w:val="0"/>
          <w:color w:val="auto"/>
          <w:kern w:val="0"/>
          <w:sz w:val="24"/>
          <w:szCs w:val="24"/>
          <w:lang w:val="en-US" w:eastAsia="zh-CN" w:bidi="ar"/>
        </w:rPr>
        <w:t>3</w:t>
      </w:r>
      <w:r>
        <w:rPr>
          <w:rFonts w:hint="eastAsia" w:ascii="宋体" w:hAnsi="宋体" w:eastAsia="宋体" w:cs="宋体"/>
          <w:b w:val="0"/>
          <w:bCs w:val="0"/>
          <w:color w:val="auto"/>
          <w:kern w:val="0"/>
          <w:sz w:val="24"/>
          <w:szCs w:val="24"/>
          <w:lang w:val="en-US" w:eastAsia="zh-CN" w:bidi="ar"/>
        </w:rPr>
        <w:t>所有人员需签订保密协议，明确保密义务，严禁泄露工作中获取的各类敏感信息、公众信息、采购人信息；严禁私自复制、传播、出售相关信息，严禁将信息用于与本项目无关的用途。</w:t>
      </w:r>
    </w:p>
    <w:p w14:paraId="455EDB0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2" w:firstLineChars="200"/>
        <w:jc w:val="left"/>
        <w:textAlignment w:val="auto"/>
        <w:outlineLvl w:val="9"/>
        <w:rPr>
          <w:rFonts w:hint="eastAsia" w:ascii="宋体" w:hAnsi="宋体" w:eastAsia="宋体" w:cs="宋体"/>
          <w:b/>
          <w:bCs w:val="0"/>
          <w:color w:val="auto"/>
          <w:sz w:val="24"/>
          <w:szCs w:val="24"/>
          <w:lang w:val="en-US" w:eastAsia="zh-CN"/>
        </w:rPr>
      </w:pPr>
      <w:r>
        <w:rPr>
          <w:rFonts w:hint="eastAsia" w:ascii="宋体" w:hAnsi="宋体" w:cs="宋体"/>
          <w:b/>
          <w:bCs w:val="0"/>
          <w:color w:val="auto"/>
          <w:kern w:val="44"/>
          <w:sz w:val="24"/>
          <w:szCs w:val="24"/>
          <w:lang w:val="en-US" w:eastAsia="zh-CN" w:bidi="ar-SA"/>
        </w:rPr>
        <w:t>8.</w:t>
      </w:r>
      <w:r>
        <w:rPr>
          <w:rFonts w:hint="eastAsia" w:ascii="宋体" w:hAnsi="宋体" w:eastAsia="宋体" w:cs="宋体"/>
          <w:b/>
          <w:bCs w:val="0"/>
          <w:color w:val="auto"/>
          <w:sz w:val="24"/>
          <w:szCs w:val="24"/>
          <w:lang w:val="en-US" w:eastAsia="zh-CN"/>
        </w:rPr>
        <w:t>服务质量考核标准</w:t>
      </w:r>
    </w:p>
    <w:p w14:paraId="06B469A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firstLine="420" w:firstLineChars="0"/>
        <w:jc w:val="left"/>
        <w:textAlignment w:val="auto"/>
        <w:outlineLvl w:val="9"/>
        <w:rPr>
          <w:rFonts w:hint="eastAsia" w:ascii="宋体" w:hAnsi="宋体" w:eastAsia="宋体" w:cs="宋体"/>
          <w:color w:val="auto"/>
          <w:sz w:val="24"/>
          <w:szCs w:val="24"/>
          <w:lang w:val="en-US" w:eastAsia="zh-CN"/>
        </w:rPr>
      </w:pPr>
      <w:r>
        <w:rPr>
          <w:rFonts w:hint="eastAsia" w:ascii="宋体" w:hAnsi="宋体" w:cs="宋体"/>
          <w:bCs/>
          <w:color w:val="auto"/>
          <w:kern w:val="2"/>
          <w:sz w:val="24"/>
          <w:szCs w:val="24"/>
          <w:lang w:val="en-US" w:eastAsia="zh-CN" w:bidi="ar-SA"/>
        </w:rPr>
        <w:t>8.</w:t>
      </w:r>
      <w:r>
        <w:rPr>
          <w:rFonts w:hint="default" w:ascii="宋体" w:hAnsi="宋体" w:eastAsia="宋体" w:cs="宋体"/>
          <w:bCs/>
          <w:color w:val="auto"/>
          <w:kern w:val="2"/>
          <w:sz w:val="24"/>
          <w:szCs w:val="24"/>
          <w:lang w:val="en-US" w:eastAsia="zh-CN" w:bidi="ar-SA"/>
        </w:rPr>
        <w:t>1</w:t>
      </w:r>
      <w:r>
        <w:rPr>
          <w:rFonts w:hint="eastAsia" w:ascii="宋体" w:hAnsi="宋体" w:eastAsia="宋体" w:cs="宋体"/>
          <w:color w:val="auto"/>
          <w:sz w:val="24"/>
          <w:szCs w:val="24"/>
          <w:lang w:val="en-US" w:eastAsia="zh-CN"/>
        </w:rPr>
        <w:t>考核原则</w:t>
      </w:r>
    </w:p>
    <w:p w14:paraId="22A9E5B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本项目服务质量考核坚持“客观公正、实事求是、量化考核、奖惩结合、市县协同”的原则，由采购人联合对服务商的服务质量进行月度考核，考核结果与服务费用支付、合同续签、终止挂钩。服务商须承诺采购人有权根据实际情况对考核办法进行修改与补充，具体详细考核办法以合同签订为准。</w:t>
      </w:r>
    </w:p>
    <w:p w14:paraId="58DCAD3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firstLine="420" w:firstLineChars="0"/>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kern w:val="2"/>
          <w:sz w:val="24"/>
          <w:szCs w:val="24"/>
          <w:lang w:val="en-US" w:eastAsia="zh-CN" w:bidi="ar-SA"/>
        </w:rPr>
        <w:t>8.</w:t>
      </w:r>
      <w:r>
        <w:rPr>
          <w:rFonts w:hint="default" w:ascii="宋体" w:hAnsi="宋体" w:eastAsia="宋体" w:cs="宋体"/>
          <w:b w:val="0"/>
          <w:bCs w:val="0"/>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考核指标及标准</w:t>
      </w:r>
    </w:p>
    <w:tbl>
      <w:tblPr>
        <w:tblStyle w:val="19"/>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31"/>
        <w:gridCol w:w="1451"/>
        <w:gridCol w:w="6334"/>
        <w:gridCol w:w="1151"/>
      </w:tblGrid>
      <w:tr w14:paraId="24285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31" w:type="dxa"/>
            <w:noWrap w:val="0"/>
            <w:tcMar>
              <w:top w:w="120" w:type="dxa"/>
              <w:left w:w="120" w:type="dxa"/>
              <w:bottom w:w="120" w:type="dxa"/>
              <w:right w:w="120" w:type="dxa"/>
            </w:tcMar>
            <w:vAlign w:val="center"/>
          </w:tcPr>
          <w:p w14:paraId="2126C1B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top"/>
              <w:outlineLvl w:val="9"/>
              <w:rPr>
                <w:rFonts w:hint="eastAsia" w:ascii="宋体" w:hAnsi="宋体" w:eastAsia="宋体" w:cs="宋体"/>
                <w:b/>
                <w:color w:val="auto"/>
                <w:sz w:val="24"/>
                <w:szCs w:val="24"/>
              </w:rPr>
            </w:pPr>
            <w:r>
              <w:rPr>
                <w:rFonts w:hint="eastAsia" w:ascii="宋体" w:hAnsi="宋体" w:eastAsia="宋体" w:cs="宋体"/>
                <w:b/>
                <w:color w:val="auto"/>
                <w:kern w:val="0"/>
                <w:sz w:val="24"/>
                <w:szCs w:val="24"/>
                <w:lang w:val="en-US" w:eastAsia="zh-CN" w:bidi="ar"/>
              </w:rPr>
              <w:t>序号</w:t>
            </w:r>
          </w:p>
        </w:tc>
        <w:tc>
          <w:tcPr>
            <w:tcW w:w="1451" w:type="dxa"/>
            <w:noWrap w:val="0"/>
            <w:tcMar>
              <w:top w:w="120" w:type="dxa"/>
              <w:left w:w="120" w:type="dxa"/>
              <w:bottom w:w="120" w:type="dxa"/>
              <w:right w:w="120" w:type="dxa"/>
            </w:tcMar>
            <w:vAlign w:val="center"/>
          </w:tcPr>
          <w:p w14:paraId="051AE95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top"/>
              <w:outlineLvl w:val="9"/>
              <w:rPr>
                <w:rFonts w:hint="eastAsia" w:ascii="宋体" w:hAnsi="宋体" w:eastAsia="宋体" w:cs="宋体"/>
                <w:b/>
                <w:color w:val="auto"/>
                <w:sz w:val="24"/>
                <w:szCs w:val="24"/>
              </w:rPr>
            </w:pPr>
            <w:r>
              <w:rPr>
                <w:rFonts w:hint="eastAsia" w:ascii="宋体" w:hAnsi="宋体" w:eastAsia="宋体" w:cs="宋体"/>
                <w:b/>
                <w:color w:val="auto"/>
                <w:kern w:val="0"/>
                <w:sz w:val="24"/>
                <w:szCs w:val="24"/>
                <w:lang w:val="en-US" w:eastAsia="zh-CN" w:bidi="ar"/>
              </w:rPr>
              <w:t>考核指标</w:t>
            </w:r>
          </w:p>
        </w:tc>
        <w:tc>
          <w:tcPr>
            <w:tcW w:w="6335" w:type="dxa"/>
            <w:noWrap w:val="0"/>
            <w:tcMar>
              <w:top w:w="120" w:type="dxa"/>
              <w:left w:w="120" w:type="dxa"/>
              <w:bottom w:w="120" w:type="dxa"/>
              <w:right w:w="120" w:type="dxa"/>
            </w:tcMar>
            <w:vAlign w:val="center"/>
          </w:tcPr>
          <w:p w14:paraId="6C1144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top"/>
              <w:outlineLvl w:val="9"/>
              <w:rPr>
                <w:rFonts w:hint="eastAsia" w:ascii="宋体" w:hAnsi="宋体" w:eastAsia="宋体" w:cs="宋体"/>
                <w:b/>
                <w:color w:val="auto"/>
                <w:sz w:val="24"/>
                <w:szCs w:val="24"/>
              </w:rPr>
            </w:pPr>
            <w:r>
              <w:rPr>
                <w:rFonts w:hint="eastAsia" w:ascii="宋体" w:hAnsi="宋体" w:eastAsia="宋体" w:cs="宋体"/>
                <w:b/>
                <w:color w:val="auto"/>
                <w:kern w:val="0"/>
                <w:sz w:val="24"/>
                <w:szCs w:val="24"/>
                <w:lang w:val="en-US" w:eastAsia="zh-CN" w:bidi="ar"/>
              </w:rPr>
              <w:t>内容定义</w:t>
            </w:r>
          </w:p>
        </w:tc>
        <w:tc>
          <w:tcPr>
            <w:tcW w:w="1151" w:type="dxa"/>
            <w:noWrap w:val="0"/>
            <w:tcMar>
              <w:top w:w="120" w:type="dxa"/>
              <w:left w:w="120" w:type="dxa"/>
              <w:bottom w:w="120" w:type="dxa"/>
              <w:right w:w="120" w:type="dxa"/>
            </w:tcMar>
            <w:vAlign w:val="center"/>
          </w:tcPr>
          <w:p w14:paraId="03CEF3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top"/>
              <w:outlineLvl w:val="9"/>
              <w:rPr>
                <w:rFonts w:hint="eastAsia" w:ascii="宋体" w:hAnsi="宋体" w:eastAsia="宋体" w:cs="宋体"/>
                <w:b/>
                <w:color w:val="auto"/>
                <w:sz w:val="24"/>
                <w:szCs w:val="24"/>
              </w:rPr>
            </w:pPr>
            <w:r>
              <w:rPr>
                <w:rFonts w:hint="eastAsia" w:ascii="宋体" w:hAnsi="宋体" w:eastAsia="宋体" w:cs="宋体"/>
                <w:b/>
                <w:color w:val="auto"/>
                <w:kern w:val="0"/>
                <w:sz w:val="24"/>
                <w:szCs w:val="24"/>
                <w:lang w:val="en-US" w:eastAsia="zh-CN" w:bidi="ar"/>
              </w:rPr>
              <w:t>指标值</w:t>
            </w:r>
          </w:p>
        </w:tc>
      </w:tr>
      <w:tr w14:paraId="6D8A2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31" w:type="dxa"/>
            <w:noWrap w:val="0"/>
            <w:tcMar>
              <w:top w:w="120" w:type="dxa"/>
              <w:left w:w="120" w:type="dxa"/>
              <w:bottom w:w="120" w:type="dxa"/>
              <w:right w:w="120" w:type="dxa"/>
            </w:tcMar>
            <w:vAlign w:val="center"/>
          </w:tcPr>
          <w:p w14:paraId="2A9378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top"/>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w:t>
            </w:r>
          </w:p>
        </w:tc>
        <w:tc>
          <w:tcPr>
            <w:tcW w:w="1451" w:type="dxa"/>
            <w:noWrap w:val="0"/>
            <w:tcMar>
              <w:top w:w="120" w:type="dxa"/>
              <w:left w:w="120" w:type="dxa"/>
              <w:bottom w:w="120" w:type="dxa"/>
              <w:right w:w="120" w:type="dxa"/>
            </w:tcMar>
            <w:vAlign w:val="center"/>
          </w:tcPr>
          <w:p w14:paraId="2445A9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人工接通率</w:t>
            </w:r>
          </w:p>
        </w:tc>
        <w:tc>
          <w:tcPr>
            <w:tcW w:w="6335" w:type="dxa"/>
            <w:noWrap w:val="0"/>
            <w:tcMar>
              <w:top w:w="120" w:type="dxa"/>
              <w:left w:w="120" w:type="dxa"/>
              <w:bottom w:w="120" w:type="dxa"/>
              <w:right w:w="120" w:type="dxa"/>
            </w:tcMar>
            <w:vAlign w:val="center"/>
          </w:tcPr>
          <w:p w14:paraId="508705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10秒内人工应答的电话总数与应答总数之比</w:t>
            </w:r>
          </w:p>
        </w:tc>
        <w:tc>
          <w:tcPr>
            <w:tcW w:w="1151" w:type="dxa"/>
            <w:noWrap w:val="0"/>
            <w:tcMar>
              <w:top w:w="120" w:type="dxa"/>
              <w:left w:w="120" w:type="dxa"/>
              <w:bottom w:w="120" w:type="dxa"/>
              <w:right w:w="120" w:type="dxa"/>
            </w:tcMar>
            <w:vAlign w:val="center"/>
          </w:tcPr>
          <w:p w14:paraId="7CD1327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100%</w:t>
            </w:r>
          </w:p>
        </w:tc>
      </w:tr>
      <w:tr w14:paraId="0EE55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31" w:type="dxa"/>
            <w:noWrap w:val="0"/>
            <w:tcMar>
              <w:top w:w="120" w:type="dxa"/>
              <w:left w:w="120" w:type="dxa"/>
              <w:bottom w:w="120" w:type="dxa"/>
              <w:right w:w="120" w:type="dxa"/>
            </w:tcMar>
            <w:vAlign w:val="center"/>
          </w:tcPr>
          <w:p w14:paraId="11FD53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top"/>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w:t>
            </w:r>
          </w:p>
        </w:tc>
        <w:tc>
          <w:tcPr>
            <w:tcW w:w="1451" w:type="dxa"/>
            <w:noWrap w:val="0"/>
            <w:tcMar>
              <w:top w:w="120" w:type="dxa"/>
              <w:left w:w="120" w:type="dxa"/>
              <w:bottom w:w="120" w:type="dxa"/>
              <w:right w:w="120" w:type="dxa"/>
            </w:tcMar>
            <w:vAlign w:val="center"/>
          </w:tcPr>
          <w:p w14:paraId="2D0761E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文明用语规范率</w:t>
            </w:r>
          </w:p>
        </w:tc>
        <w:tc>
          <w:tcPr>
            <w:tcW w:w="6335" w:type="dxa"/>
            <w:noWrap w:val="0"/>
            <w:tcMar>
              <w:top w:w="120" w:type="dxa"/>
              <w:left w:w="120" w:type="dxa"/>
              <w:bottom w:w="120" w:type="dxa"/>
              <w:right w:w="120" w:type="dxa"/>
            </w:tcMar>
            <w:vAlign w:val="center"/>
          </w:tcPr>
          <w:p w14:paraId="19B8DD2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sz w:val="24"/>
                <w:szCs w:val="24"/>
              </w:rPr>
            </w:pPr>
            <w:r>
              <w:rPr>
                <w:rFonts w:hint="eastAsia" w:ascii="宋体" w:hAnsi="宋体" w:eastAsia="宋体" w:cs="宋体"/>
                <w:color w:val="auto"/>
                <w:sz w:val="24"/>
                <w:szCs w:val="24"/>
              </w:rPr>
              <w:t>接线员在</w:t>
            </w:r>
            <w:r>
              <w:rPr>
                <w:rFonts w:hint="eastAsia" w:ascii="宋体" w:hAnsi="宋体" w:eastAsia="宋体" w:cs="宋体"/>
                <w:b w:val="0"/>
                <w:color w:val="auto"/>
                <w:kern w:val="0"/>
                <w:sz w:val="24"/>
                <w:szCs w:val="24"/>
                <w:lang w:val="en-US" w:eastAsia="zh-CN" w:bidi="ar"/>
              </w:rPr>
              <w:t>报警接线</w:t>
            </w:r>
            <w:r>
              <w:rPr>
                <w:rFonts w:hint="eastAsia" w:ascii="宋体" w:hAnsi="宋体" w:eastAsia="宋体" w:cs="宋体"/>
                <w:color w:val="auto"/>
                <w:sz w:val="24"/>
                <w:szCs w:val="24"/>
              </w:rPr>
              <w:t>通话全过程严格执行文明用语规范、无违规用语的</w:t>
            </w:r>
            <w:r>
              <w:rPr>
                <w:rFonts w:hint="eastAsia" w:ascii="宋体" w:hAnsi="宋体" w:eastAsia="宋体" w:cs="宋体"/>
                <w:b w:val="0"/>
                <w:color w:val="auto"/>
                <w:kern w:val="0"/>
                <w:sz w:val="24"/>
                <w:szCs w:val="24"/>
                <w:lang w:val="en-US" w:eastAsia="zh-CN" w:bidi="ar"/>
              </w:rPr>
              <w:t>报警接线</w:t>
            </w:r>
            <w:r>
              <w:rPr>
                <w:rFonts w:hint="eastAsia" w:ascii="宋体" w:hAnsi="宋体" w:eastAsia="宋体" w:cs="宋体"/>
                <w:color w:val="auto"/>
                <w:sz w:val="24"/>
                <w:szCs w:val="24"/>
              </w:rPr>
              <w:t>服务次数，占同期总</w:t>
            </w:r>
            <w:r>
              <w:rPr>
                <w:rFonts w:hint="eastAsia" w:ascii="宋体" w:hAnsi="宋体" w:eastAsia="宋体" w:cs="宋体"/>
                <w:b w:val="0"/>
                <w:color w:val="auto"/>
                <w:kern w:val="0"/>
                <w:sz w:val="24"/>
                <w:szCs w:val="24"/>
                <w:lang w:val="en-US" w:eastAsia="zh-CN" w:bidi="ar"/>
              </w:rPr>
              <w:t>报警接线</w:t>
            </w:r>
            <w:r>
              <w:rPr>
                <w:rFonts w:hint="eastAsia" w:ascii="宋体" w:hAnsi="宋体" w:eastAsia="宋体" w:cs="宋体"/>
                <w:color w:val="auto"/>
                <w:sz w:val="24"/>
                <w:szCs w:val="24"/>
              </w:rPr>
              <w:t>服务次数的百分比</w:t>
            </w:r>
          </w:p>
        </w:tc>
        <w:tc>
          <w:tcPr>
            <w:tcW w:w="1151" w:type="dxa"/>
            <w:noWrap w:val="0"/>
            <w:tcMar>
              <w:top w:w="120" w:type="dxa"/>
              <w:left w:w="120" w:type="dxa"/>
              <w:bottom w:w="120" w:type="dxa"/>
              <w:right w:w="120" w:type="dxa"/>
            </w:tcMar>
            <w:vAlign w:val="center"/>
          </w:tcPr>
          <w:p w14:paraId="736318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≥99%</w:t>
            </w:r>
          </w:p>
        </w:tc>
      </w:tr>
      <w:tr w14:paraId="7A9BB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31" w:type="dxa"/>
            <w:noWrap w:val="0"/>
            <w:tcMar>
              <w:top w:w="120" w:type="dxa"/>
              <w:left w:w="120" w:type="dxa"/>
              <w:bottom w:w="120" w:type="dxa"/>
              <w:right w:w="120" w:type="dxa"/>
            </w:tcMar>
            <w:vAlign w:val="center"/>
          </w:tcPr>
          <w:p w14:paraId="48BCBD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top"/>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w:t>
            </w:r>
          </w:p>
        </w:tc>
        <w:tc>
          <w:tcPr>
            <w:tcW w:w="1451" w:type="dxa"/>
            <w:noWrap w:val="0"/>
            <w:tcMar>
              <w:top w:w="120" w:type="dxa"/>
              <w:left w:w="120" w:type="dxa"/>
              <w:bottom w:w="120" w:type="dxa"/>
              <w:right w:w="120" w:type="dxa"/>
            </w:tcMar>
            <w:vAlign w:val="center"/>
          </w:tcPr>
          <w:p w14:paraId="6DE3286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警情录入准确率</w:t>
            </w:r>
          </w:p>
        </w:tc>
        <w:tc>
          <w:tcPr>
            <w:tcW w:w="6335" w:type="dxa"/>
            <w:noWrap w:val="0"/>
            <w:tcMar>
              <w:top w:w="120" w:type="dxa"/>
              <w:left w:w="120" w:type="dxa"/>
              <w:bottom w:w="120" w:type="dxa"/>
              <w:right w:w="120" w:type="dxa"/>
            </w:tcMar>
            <w:vAlign w:val="center"/>
          </w:tcPr>
          <w:p w14:paraId="640CAEB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录入系统的警情信息要素完整、内容真实、逻辑正确、分类规范、无错填漏填的有效警情数量，占当期总录入警情数量的百分比</w:t>
            </w:r>
          </w:p>
        </w:tc>
        <w:tc>
          <w:tcPr>
            <w:tcW w:w="1151" w:type="dxa"/>
            <w:noWrap w:val="0"/>
            <w:tcMar>
              <w:top w:w="120" w:type="dxa"/>
              <w:left w:w="120" w:type="dxa"/>
              <w:bottom w:w="120" w:type="dxa"/>
              <w:right w:w="120" w:type="dxa"/>
            </w:tcMar>
            <w:vAlign w:val="center"/>
          </w:tcPr>
          <w:p w14:paraId="5BD562E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100%</w:t>
            </w:r>
          </w:p>
        </w:tc>
      </w:tr>
      <w:tr w14:paraId="09FE3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31" w:type="dxa"/>
            <w:noWrap w:val="0"/>
            <w:tcMar>
              <w:top w:w="120" w:type="dxa"/>
              <w:left w:w="120" w:type="dxa"/>
              <w:bottom w:w="120" w:type="dxa"/>
              <w:right w:w="120" w:type="dxa"/>
            </w:tcMar>
            <w:vAlign w:val="center"/>
          </w:tcPr>
          <w:p w14:paraId="16FCE4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top"/>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0"/>
                <w:sz w:val="24"/>
                <w:szCs w:val="24"/>
                <w:lang w:val="en-US" w:eastAsia="zh-CN" w:bidi="ar"/>
              </w:rPr>
              <w:t>4</w:t>
            </w:r>
          </w:p>
        </w:tc>
        <w:tc>
          <w:tcPr>
            <w:tcW w:w="1451" w:type="dxa"/>
            <w:noWrap w:val="0"/>
            <w:tcMar>
              <w:top w:w="120" w:type="dxa"/>
              <w:left w:w="120" w:type="dxa"/>
              <w:bottom w:w="120" w:type="dxa"/>
              <w:right w:w="120" w:type="dxa"/>
            </w:tcMar>
            <w:vAlign w:val="center"/>
          </w:tcPr>
          <w:p w14:paraId="7E2B076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人员流失率</w:t>
            </w:r>
          </w:p>
        </w:tc>
        <w:tc>
          <w:tcPr>
            <w:tcW w:w="6335" w:type="dxa"/>
            <w:noWrap w:val="0"/>
            <w:tcMar>
              <w:top w:w="120" w:type="dxa"/>
              <w:left w:w="120" w:type="dxa"/>
              <w:bottom w:w="120" w:type="dxa"/>
              <w:right w:w="120" w:type="dxa"/>
            </w:tcMar>
            <w:vAlign w:val="center"/>
          </w:tcPr>
          <w:p w14:paraId="7FE837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月流失率=流失人数/(月初人数+月末人数)/2×100%</w:t>
            </w:r>
          </w:p>
        </w:tc>
        <w:tc>
          <w:tcPr>
            <w:tcW w:w="1151" w:type="dxa"/>
            <w:noWrap w:val="0"/>
            <w:tcMar>
              <w:top w:w="120" w:type="dxa"/>
              <w:left w:w="120" w:type="dxa"/>
              <w:bottom w:w="120" w:type="dxa"/>
              <w:right w:w="120" w:type="dxa"/>
            </w:tcMar>
            <w:vAlign w:val="center"/>
          </w:tcPr>
          <w:p w14:paraId="144D788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≤5%</w:t>
            </w:r>
          </w:p>
        </w:tc>
      </w:tr>
      <w:tr w14:paraId="6C19F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31" w:type="dxa"/>
            <w:noWrap w:val="0"/>
            <w:tcMar>
              <w:top w:w="120" w:type="dxa"/>
              <w:left w:w="120" w:type="dxa"/>
              <w:bottom w:w="120" w:type="dxa"/>
              <w:right w:w="120" w:type="dxa"/>
            </w:tcMar>
            <w:vAlign w:val="center"/>
          </w:tcPr>
          <w:p w14:paraId="4AB3F3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top"/>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0"/>
                <w:sz w:val="24"/>
                <w:szCs w:val="24"/>
                <w:lang w:val="en-US" w:eastAsia="zh-CN" w:bidi="ar"/>
              </w:rPr>
              <w:t>5</w:t>
            </w:r>
          </w:p>
        </w:tc>
        <w:tc>
          <w:tcPr>
            <w:tcW w:w="1451" w:type="dxa"/>
            <w:noWrap w:val="0"/>
            <w:tcMar>
              <w:top w:w="120" w:type="dxa"/>
              <w:left w:w="120" w:type="dxa"/>
              <w:bottom w:w="120" w:type="dxa"/>
              <w:right w:w="120" w:type="dxa"/>
            </w:tcMar>
            <w:vAlign w:val="center"/>
          </w:tcPr>
          <w:p w14:paraId="60A03B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培训时长</w:t>
            </w:r>
          </w:p>
        </w:tc>
        <w:tc>
          <w:tcPr>
            <w:tcW w:w="6335" w:type="dxa"/>
            <w:noWrap w:val="0"/>
            <w:tcMar>
              <w:top w:w="120" w:type="dxa"/>
              <w:left w:w="120" w:type="dxa"/>
              <w:bottom w:w="120" w:type="dxa"/>
              <w:right w:w="120" w:type="dxa"/>
            </w:tcMar>
            <w:vAlign w:val="center"/>
          </w:tcPr>
          <w:p w14:paraId="47A227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接线员参加业务培训的时长</w:t>
            </w:r>
          </w:p>
        </w:tc>
        <w:tc>
          <w:tcPr>
            <w:tcW w:w="1151" w:type="dxa"/>
            <w:noWrap w:val="0"/>
            <w:tcMar>
              <w:top w:w="120" w:type="dxa"/>
              <w:left w:w="120" w:type="dxa"/>
              <w:bottom w:w="120" w:type="dxa"/>
              <w:right w:w="120" w:type="dxa"/>
            </w:tcMar>
            <w:vAlign w:val="center"/>
          </w:tcPr>
          <w:p w14:paraId="1F8DC4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≥8小时</w:t>
            </w:r>
          </w:p>
        </w:tc>
      </w:tr>
      <w:tr w14:paraId="0A2D7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31" w:type="dxa"/>
            <w:noWrap w:val="0"/>
            <w:tcMar>
              <w:top w:w="120" w:type="dxa"/>
              <w:left w:w="120" w:type="dxa"/>
              <w:bottom w:w="120" w:type="dxa"/>
              <w:right w:w="120" w:type="dxa"/>
            </w:tcMar>
            <w:vAlign w:val="center"/>
          </w:tcPr>
          <w:p w14:paraId="4EFD8A7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center"/>
              <w:textAlignment w:val="top"/>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0"/>
                <w:sz w:val="24"/>
                <w:szCs w:val="24"/>
                <w:lang w:val="en-US" w:eastAsia="zh-CN" w:bidi="ar"/>
              </w:rPr>
              <w:t>6</w:t>
            </w:r>
          </w:p>
        </w:tc>
        <w:tc>
          <w:tcPr>
            <w:tcW w:w="1451" w:type="dxa"/>
            <w:noWrap w:val="0"/>
            <w:tcMar>
              <w:top w:w="120" w:type="dxa"/>
              <w:left w:w="120" w:type="dxa"/>
              <w:bottom w:w="120" w:type="dxa"/>
              <w:right w:w="120" w:type="dxa"/>
            </w:tcMar>
            <w:vAlign w:val="center"/>
          </w:tcPr>
          <w:p w14:paraId="1E1E768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0"/>
                <w:sz w:val="24"/>
                <w:szCs w:val="24"/>
                <w:lang w:val="en-US" w:eastAsia="zh-CN" w:bidi="ar"/>
              </w:rPr>
              <w:t>不满意警情回访率</w:t>
            </w:r>
          </w:p>
        </w:tc>
        <w:tc>
          <w:tcPr>
            <w:tcW w:w="6335" w:type="dxa"/>
            <w:noWrap w:val="0"/>
            <w:tcMar>
              <w:top w:w="120" w:type="dxa"/>
              <w:left w:w="120" w:type="dxa"/>
              <w:bottom w:w="120" w:type="dxa"/>
              <w:right w:w="120" w:type="dxa"/>
            </w:tcMar>
            <w:vAlign w:val="center"/>
          </w:tcPr>
          <w:p w14:paraId="15BF901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0"/>
                <w:sz w:val="24"/>
                <w:szCs w:val="24"/>
                <w:lang w:val="en-US" w:eastAsia="zh-CN" w:bidi="ar"/>
              </w:rPr>
              <w:t>实际回访警情数/应回访警情数（不满意警情）</w:t>
            </w:r>
          </w:p>
        </w:tc>
        <w:tc>
          <w:tcPr>
            <w:tcW w:w="1151" w:type="dxa"/>
            <w:noWrap w:val="0"/>
            <w:tcMar>
              <w:top w:w="120" w:type="dxa"/>
              <w:left w:w="120" w:type="dxa"/>
              <w:bottom w:w="120" w:type="dxa"/>
              <w:right w:w="120" w:type="dxa"/>
            </w:tcMar>
            <w:vAlign w:val="center"/>
          </w:tcPr>
          <w:p w14:paraId="779B2A3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Autospacing="0" w:afterAutospacing="0" w:line="240" w:lineRule="auto"/>
              <w:ind w:left="0" w:leftChars="0" w:right="0" w:rightChars="0" w:firstLine="0" w:firstLineChars="0"/>
              <w:jc w:val="left"/>
              <w:textAlignment w:val="top"/>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
              </w:rPr>
              <w:t>≥90%</w:t>
            </w:r>
          </w:p>
        </w:tc>
      </w:tr>
    </w:tbl>
    <w:p w14:paraId="5811D98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firstLine="420" w:firstLineChars="0"/>
        <w:jc w:val="left"/>
        <w:textAlignment w:val="auto"/>
        <w:outlineLvl w:val="9"/>
        <w:rPr>
          <w:rFonts w:hint="eastAsia" w:ascii="宋体" w:hAnsi="宋体" w:eastAsia="宋体" w:cs="宋体"/>
          <w:color w:val="auto"/>
          <w:sz w:val="24"/>
          <w:szCs w:val="24"/>
          <w:lang w:val="en-US" w:eastAsia="zh-CN"/>
        </w:rPr>
      </w:pPr>
      <w:r>
        <w:rPr>
          <w:rFonts w:hint="eastAsia" w:ascii="宋体" w:hAnsi="宋体" w:cs="宋体"/>
          <w:b w:val="0"/>
          <w:bCs w:val="0"/>
          <w:color w:val="auto"/>
          <w:kern w:val="2"/>
          <w:sz w:val="24"/>
          <w:szCs w:val="24"/>
          <w:lang w:val="en-US" w:eastAsia="zh-CN" w:bidi="ar-SA"/>
        </w:rPr>
        <w:t>8.</w:t>
      </w:r>
      <w:r>
        <w:rPr>
          <w:rFonts w:hint="default" w:ascii="宋体" w:hAnsi="宋体" w:eastAsia="宋体" w:cs="宋体"/>
          <w:bCs/>
          <w:color w:val="auto"/>
          <w:kern w:val="2"/>
          <w:sz w:val="24"/>
          <w:szCs w:val="24"/>
          <w:lang w:val="en-US" w:eastAsia="zh-CN" w:bidi="ar-SA"/>
        </w:rPr>
        <w:t>3</w:t>
      </w:r>
      <w:r>
        <w:rPr>
          <w:rFonts w:hint="eastAsia" w:ascii="宋体" w:hAnsi="宋体" w:eastAsia="宋体" w:cs="宋体"/>
          <w:color w:val="auto"/>
          <w:sz w:val="24"/>
          <w:szCs w:val="24"/>
          <w:lang w:val="en-US" w:eastAsia="zh-CN"/>
        </w:rPr>
        <w:t>考核实施与结果应用</w:t>
      </w:r>
    </w:p>
    <w:p w14:paraId="567B1381">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firstLine="420" w:firstLineChars="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kern w:val="2"/>
          <w:sz w:val="24"/>
          <w:szCs w:val="24"/>
          <w:lang w:val="en-US" w:eastAsia="zh-CN" w:bidi="ar-SA"/>
        </w:rPr>
        <w:t>8.</w:t>
      </w:r>
      <w:r>
        <w:rPr>
          <w:rFonts w:hint="eastAsia" w:ascii="宋体" w:hAnsi="宋体" w:eastAsia="宋体" w:cs="宋体"/>
          <w:b w:val="0"/>
          <w:bCs w:val="0"/>
          <w:color w:val="auto"/>
          <w:kern w:val="2"/>
          <w:sz w:val="24"/>
          <w:szCs w:val="24"/>
          <w:lang w:val="en-US" w:eastAsia="zh-CN" w:bidi="ar-SA"/>
        </w:rPr>
        <w:t>3.1</w:t>
      </w:r>
      <w:r>
        <w:rPr>
          <w:rFonts w:hint="eastAsia" w:ascii="宋体" w:hAnsi="宋体" w:eastAsia="宋体" w:cs="宋体"/>
          <w:b w:val="0"/>
          <w:bCs w:val="0"/>
          <w:color w:val="auto"/>
          <w:sz w:val="24"/>
          <w:szCs w:val="24"/>
          <w:lang w:val="en-US" w:eastAsia="zh-CN"/>
        </w:rPr>
        <w:t>考核实施</w:t>
      </w:r>
    </w:p>
    <w:p w14:paraId="1DDB7BA6">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每月结束后5个工作日内完成考核评分，形成月度考核报告，书面反馈给服务商；服务商对考核结果有异议的，可在收到报告后3个工作日内提出书面申诉，采购人复核结果为最终考核结果。年度考核在每年服务期满后10个工作日内完成，结合12个月月度考核结果、季度巡检情况、年度服务总结等，综合评定年度考核等级，年度考核等级分为优秀、合格、不合格三个等级。</w:t>
      </w:r>
    </w:p>
    <w:p w14:paraId="39E6CBE2">
      <w:pPr>
        <w:keepNext w:val="0"/>
        <w:keepLines w:val="0"/>
        <w:pageBreakBefore w:val="0"/>
        <w:widowControl/>
        <w:numPr>
          <w:ilvl w:val="1"/>
          <w:numId w:val="0"/>
        </w:numPr>
        <w:suppressLineNumbers w:val="0"/>
        <w:kinsoku/>
        <w:wordWrap/>
        <w:overflowPunct/>
        <w:topLinePunct w:val="0"/>
        <w:autoSpaceDE/>
        <w:autoSpaceDN/>
        <w:bidi w:val="0"/>
        <w:adjustRightInd/>
        <w:snapToGrid/>
        <w:spacing w:before="0" w:beforeAutospacing="0" w:after="0" w:afterAutospacing="0" w:line="360" w:lineRule="auto"/>
        <w:ind w:firstLine="420" w:firstLineChars="0"/>
        <w:jc w:val="left"/>
        <w:textAlignment w:val="auto"/>
        <w:outlineLvl w:val="9"/>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kern w:val="2"/>
          <w:sz w:val="24"/>
          <w:szCs w:val="24"/>
          <w:lang w:val="en-US" w:eastAsia="zh-CN" w:bidi="ar-SA"/>
        </w:rPr>
        <w:t>8.</w:t>
      </w:r>
      <w:r>
        <w:rPr>
          <w:rFonts w:hint="eastAsia" w:ascii="宋体" w:hAnsi="宋体" w:eastAsia="宋体" w:cs="宋体"/>
          <w:b w:val="0"/>
          <w:bCs w:val="0"/>
          <w:color w:val="auto"/>
          <w:kern w:val="2"/>
          <w:sz w:val="24"/>
          <w:szCs w:val="24"/>
          <w:lang w:val="en-US" w:eastAsia="zh-CN" w:bidi="ar-SA"/>
        </w:rPr>
        <w:t>3.2</w:t>
      </w:r>
      <w:r>
        <w:rPr>
          <w:rFonts w:hint="eastAsia" w:ascii="宋体" w:hAnsi="宋体" w:eastAsia="宋体" w:cs="宋体"/>
          <w:b w:val="0"/>
          <w:bCs w:val="0"/>
          <w:color w:val="auto"/>
          <w:sz w:val="24"/>
          <w:szCs w:val="24"/>
          <w:lang w:val="en-US" w:eastAsia="zh-CN"/>
        </w:rPr>
        <w:t>结果应用</w:t>
      </w:r>
    </w:p>
    <w:p w14:paraId="29571E52">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b w:val="0"/>
          <w:bCs w:val="0"/>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val="en-US" w:eastAsia="zh-CN" w:bidi="ar"/>
        </w:rPr>
        <w:t>考核结果与服务费用挂钩：年度考核合格（得分≥80分），全额支付服务费用；年度考核不合格（得分＜80分），按98%支付服务费用。</w:t>
      </w:r>
    </w:p>
    <w:p w14:paraId="7CEB7E76">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问题整改与持续优化：采购人根据考核结果，定期向服务商反馈服务存在的问题，服务商须制定针对性优化方案，每季度向采购人提交服务优化报告，持续提升服务质量；对连续2个月考核不合格的，采购人有权要求服务商更换项目负责人、核心管理人员及相关工作人员，若更换后仍无法达到服务标准，采购人有权终止合同。</w:t>
      </w:r>
    </w:p>
    <w:p w14:paraId="4DA00CB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2" w:firstLineChars="200"/>
        <w:jc w:val="left"/>
        <w:textAlignment w:val="auto"/>
        <w:outlineLvl w:val="9"/>
        <w:rPr>
          <w:rFonts w:hint="eastAsia" w:ascii="宋体" w:hAnsi="宋体" w:eastAsia="宋体" w:cs="宋体"/>
          <w:b/>
          <w:bCs w:val="0"/>
          <w:color w:val="auto"/>
          <w:kern w:val="44"/>
          <w:sz w:val="24"/>
          <w:szCs w:val="24"/>
          <w:lang w:val="en-US" w:eastAsia="zh-CN" w:bidi="ar-SA"/>
        </w:rPr>
      </w:pPr>
      <w:r>
        <w:rPr>
          <w:rFonts w:hint="eastAsia" w:ascii="宋体" w:hAnsi="宋体" w:cs="宋体"/>
          <w:b/>
          <w:bCs w:val="0"/>
          <w:color w:val="auto"/>
          <w:kern w:val="44"/>
          <w:sz w:val="24"/>
          <w:szCs w:val="24"/>
          <w:lang w:val="en-US" w:eastAsia="zh-CN" w:bidi="ar-SA"/>
        </w:rPr>
        <w:t>9.</w:t>
      </w:r>
      <w:r>
        <w:rPr>
          <w:rFonts w:hint="eastAsia" w:ascii="宋体" w:hAnsi="宋体" w:eastAsia="宋体" w:cs="宋体"/>
          <w:b/>
          <w:bCs w:val="0"/>
          <w:color w:val="auto"/>
          <w:kern w:val="44"/>
          <w:sz w:val="24"/>
          <w:szCs w:val="24"/>
          <w:lang w:val="en-US" w:eastAsia="zh-CN" w:bidi="ar-SA"/>
        </w:rPr>
        <w:t>保密要求</w:t>
      </w:r>
    </w:p>
    <w:p w14:paraId="1D2A55F4">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服务商须严格遵守国家保密法律法规及采购人的保密规定，加强对所有工作人员的保密管理，建立健全保密管理制度，严防警务秘密、警情数据、群众个人信息等敏感内容泄露；服务期内及服务终止后3年内，服务商不得泄露、传播本项目相关的任何敏感信息，不得将相关数据用于本项目以外的其他用途；服务终止后，服务商须按采购人要求，销毁所有敏感数据及相关资料，或移交采购人统一管理，不得私自留存。</w:t>
      </w:r>
    </w:p>
    <w:p w14:paraId="0B833CD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2" w:firstLineChars="200"/>
        <w:jc w:val="left"/>
        <w:textAlignment w:val="auto"/>
        <w:outlineLvl w:val="9"/>
        <w:rPr>
          <w:rFonts w:hint="eastAsia" w:ascii="宋体" w:hAnsi="宋体" w:eastAsia="宋体" w:cs="宋体"/>
          <w:b/>
          <w:bCs w:val="0"/>
          <w:color w:val="auto"/>
          <w:kern w:val="44"/>
          <w:sz w:val="24"/>
          <w:szCs w:val="24"/>
          <w:lang w:val="en-US" w:eastAsia="zh-CN" w:bidi="ar-SA"/>
        </w:rPr>
      </w:pPr>
      <w:r>
        <w:rPr>
          <w:rFonts w:hint="eastAsia" w:ascii="宋体" w:hAnsi="宋体" w:cs="宋体"/>
          <w:b/>
          <w:bCs w:val="0"/>
          <w:color w:val="auto"/>
          <w:kern w:val="44"/>
          <w:sz w:val="24"/>
          <w:szCs w:val="24"/>
          <w:lang w:val="en-US" w:eastAsia="zh-CN" w:bidi="ar-SA"/>
        </w:rPr>
        <w:t>10.</w:t>
      </w:r>
      <w:r>
        <w:rPr>
          <w:rFonts w:hint="eastAsia" w:ascii="宋体" w:hAnsi="宋体" w:eastAsia="宋体" w:cs="宋体"/>
          <w:b/>
          <w:bCs w:val="0"/>
          <w:color w:val="auto"/>
          <w:kern w:val="44"/>
          <w:sz w:val="24"/>
          <w:szCs w:val="24"/>
          <w:lang w:val="en-US" w:eastAsia="zh-CN" w:bidi="ar-SA"/>
        </w:rPr>
        <w:t>服务交接</w:t>
      </w:r>
    </w:p>
    <w:p w14:paraId="79CFEC2E">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服务期满或合同终止后，服务商须配合采购人完成服务交接工作，包括人员交接、设备交接、数据交接、台账交接等，确保报警接线服务无缝衔接，不出现服务中断。交接工作须在15日内完成，交接完毕后，双方签署交接确认书；服务商须对交接过程中的敏感数据、资料进行严格保密，不得泄露或私自留存。</w:t>
      </w:r>
    </w:p>
    <w:p w14:paraId="1BDE1CA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firstLine="482" w:firstLineChars="200"/>
        <w:jc w:val="left"/>
        <w:textAlignment w:val="auto"/>
        <w:outlineLvl w:val="9"/>
        <w:rPr>
          <w:rFonts w:hint="eastAsia" w:ascii="宋体" w:hAnsi="宋体" w:eastAsia="宋体" w:cs="宋体"/>
          <w:b/>
          <w:bCs w:val="0"/>
          <w:color w:val="auto"/>
          <w:kern w:val="44"/>
          <w:sz w:val="24"/>
          <w:szCs w:val="24"/>
          <w:lang w:val="en-US" w:eastAsia="zh-CN" w:bidi="ar-SA"/>
        </w:rPr>
      </w:pPr>
      <w:r>
        <w:rPr>
          <w:rFonts w:hint="eastAsia" w:ascii="宋体" w:hAnsi="宋体" w:cs="宋体"/>
          <w:b/>
          <w:bCs w:val="0"/>
          <w:color w:val="auto"/>
          <w:kern w:val="44"/>
          <w:sz w:val="24"/>
          <w:szCs w:val="24"/>
          <w:lang w:val="en-US" w:eastAsia="zh-CN" w:bidi="ar-SA"/>
        </w:rPr>
        <w:t>11.</w:t>
      </w:r>
      <w:r>
        <w:rPr>
          <w:rFonts w:hint="eastAsia" w:ascii="宋体" w:hAnsi="宋体" w:eastAsia="宋体" w:cs="宋体"/>
          <w:b/>
          <w:bCs w:val="0"/>
          <w:color w:val="auto"/>
          <w:kern w:val="44"/>
          <w:sz w:val="24"/>
          <w:szCs w:val="24"/>
          <w:lang w:val="en-US" w:eastAsia="zh-CN" w:bidi="ar-SA"/>
        </w:rPr>
        <w:t>其他要求</w:t>
      </w:r>
    </w:p>
    <w:p w14:paraId="02077AC3">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服务商须配合采购人开展各类检查、考核、调研、接待讲解等工作，如实提供相关资料、数据和记录，不得隐瞒、虚报、篡改相关信息。</w:t>
      </w:r>
    </w:p>
    <w:p w14:paraId="66C294C1">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服务期内，服务商须根据市县两级报警接线工作需求及相关法律法规、行业标准的更新，及时调整服务内容和服务标准，确保服务符合最新要求，相关调整须提前书面报备采购人，经同意后实施。</w:t>
      </w:r>
    </w:p>
    <w:p w14:paraId="034729E2">
      <w:pPr>
        <w:ind w:firstLine="480" w:firstLineChars="200"/>
        <w:rPr>
          <w:color w:val="auto"/>
        </w:rPr>
      </w:pPr>
      <w:r>
        <w:rPr>
          <w:rFonts w:hint="eastAsia" w:ascii="宋体" w:hAnsi="宋体" w:eastAsia="宋体" w:cs="宋体"/>
          <w:b w:val="0"/>
          <w:bCs w:val="0"/>
          <w:color w:val="auto"/>
          <w:kern w:val="0"/>
          <w:sz w:val="24"/>
          <w:szCs w:val="24"/>
          <w:lang w:val="en-US" w:eastAsia="zh-CN" w:bidi="ar"/>
        </w:rPr>
        <w:t>服务商须加强工作人员的安全教育和管理，确保工作人员人身安全，若发生工作人员工伤、意外伤害等情况，由服务商承担全部责任，与采购人无关。</w:t>
      </w:r>
    </w:p>
    <w:p w14:paraId="2D204F4A">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b w:val="0"/>
          <w:bCs w:val="0"/>
          <w:color w:val="auto"/>
          <w:kern w:val="0"/>
          <w:sz w:val="24"/>
          <w:szCs w:val="24"/>
          <w:lang w:val="en-US" w:eastAsia="zh-CN" w:bidi="ar"/>
        </w:rPr>
      </w:pPr>
    </w:p>
    <w:p w14:paraId="36792604">
      <w:pPr>
        <w:spacing w:line="360" w:lineRule="auto"/>
        <w:ind w:firstLine="420" w:firstLineChars="0"/>
        <w:outlineLvl w:val="9"/>
        <w:rPr>
          <w:rFonts w:hint="eastAsia" w:ascii="宋体" w:hAnsi="宋体" w:eastAsia="宋体" w:cs="宋体"/>
          <w:b/>
          <w:color w:val="auto"/>
        </w:rPr>
      </w:pPr>
    </w:p>
    <w:p w14:paraId="4A4D28F6">
      <w:pPr>
        <w:spacing w:line="360" w:lineRule="auto"/>
        <w:ind w:firstLine="420" w:firstLineChars="0"/>
        <w:outlineLvl w:val="9"/>
        <w:rPr>
          <w:rFonts w:hint="eastAsia" w:ascii="宋体" w:hAnsi="宋体" w:eastAsia="宋体" w:cs="宋体"/>
          <w:color w:val="auto"/>
          <w:sz w:val="24"/>
          <w:lang w:eastAsia="zh-CN"/>
        </w:rPr>
        <w:sectPr>
          <w:pgSz w:w="11906" w:h="16838"/>
          <w:pgMar w:top="1559" w:right="1134" w:bottom="1020" w:left="1321" w:header="851" w:footer="397" w:gutter="0"/>
          <w:pgNumType w:fmt="decimal"/>
          <w:cols w:space="720" w:num="1"/>
          <w:docGrid w:type="lines" w:linePitch="315" w:charSpace="0"/>
        </w:sectPr>
      </w:pPr>
      <w:r>
        <w:rPr>
          <w:rFonts w:hint="eastAsia" w:ascii="宋体" w:hAnsi="宋体" w:eastAsia="宋体" w:cs="宋体"/>
          <w:b/>
          <w:color w:val="auto"/>
        </w:rPr>
        <w:t>注：本采购文件的</w:t>
      </w:r>
      <w:r>
        <w:rPr>
          <w:rFonts w:hint="eastAsia" w:ascii="宋体" w:hAnsi="宋体" w:eastAsia="宋体" w:cs="宋体"/>
          <w:b/>
          <w:color w:val="auto"/>
          <w:lang w:val="en-US" w:eastAsia="zh-CN"/>
        </w:rPr>
        <w:t>服务</w:t>
      </w:r>
      <w:r>
        <w:rPr>
          <w:rFonts w:hint="eastAsia" w:ascii="宋体" w:hAnsi="宋体" w:eastAsia="宋体" w:cs="宋体"/>
          <w:b/>
          <w:color w:val="auto"/>
        </w:rPr>
        <w:t>内容及要求由采购人提供</w:t>
      </w:r>
      <w:r>
        <w:rPr>
          <w:rFonts w:hint="eastAsia" w:ascii="宋体" w:hAnsi="宋体" w:eastAsia="宋体" w:cs="宋体"/>
          <w:b/>
          <w:color w:val="auto"/>
          <w:lang w:eastAsia="zh-CN"/>
        </w:rPr>
        <w:t>。</w:t>
      </w:r>
    </w:p>
    <w:p w14:paraId="5E6B0431">
      <w:pPr>
        <w:jc w:val="center"/>
        <w:outlineLvl w:val="1"/>
        <w:rPr>
          <w:rFonts w:hint="eastAsia" w:ascii="宋体" w:hAnsi="宋体" w:eastAsia="宋体" w:cs="宋体"/>
          <w:b/>
          <w:color w:val="auto"/>
          <w:sz w:val="32"/>
          <w:szCs w:val="32"/>
        </w:rPr>
      </w:pPr>
      <w:r>
        <w:rPr>
          <w:rFonts w:hint="eastAsia" w:ascii="宋体" w:hAnsi="宋体" w:cs="宋体"/>
          <w:b/>
          <w:color w:val="auto"/>
          <w:sz w:val="32"/>
          <w:szCs w:val="32"/>
          <w:lang w:val="en-US" w:eastAsia="zh-CN"/>
        </w:rPr>
        <w:t>第四部分</w:t>
      </w:r>
      <w:r>
        <w:rPr>
          <w:rFonts w:hint="eastAsia" w:ascii="宋体" w:hAnsi="宋体" w:eastAsia="宋体" w:cs="宋体"/>
          <w:b/>
          <w:color w:val="auto"/>
          <w:sz w:val="32"/>
          <w:szCs w:val="32"/>
        </w:rPr>
        <w:t xml:space="preserve"> 商务及合同主要条款</w:t>
      </w:r>
    </w:p>
    <w:p w14:paraId="5E26A1BE">
      <w:pPr>
        <w:pStyle w:val="13"/>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（最终以双方签订的合同为准）</w:t>
      </w:r>
    </w:p>
    <w:p w14:paraId="624525C0">
      <w:pPr>
        <w:kinsoku/>
        <w:autoSpaceDE/>
        <w:autoSpaceDN/>
        <w:adjustRightInd/>
        <w:snapToGrid/>
        <w:spacing w:line="360" w:lineRule="atLeast"/>
        <w:jc w:val="center"/>
        <w:textAlignment w:val="auto"/>
        <w:outlineLvl w:val="9"/>
        <w:rPr>
          <w:rFonts w:asciiTheme="majorEastAsia" w:hAnsiTheme="majorEastAsia" w:eastAsiaTheme="majorEastAsia"/>
          <w:b/>
          <w:bCs/>
          <w:color w:val="auto"/>
          <w:kern w:val="36"/>
          <w:sz w:val="36"/>
          <w:szCs w:val="36"/>
          <w:lang w:eastAsia="zh-CN"/>
        </w:rPr>
      </w:pPr>
    </w:p>
    <w:p w14:paraId="36EC722E">
      <w:pPr>
        <w:kinsoku/>
        <w:autoSpaceDE/>
        <w:autoSpaceDN/>
        <w:adjustRightInd/>
        <w:snapToGrid/>
        <w:spacing w:line="360" w:lineRule="atLeast"/>
        <w:jc w:val="center"/>
        <w:textAlignment w:val="auto"/>
        <w:outlineLvl w:val="9"/>
        <w:rPr>
          <w:rFonts w:hint="eastAsia" w:asciiTheme="majorEastAsia" w:hAnsiTheme="majorEastAsia" w:eastAsiaTheme="majorEastAsia"/>
          <w:b/>
          <w:bCs/>
          <w:color w:val="auto"/>
          <w:kern w:val="36"/>
          <w:sz w:val="36"/>
          <w:szCs w:val="36"/>
          <w:lang w:eastAsia="zh-CN"/>
        </w:rPr>
      </w:pPr>
      <w:r>
        <w:rPr>
          <w:rFonts w:hint="eastAsia" w:asciiTheme="majorEastAsia" w:hAnsiTheme="majorEastAsia" w:eastAsiaTheme="majorEastAsia"/>
          <w:b/>
          <w:bCs/>
          <w:color w:val="auto"/>
          <w:kern w:val="36"/>
          <w:sz w:val="36"/>
          <w:szCs w:val="36"/>
          <w:lang w:eastAsia="zh-CN"/>
        </w:rPr>
        <w:t>延安市公安局市县两级110统一接警运营维护</w:t>
      </w:r>
    </w:p>
    <w:p w14:paraId="2DD86E26">
      <w:pPr>
        <w:kinsoku/>
        <w:autoSpaceDE/>
        <w:autoSpaceDN/>
        <w:adjustRightInd/>
        <w:snapToGrid/>
        <w:spacing w:line="360" w:lineRule="atLeast"/>
        <w:jc w:val="center"/>
        <w:textAlignment w:val="auto"/>
        <w:outlineLvl w:val="9"/>
        <w:rPr>
          <w:rFonts w:asciiTheme="majorEastAsia" w:hAnsiTheme="majorEastAsia" w:eastAsiaTheme="majorEastAsia"/>
          <w:b/>
          <w:bCs/>
          <w:color w:val="auto"/>
          <w:kern w:val="36"/>
          <w:sz w:val="36"/>
          <w:szCs w:val="36"/>
          <w:lang w:eastAsia="zh-CN"/>
        </w:rPr>
      </w:pPr>
      <w:r>
        <w:rPr>
          <w:rFonts w:hint="eastAsia" w:asciiTheme="majorEastAsia" w:hAnsiTheme="majorEastAsia" w:eastAsiaTheme="majorEastAsia"/>
          <w:b/>
          <w:bCs/>
          <w:color w:val="auto"/>
          <w:kern w:val="36"/>
          <w:sz w:val="36"/>
          <w:szCs w:val="36"/>
          <w:lang w:eastAsia="zh-CN"/>
        </w:rPr>
        <w:t>服务项目（</w:t>
      </w:r>
      <w:r>
        <w:rPr>
          <w:rFonts w:hint="eastAsia" w:asciiTheme="majorEastAsia" w:hAnsiTheme="majorEastAsia" w:eastAsiaTheme="majorEastAsia"/>
          <w:b/>
          <w:bCs/>
          <w:color w:val="auto"/>
          <w:kern w:val="36"/>
          <w:sz w:val="36"/>
          <w:szCs w:val="36"/>
          <w:lang w:val="en-US" w:eastAsia="zh-CN"/>
        </w:rPr>
        <w:t>二次</w:t>
      </w:r>
      <w:r>
        <w:rPr>
          <w:rFonts w:hint="eastAsia" w:asciiTheme="majorEastAsia" w:hAnsiTheme="majorEastAsia" w:eastAsiaTheme="majorEastAsia"/>
          <w:b/>
          <w:bCs/>
          <w:color w:val="auto"/>
          <w:kern w:val="36"/>
          <w:sz w:val="36"/>
          <w:szCs w:val="36"/>
          <w:lang w:eastAsia="zh-CN"/>
        </w:rPr>
        <w:t>）</w:t>
      </w:r>
      <w:r>
        <w:rPr>
          <w:rFonts w:asciiTheme="majorEastAsia" w:hAnsiTheme="majorEastAsia" w:eastAsiaTheme="majorEastAsia"/>
          <w:b/>
          <w:bCs/>
          <w:color w:val="auto"/>
          <w:kern w:val="36"/>
          <w:sz w:val="36"/>
          <w:szCs w:val="36"/>
          <w:lang w:eastAsia="zh-CN"/>
        </w:rPr>
        <w:t>采购合同</w:t>
      </w:r>
    </w:p>
    <w:p w14:paraId="3BC476FC">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p>
    <w:p w14:paraId="028472A2">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p>
    <w:p w14:paraId="42D792B1">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p>
    <w:p w14:paraId="6246C641">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p>
    <w:p w14:paraId="74173B4C">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p>
    <w:p w14:paraId="60AF081A">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p>
    <w:p w14:paraId="09E76A26">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p>
    <w:p w14:paraId="5AEF6F50">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p>
    <w:p w14:paraId="4EE58395">
      <w:pPr>
        <w:kinsoku/>
        <w:autoSpaceDE/>
        <w:autoSpaceDN/>
        <w:adjustRightInd/>
        <w:snapToGrid/>
        <w:spacing w:line="360" w:lineRule="atLeast"/>
        <w:jc w:val="both"/>
        <w:textAlignment w:val="auto"/>
        <w:outlineLvl w:val="9"/>
        <w:rPr>
          <w:rFonts w:asciiTheme="majorEastAsia" w:hAnsiTheme="majorEastAsia" w:eastAsiaTheme="majorEastAsia"/>
          <w:color w:val="auto"/>
          <w:sz w:val="28"/>
          <w:szCs w:val="28"/>
          <w:lang w:eastAsia="zh-CN"/>
        </w:rPr>
      </w:pPr>
    </w:p>
    <w:p w14:paraId="7B578E5A">
      <w:pPr>
        <w:kinsoku/>
        <w:autoSpaceDE/>
        <w:autoSpaceDN/>
        <w:adjustRightInd/>
        <w:snapToGrid/>
        <w:spacing w:line="360" w:lineRule="atLeast"/>
        <w:jc w:val="both"/>
        <w:textAlignment w:val="auto"/>
        <w:outlineLvl w:val="9"/>
        <w:rPr>
          <w:rFonts w:asciiTheme="majorEastAsia" w:hAnsiTheme="majorEastAsia" w:eastAsiaTheme="majorEastAsia"/>
          <w:color w:val="auto"/>
          <w:sz w:val="28"/>
          <w:szCs w:val="28"/>
          <w:lang w:eastAsia="zh-CN"/>
        </w:rPr>
      </w:pPr>
    </w:p>
    <w:p w14:paraId="5581FF1B">
      <w:pPr>
        <w:kinsoku/>
        <w:autoSpaceDE/>
        <w:autoSpaceDN/>
        <w:adjustRightInd/>
        <w:snapToGrid/>
        <w:spacing w:line="360" w:lineRule="atLeast"/>
        <w:jc w:val="both"/>
        <w:textAlignment w:val="auto"/>
        <w:outlineLvl w:val="9"/>
        <w:rPr>
          <w:rFonts w:asciiTheme="majorEastAsia" w:hAnsiTheme="majorEastAsia" w:eastAsiaTheme="majorEastAsia"/>
          <w:color w:val="auto"/>
          <w:sz w:val="28"/>
          <w:szCs w:val="28"/>
          <w:lang w:eastAsia="zh-CN"/>
        </w:rPr>
      </w:pPr>
    </w:p>
    <w:p w14:paraId="2C9DFF17">
      <w:pPr>
        <w:kinsoku/>
        <w:autoSpaceDE/>
        <w:autoSpaceDN/>
        <w:adjustRightInd/>
        <w:snapToGrid/>
        <w:spacing w:line="360" w:lineRule="atLeast"/>
        <w:jc w:val="both"/>
        <w:textAlignment w:val="auto"/>
        <w:outlineLvl w:val="9"/>
        <w:rPr>
          <w:rFonts w:asciiTheme="majorEastAsia" w:hAnsiTheme="majorEastAsia" w:eastAsiaTheme="majorEastAsia"/>
          <w:color w:val="auto"/>
          <w:sz w:val="28"/>
          <w:szCs w:val="28"/>
          <w:lang w:eastAsia="zh-CN"/>
        </w:rPr>
      </w:pPr>
    </w:p>
    <w:p w14:paraId="63067B59">
      <w:pPr>
        <w:kinsoku/>
        <w:autoSpaceDE/>
        <w:autoSpaceDN/>
        <w:adjustRightInd/>
        <w:snapToGrid/>
        <w:spacing w:line="360" w:lineRule="atLeast"/>
        <w:jc w:val="both"/>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合同编号：__________</w:t>
      </w:r>
    </w:p>
    <w:p w14:paraId="0AB6F37B">
      <w:pPr>
        <w:kinsoku/>
        <w:autoSpaceDE/>
        <w:autoSpaceDN/>
        <w:adjustRightInd/>
        <w:snapToGrid/>
        <w:spacing w:line="360" w:lineRule="atLeast"/>
        <w:textAlignment w:val="auto"/>
        <w:outlineLvl w:val="9"/>
        <w:rPr>
          <w:rFonts w:asciiTheme="majorEastAsia" w:hAnsiTheme="majorEastAsia" w:eastAsiaTheme="majorEastAsia"/>
          <w:color w:val="auto"/>
          <w:sz w:val="28"/>
          <w:szCs w:val="28"/>
          <w:u w:val="single"/>
          <w:lang w:eastAsia="zh-CN"/>
        </w:rPr>
      </w:pPr>
      <w:r>
        <w:rPr>
          <w:rFonts w:asciiTheme="majorEastAsia" w:hAnsiTheme="majorEastAsia" w:eastAsiaTheme="majorEastAsia"/>
          <w:color w:val="auto"/>
          <w:sz w:val="28"/>
          <w:szCs w:val="28"/>
          <w:lang w:eastAsia="zh-CN"/>
        </w:rPr>
        <w:t>签订地点：</w:t>
      </w:r>
      <w:r>
        <w:rPr>
          <w:rFonts w:hint="eastAsia" w:asciiTheme="majorEastAsia" w:hAnsiTheme="majorEastAsia" w:eastAsiaTheme="majorEastAsia"/>
          <w:color w:val="auto"/>
          <w:sz w:val="28"/>
          <w:szCs w:val="28"/>
          <w:u w:val="single"/>
          <w:lang w:eastAsia="zh-CN"/>
        </w:rPr>
        <w:t xml:space="preserve">           </w:t>
      </w:r>
    </w:p>
    <w:p w14:paraId="27A7699C">
      <w:pPr>
        <w:kinsoku/>
        <w:autoSpaceDE/>
        <w:autoSpaceDN/>
        <w:adjustRightInd/>
        <w:snapToGrid/>
        <w:spacing w:line="360" w:lineRule="atLeast"/>
        <w:jc w:val="both"/>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签订日期：______年____月____日</w:t>
      </w:r>
    </w:p>
    <w:p w14:paraId="1A667E6F">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p>
    <w:p w14:paraId="4BC542B2">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p>
    <w:p w14:paraId="6C2E82DF">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p>
    <w:p w14:paraId="5D2E9629">
      <w:pPr>
        <w:kinsoku/>
        <w:autoSpaceDE/>
        <w:autoSpaceDN/>
        <w:adjustRightInd/>
        <w:snapToGrid/>
        <w:spacing w:line="360" w:lineRule="atLeast"/>
        <w:ind w:firstLine="420" w:firstLineChars="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采购人（甲方）</w:t>
      </w:r>
      <w:r>
        <w:rPr>
          <w:rFonts w:hint="eastAsia" w:asciiTheme="majorEastAsia" w:hAnsiTheme="majorEastAsia" w:eastAsiaTheme="majorEastAsia"/>
          <w:color w:val="auto"/>
          <w:sz w:val="28"/>
          <w:szCs w:val="28"/>
          <w:lang w:eastAsia="zh-CN"/>
        </w:rPr>
        <w:t>：</w:t>
      </w:r>
      <w:r>
        <w:rPr>
          <w:rFonts w:asciiTheme="majorEastAsia" w:hAnsiTheme="majorEastAsia" w:eastAsiaTheme="majorEastAsia"/>
          <w:color w:val="auto"/>
          <w:sz w:val="28"/>
          <w:szCs w:val="28"/>
          <w:lang w:eastAsia="zh-CN"/>
        </w:rPr>
        <w:t>__________</w:t>
      </w:r>
    </w:p>
    <w:p w14:paraId="132F329F">
      <w:pPr>
        <w:kinsoku/>
        <w:autoSpaceDE/>
        <w:autoSpaceDN/>
        <w:adjustRightInd/>
        <w:snapToGrid/>
        <w:spacing w:line="360" w:lineRule="atLeast"/>
        <w:ind w:firstLine="420" w:firstLineChars="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地址：__________</w:t>
      </w:r>
    </w:p>
    <w:p w14:paraId="14B5B463">
      <w:pPr>
        <w:kinsoku/>
        <w:autoSpaceDE/>
        <w:autoSpaceDN/>
        <w:adjustRightInd/>
        <w:snapToGrid/>
        <w:spacing w:line="360" w:lineRule="atLeast"/>
        <w:ind w:firstLine="420" w:firstLineChars="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联系人：__________</w:t>
      </w:r>
    </w:p>
    <w:p w14:paraId="19D5FD67">
      <w:pPr>
        <w:kinsoku/>
        <w:autoSpaceDE/>
        <w:autoSpaceDN/>
        <w:adjustRightInd/>
        <w:snapToGrid/>
        <w:spacing w:line="360" w:lineRule="atLeast"/>
        <w:ind w:firstLine="420" w:firstLineChars="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联系电话：__________</w:t>
      </w:r>
    </w:p>
    <w:p w14:paraId="36E4D9AA">
      <w:pPr>
        <w:kinsoku/>
        <w:autoSpaceDE/>
        <w:autoSpaceDN/>
        <w:adjustRightInd/>
        <w:snapToGrid/>
        <w:spacing w:line="360" w:lineRule="atLeast"/>
        <w:ind w:firstLine="420" w:firstLineChars="0"/>
        <w:textAlignment w:val="auto"/>
        <w:outlineLvl w:val="9"/>
        <w:rPr>
          <w:rFonts w:asciiTheme="majorEastAsia" w:hAnsiTheme="majorEastAsia" w:eastAsiaTheme="majorEastAsia"/>
          <w:color w:val="auto"/>
          <w:sz w:val="28"/>
          <w:szCs w:val="28"/>
          <w:lang w:eastAsia="zh-CN"/>
        </w:rPr>
      </w:pPr>
    </w:p>
    <w:p w14:paraId="41671E2D">
      <w:pPr>
        <w:kinsoku/>
        <w:autoSpaceDE/>
        <w:autoSpaceDN/>
        <w:adjustRightInd/>
        <w:snapToGrid/>
        <w:spacing w:line="360" w:lineRule="atLeast"/>
        <w:ind w:firstLine="420" w:firstLineChars="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供应商（乙方）：__________</w:t>
      </w:r>
    </w:p>
    <w:p w14:paraId="377CE1FF">
      <w:pPr>
        <w:kinsoku/>
        <w:autoSpaceDE/>
        <w:autoSpaceDN/>
        <w:adjustRightInd/>
        <w:snapToGrid/>
        <w:spacing w:line="360" w:lineRule="atLeast"/>
        <w:ind w:firstLine="420" w:firstLineChars="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地址：__________</w:t>
      </w:r>
    </w:p>
    <w:p w14:paraId="4CF6D08C">
      <w:pPr>
        <w:kinsoku/>
        <w:autoSpaceDE/>
        <w:autoSpaceDN/>
        <w:adjustRightInd/>
        <w:snapToGrid/>
        <w:spacing w:line="360" w:lineRule="atLeast"/>
        <w:ind w:firstLine="420" w:firstLineChars="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项目负责人：__________</w:t>
      </w:r>
    </w:p>
    <w:p w14:paraId="33AB6DB1">
      <w:pPr>
        <w:kinsoku/>
        <w:autoSpaceDE/>
        <w:autoSpaceDN/>
        <w:adjustRightInd/>
        <w:snapToGrid/>
        <w:spacing w:line="360" w:lineRule="atLeast"/>
        <w:ind w:firstLine="420" w:firstLineChars="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联系电话：__________</w:t>
      </w:r>
    </w:p>
    <w:p w14:paraId="406690C3">
      <w:pPr>
        <w:kinsoku/>
        <w:autoSpaceDE/>
        <w:autoSpaceDN/>
        <w:adjustRightInd/>
        <w:snapToGrid/>
        <w:spacing w:line="360" w:lineRule="atLeast"/>
        <w:ind w:firstLine="420" w:firstLineChars="200"/>
        <w:textAlignment w:val="auto"/>
        <w:outlineLvl w:val="9"/>
        <w:rPr>
          <w:rFonts w:asciiTheme="majorEastAsia" w:hAnsiTheme="majorEastAsia" w:eastAsiaTheme="majorEastAsia"/>
          <w:color w:val="auto"/>
          <w:sz w:val="21"/>
          <w:szCs w:val="21"/>
          <w:lang w:eastAsia="zh-CN"/>
        </w:rPr>
      </w:pPr>
    </w:p>
    <w:p w14:paraId="424D674C">
      <w:pPr>
        <w:keepNext w:val="0"/>
        <w:keepLines w:val="0"/>
        <w:pageBreakBefore w:val="0"/>
        <w:widowControl/>
        <w:kinsoku/>
        <w:wordWrap/>
        <w:overflowPunct/>
        <w:topLinePunct w:val="0"/>
        <w:autoSpaceDE/>
        <w:autoSpaceDN/>
        <w:bidi w:val="0"/>
        <w:adjustRightInd/>
        <w:snapToGrid/>
        <w:spacing w:after="0" w:line="360" w:lineRule="auto"/>
        <w:ind w:firstLine="560" w:firstLineChars="20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依据《中华人民共和国民法典》《中华人民共和国政府采购法》《中华人民共和国数据安全法》《中华人民共和国个人信息保护法》等法律法规，遵循平等、自愿、公平和诚实信用原则，甲乙双方就</w:t>
      </w:r>
      <w:r>
        <w:rPr>
          <w:rFonts w:hint="eastAsia" w:asciiTheme="majorEastAsia" w:hAnsiTheme="majorEastAsia" w:eastAsiaTheme="majorEastAsia"/>
          <w:color w:val="auto"/>
          <w:sz w:val="28"/>
          <w:szCs w:val="28"/>
          <w:u w:val="single"/>
          <w:lang w:eastAsia="zh-CN"/>
        </w:rPr>
        <w:t xml:space="preserve">          </w:t>
      </w:r>
      <w:r>
        <w:rPr>
          <w:rFonts w:asciiTheme="majorEastAsia" w:hAnsiTheme="majorEastAsia" w:eastAsiaTheme="majorEastAsia"/>
          <w:color w:val="auto"/>
          <w:sz w:val="28"/>
          <w:szCs w:val="28"/>
          <w:lang w:eastAsia="zh-CN"/>
        </w:rPr>
        <w:t>采购事宜协商一致，订立本合同。</w:t>
      </w:r>
    </w:p>
    <w:p w14:paraId="2E80A36E">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b/>
          <w:bCs/>
          <w:color w:val="auto"/>
          <w:sz w:val="28"/>
          <w:szCs w:val="28"/>
          <w:lang w:eastAsia="zh-CN"/>
        </w:rPr>
      </w:pPr>
      <w:r>
        <w:rPr>
          <w:rFonts w:asciiTheme="majorEastAsia" w:hAnsiTheme="majorEastAsia" w:eastAsiaTheme="majorEastAsia"/>
          <w:b/>
          <w:bCs/>
          <w:color w:val="auto"/>
          <w:sz w:val="28"/>
          <w:szCs w:val="28"/>
          <w:lang w:eastAsia="zh-CN"/>
        </w:rPr>
        <w:t>第一条 服务内容与范围</w:t>
      </w:r>
    </w:p>
    <w:p w14:paraId="60155F54">
      <w:pPr>
        <w:pStyle w:val="27"/>
        <w:keepNext w:val="0"/>
        <w:keepLines w:val="0"/>
        <w:pageBreakBefore w:val="0"/>
        <w:widowControl/>
        <w:wordWrap/>
        <w:overflowPunct/>
        <w:topLinePunct w:val="0"/>
        <w:bidi w:val="0"/>
        <w:spacing w:after="0" w:line="360" w:lineRule="auto"/>
        <w:ind w:firstLine="560"/>
        <w:outlineLvl w:val="9"/>
        <w:rPr>
          <w:rFonts w:cs="Arial" w:asciiTheme="majorEastAsia" w:hAnsiTheme="majorEastAsia" w:eastAsiaTheme="majorEastAsia"/>
          <w:color w:val="auto"/>
          <w:sz w:val="28"/>
          <w:szCs w:val="28"/>
          <w:lang w:eastAsia="zh-CN"/>
        </w:rPr>
      </w:pPr>
      <w:r>
        <w:rPr>
          <w:rFonts w:hint="eastAsia" w:cs="Arial" w:asciiTheme="majorEastAsia" w:hAnsiTheme="majorEastAsia" w:eastAsiaTheme="majorEastAsia"/>
          <w:color w:val="auto"/>
          <w:sz w:val="28"/>
          <w:szCs w:val="28"/>
          <w:lang w:eastAsia="zh-CN"/>
        </w:rPr>
        <w:t>本项目旨在承接</w:t>
      </w:r>
      <w:r>
        <w:rPr>
          <w:rFonts w:hint="eastAsia" w:cs="Arial" w:asciiTheme="majorEastAsia" w:hAnsiTheme="majorEastAsia" w:eastAsiaTheme="majorEastAsia"/>
          <w:color w:val="auto"/>
          <w:sz w:val="28"/>
          <w:szCs w:val="28"/>
          <w:lang w:val="en-US" w:eastAsia="zh-CN"/>
        </w:rPr>
        <w:t>110</w:t>
      </w:r>
      <w:r>
        <w:rPr>
          <w:rFonts w:hint="eastAsia" w:cs="Arial" w:asciiTheme="majorEastAsia" w:hAnsiTheme="majorEastAsia" w:eastAsiaTheme="majorEastAsia"/>
          <w:color w:val="auto"/>
          <w:sz w:val="28"/>
          <w:szCs w:val="28"/>
          <w:lang w:eastAsia="zh-CN"/>
        </w:rPr>
        <w:t>统一报警接线服务相关外包服务，严格遵循公安部门110接警工作规范及相关法律法规要求，协助公安部门高效受理各类警情，提升报警接线服务质量、缩短响应时效，为群众提供便捷、规范、专业的报警接线服务。具体服务内容如下：</w:t>
      </w:r>
    </w:p>
    <w:p w14:paraId="6594FF7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hint="eastAsia" w:asciiTheme="majorEastAsia" w:hAnsiTheme="majorEastAsia" w:eastAsiaTheme="majorEastAsia"/>
          <w:color w:val="auto"/>
          <w:sz w:val="28"/>
          <w:szCs w:val="28"/>
          <w:lang w:eastAsia="zh-CN"/>
        </w:rPr>
      </w:pPr>
      <w:r>
        <w:rPr>
          <w:rFonts w:hint="eastAsia" w:cs="Times New Roman" w:asciiTheme="majorEastAsia" w:hAnsiTheme="majorEastAsia" w:eastAsiaTheme="majorEastAsia"/>
          <w:color w:val="auto"/>
          <w:kern w:val="2"/>
          <w:sz w:val="28"/>
          <w:szCs w:val="28"/>
          <w:lang w:val="en-US" w:eastAsia="zh-CN" w:bidi="ar-SA"/>
        </w:rPr>
        <w:t>1.</w:t>
      </w:r>
      <w:r>
        <w:rPr>
          <w:rFonts w:hint="eastAsia" w:cs="Arial" w:asciiTheme="majorEastAsia" w:hAnsiTheme="majorEastAsia" w:eastAsiaTheme="majorEastAsia"/>
          <w:color w:val="auto"/>
          <w:sz w:val="28"/>
          <w:szCs w:val="28"/>
          <w:lang w:eastAsia="zh-CN"/>
        </w:rPr>
        <w:t>报警</w:t>
      </w:r>
      <w:r>
        <w:rPr>
          <w:rFonts w:hint="eastAsia" w:asciiTheme="majorEastAsia" w:hAnsiTheme="majorEastAsia" w:eastAsiaTheme="majorEastAsia"/>
          <w:color w:val="auto"/>
          <w:sz w:val="28"/>
          <w:szCs w:val="28"/>
          <w:lang w:val="en-US" w:eastAsia="zh-CN"/>
        </w:rPr>
        <w:t>接线服务</w:t>
      </w:r>
      <w:r>
        <w:rPr>
          <w:rFonts w:hint="eastAsia" w:asciiTheme="majorEastAsia" w:hAnsiTheme="majorEastAsia" w:eastAsiaTheme="majorEastAsia"/>
          <w:color w:val="auto"/>
          <w:sz w:val="28"/>
          <w:szCs w:val="28"/>
          <w:lang w:eastAsia="zh-CN"/>
        </w:rPr>
        <w:t>：</w:t>
      </w:r>
      <w:r>
        <w:rPr>
          <w:rFonts w:hint="eastAsia" w:asciiTheme="majorEastAsia" w:hAnsiTheme="majorEastAsia" w:eastAsiaTheme="majorEastAsia"/>
          <w:color w:val="auto"/>
          <w:sz w:val="28"/>
          <w:szCs w:val="28"/>
          <w:lang w:val="en-US" w:eastAsia="zh-CN"/>
        </w:rPr>
        <w:t>严格执行110报警接线服务时限24小时不间断、坚决落实10秒极速接线响应标准，避免警情漏接、迟接、缓接等问题，全面提升110报警接线服务的规范化、高效化、专业化水平</w:t>
      </w:r>
      <w:r>
        <w:rPr>
          <w:rFonts w:hint="eastAsia" w:asciiTheme="majorEastAsia" w:hAnsiTheme="majorEastAsia" w:eastAsiaTheme="majorEastAsia"/>
          <w:color w:val="auto"/>
          <w:sz w:val="28"/>
          <w:szCs w:val="28"/>
          <w:lang w:eastAsia="zh-CN"/>
        </w:rPr>
        <w:t>。</w:t>
      </w:r>
    </w:p>
    <w:p w14:paraId="2EEBBBD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hint="eastAsia" w:asciiTheme="majorEastAsia" w:hAnsiTheme="majorEastAsia" w:eastAsiaTheme="majorEastAsia"/>
          <w:color w:val="auto"/>
          <w:sz w:val="28"/>
          <w:szCs w:val="28"/>
          <w:lang w:eastAsia="zh-CN"/>
        </w:rPr>
      </w:pPr>
      <w:r>
        <w:rPr>
          <w:rFonts w:hint="eastAsia" w:cs="Times New Roman" w:asciiTheme="majorEastAsia" w:hAnsiTheme="majorEastAsia" w:eastAsiaTheme="majorEastAsia"/>
          <w:color w:val="auto"/>
          <w:kern w:val="2"/>
          <w:sz w:val="28"/>
          <w:szCs w:val="28"/>
          <w:lang w:val="en-US" w:eastAsia="zh-CN" w:bidi="ar-SA"/>
        </w:rPr>
        <w:t>2.</w:t>
      </w:r>
      <w:r>
        <w:rPr>
          <w:rFonts w:hint="eastAsia" w:asciiTheme="majorEastAsia" w:hAnsiTheme="majorEastAsia" w:eastAsiaTheme="majorEastAsia"/>
          <w:color w:val="auto"/>
          <w:sz w:val="28"/>
          <w:szCs w:val="28"/>
          <w:lang w:eastAsia="zh-CN"/>
        </w:rPr>
        <w:t>警情判断与分类：</w:t>
      </w:r>
      <w:r>
        <w:rPr>
          <w:rFonts w:hint="eastAsia" w:asciiTheme="majorEastAsia" w:hAnsiTheme="majorEastAsia" w:eastAsiaTheme="majorEastAsia"/>
          <w:color w:val="auto"/>
          <w:sz w:val="28"/>
          <w:szCs w:val="28"/>
          <w:lang w:val="en-US" w:eastAsia="zh-CN"/>
        </w:rPr>
        <w:t>接线</w:t>
      </w:r>
      <w:r>
        <w:rPr>
          <w:rFonts w:hint="eastAsia" w:asciiTheme="majorEastAsia" w:hAnsiTheme="majorEastAsia" w:eastAsiaTheme="majorEastAsia"/>
          <w:color w:val="auto"/>
          <w:sz w:val="28"/>
          <w:szCs w:val="28"/>
          <w:lang w:eastAsia="zh-CN"/>
        </w:rPr>
        <w:t>人员需结合报警人反馈信息，</w:t>
      </w:r>
      <w:r>
        <w:rPr>
          <w:rFonts w:hint="eastAsia" w:asciiTheme="majorEastAsia" w:hAnsiTheme="majorEastAsia" w:eastAsiaTheme="majorEastAsia"/>
          <w:color w:val="auto"/>
          <w:sz w:val="28"/>
          <w:szCs w:val="28"/>
          <w:lang w:val="en-US" w:eastAsia="zh-CN"/>
        </w:rPr>
        <w:t>如实记录并协助值班民警</w:t>
      </w:r>
      <w:r>
        <w:rPr>
          <w:rFonts w:hint="eastAsia" w:asciiTheme="majorEastAsia" w:hAnsiTheme="majorEastAsia" w:eastAsiaTheme="majorEastAsia"/>
          <w:color w:val="auto"/>
          <w:sz w:val="28"/>
          <w:szCs w:val="28"/>
          <w:lang w:eastAsia="zh-CN"/>
        </w:rPr>
        <w:t xml:space="preserve">依据公安部门警情分类标准，精准区分刑事警情、行政警情、紧急求助、非警情诉求四大类别，并判定一般、较大、重大、特别重大的警情严重程度。 </w:t>
      </w:r>
    </w:p>
    <w:p w14:paraId="5698BC0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b/>
          <w:bCs/>
          <w:color w:val="auto"/>
          <w:sz w:val="28"/>
          <w:szCs w:val="28"/>
          <w:lang w:eastAsia="zh-CN"/>
        </w:rPr>
      </w:pPr>
      <w:r>
        <w:rPr>
          <w:rFonts w:cs="Times New Roman" w:asciiTheme="majorEastAsia" w:hAnsiTheme="majorEastAsia" w:eastAsiaTheme="majorEastAsia"/>
          <w:b w:val="0"/>
          <w:bCs w:val="0"/>
          <w:color w:val="auto"/>
          <w:kern w:val="2"/>
          <w:sz w:val="28"/>
          <w:szCs w:val="28"/>
          <w:lang w:val="en-US" w:eastAsia="zh-CN" w:bidi="ar-SA"/>
        </w:rPr>
        <w:t>3.</w:t>
      </w:r>
      <w:r>
        <w:rPr>
          <w:rFonts w:hint="eastAsia" w:asciiTheme="majorEastAsia" w:hAnsiTheme="majorEastAsia" w:eastAsiaTheme="majorEastAsia"/>
          <w:b w:val="0"/>
          <w:bCs w:val="0"/>
          <w:color w:val="auto"/>
          <w:sz w:val="28"/>
          <w:szCs w:val="28"/>
          <w:lang w:eastAsia="zh-CN"/>
        </w:rPr>
        <w:t>警</w:t>
      </w:r>
      <w:r>
        <w:rPr>
          <w:rFonts w:hint="eastAsia" w:asciiTheme="majorEastAsia" w:hAnsiTheme="majorEastAsia" w:eastAsiaTheme="majorEastAsia"/>
          <w:color w:val="auto"/>
          <w:sz w:val="28"/>
          <w:szCs w:val="28"/>
          <w:lang w:eastAsia="zh-CN"/>
        </w:rPr>
        <w:t>情录入：报警接线结束后须在</w:t>
      </w:r>
      <w:r>
        <w:rPr>
          <w:rFonts w:hint="eastAsia" w:asciiTheme="majorEastAsia" w:hAnsiTheme="majorEastAsia" w:eastAsiaTheme="majorEastAsia"/>
          <w:color w:val="auto"/>
          <w:sz w:val="28"/>
          <w:szCs w:val="28"/>
          <w:lang w:val="en-US" w:eastAsia="zh-CN"/>
        </w:rPr>
        <w:t>1</w:t>
      </w:r>
      <w:r>
        <w:rPr>
          <w:rFonts w:hint="eastAsia" w:asciiTheme="majorEastAsia" w:hAnsiTheme="majorEastAsia" w:eastAsiaTheme="majorEastAsia"/>
          <w:color w:val="auto"/>
          <w:sz w:val="28"/>
          <w:szCs w:val="28"/>
          <w:lang w:eastAsia="zh-CN"/>
        </w:rPr>
        <w:t>分钟内，将报警人信息、事发详情、警情性质及分类结果等核心内容完整准确录入公安部门指定110接警信息管理系统，保证录入内容与接警记录一致。</w:t>
      </w:r>
    </w:p>
    <w:p w14:paraId="2DADBAB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hint="eastAsia" w:asciiTheme="majorEastAsia" w:hAnsiTheme="majorEastAsia" w:eastAsiaTheme="majorEastAsia"/>
          <w:color w:val="auto"/>
          <w:sz w:val="28"/>
          <w:szCs w:val="28"/>
          <w:lang w:val="en-US" w:eastAsia="zh-CN"/>
        </w:rPr>
      </w:pPr>
      <w:r>
        <w:rPr>
          <w:rFonts w:hint="eastAsia" w:cs="Times New Roman" w:asciiTheme="majorEastAsia" w:hAnsiTheme="majorEastAsia" w:eastAsiaTheme="majorEastAsia"/>
          <w:color w:val="auto"/>
          <w:kern w:val="2"/>
          <w:sz w:val="28"/>
          <w:szCs w:val="28"/>
          <w:lang w:val="en-US" w:eastAsia="zh-CN" w:bidi="ar-SA"/>
        </w:rPr>
        <w:t>4.</w:t>
      </w:r>
      <w:r>
        <w:rPr>
          <w:rFonts w:hint="eastAsia" w:asciiTheme="majorEastAsia" w:hAnsiTheme="majorEastAsia" w:eastAsiaTheme="majorEastAsia"/>
          <w:color w:val="auto"/>
          <w:sz w:val="28"/>
          <w:szCs w:val="28"/>
          <w:lang w:eastAsia="zh-CN"/>
        </w:rPr>
        <w:t>警情回访：针对群众评价不满意的警情开展专项回访，摸清群众不满缘由，收集意见建议。建立专项回访台账，规范整理归档资料，及时汇总上报反馈。</w:t>
      </w:r>
    </w:p>
    <w:p w14:paraId="480DFC6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hint="eastAsia" w:asciiTheme="majorEastAsia" w:hAnsiTheme="majorEastAsia" w:eastAsiaTheme="majorEastAsia"/>
          <w:color w:val="auto"/>
          <w:sz w:val="28"/>
          <w:szCs w:val="28"/>
          <w:lang w:val="en-US" w:eastAsia="zh-CN"/>
        </w:rPr>
      </w:pPr>
      <w:r>
        <w:rPr>
          <w:rFonts w:hint="eastAsia" w:cs="Times New Roman" w:asciiTheme="majorEastAsia" w:hAnsiTheme="majorEastAsia" w:eastAsiaTheme="majorEastAsia"/>
          <w:color w:val="auto"/>
          <w:kern w:val="2"/>
          <w:sz w:val="28"/>
          <w:szCs w:val="28"/>
          <w:lang w:val="en-US" w:eastAsia="zh-CN" w:bidi="ar-SA"/>
        </w:rPr>
        <w:t>5.</w:t>
      </w:r>
      <w:r>
        <w:rPr>
          <w:rFonts w:hint="eastAsia" w:asciiTheme="majorEastAsia" w:hAnsiTheme="majorEastAsia" w:eastAsiaTheme="majorEastAsia"/>
          <w:color w:val="auto"/>
          <w:sz w:val="28"/>
          <w:szCs w:val="28"/>
          <w:lang w:val="en-US" w:eastAsia="zh-CN"/>
        </w:rPr>
        <w:t>接线服务效能统计分析：利用统计分析工具实现对报警接线服务数据的日、周、月常态化自动归集与汇总统计，重点统计接线总量、响应时间、警情录入准确率等核心接线运营管理指标，形成规范的基础统计报表。</w:t>
      </w:r>
    </w:p>
    <w:p w14:paraId="545D6ED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hint="eastAsia"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6.</w:t>
      </w:r>
      <w:r>
        <w:rPr>
          <w:rFonts w:hint="eastAsia" w:asciiTheme="majorEastAsia" w:hAnsiTheme="majorEastAsia" w:eastAsiaTheme="majorEastAsia"/>
          <w:color w:val="auto"/>
          <w:sz w:val="28"/>
          <w:szCs w:val="28"/>
          <w:lang w:eastAsia="zh-CN"/>
        </w:rPr>
        <w:t>讲解服务：协助采购人开展接处警来访接待、普及警务知识、传递公安为民服务理念，主要面向参观群众、党政机关、企事业单位、学校师生、媒体记者等各类群体，开展专业讲解、引导服务、知识科普、秩序维护等工作。</w:t>
      </w:r>
    </w:p>
    <w:p w14:paraId="717B737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hint="eastAsia" w:asciiTheme="majorEastAsia" w:hAnsiTheme="majorEastAsia" w:eastAsiaTheme="majorEastAsia"/>
          <w:color w:val="auto"/>
          <w:sz w:val="28"/>
          <w:szCs w:val="28"/>
          <w:lang w:eastAsia="zh-CN"/>
        </w:rPr>
      </w:pPr>
      <w:r>
        <w:rPr>
          <w:rFonts w:hint="eastAsia" w:asciiTheme="majorEastAsia" w:hAnsiTheme="majorEastAsia" w:eastAsiaTheme="majorEastAsia"/>
          <w:color w:val="auto"/>
          <w:sz w:val="28"/>
          <w:szCs w:val="28"/>
          <w:lang w:val="en-US" w:eastAsia="zh-CN"/>
        </w:rPr>
        <w:t>7.</w:t>
      </w:r>
      <w:r>
        <w:rPr>
          <w:rFonts w:hint="eastAsia" w:asciiTheme="majorEastAsia" w:hAnsiTheme="majorEastAsia" w:eastAsiaTheme="majorEastAsia"/>
          <w:color w:val="auto"/>
          <w:sz w:val="28"/>
          <w:szCs w:val="28"/>
          <w:lang w:eastAsia="zh-CN"/>
        </w:rPr>
        <w:t>会议保障</w:t>
      </w:r>
      <w:r>
        <w:rPr>
          <w:rFonts w:hint="eastAsia" w:asciiTheme="majorEastAsia" w:hAnsiTheme="majorEastAsia" w:eastAsiaTheme="majorEastAsia"/>
          <w:color w:val="auto"/>
          <w:sz w:val="28"/>
          <w:szCs w:val="28"/>
          <w:lang w:val="en-US" w:eastAsia="zh-CN"/>
        </w:rPr>
        <w:t>服务：</w:t>
      </w:r>
      <w:r>
        <w:rPr>
          <w:rFonts w:hint="eastAsia" w:asciiTheme="majorEastAsia" w:hAnsiTheme="majorEastAsia" w:eastAsiaTheme="majorEastAsia"/>
          <w:color w:val="auto"/>
          <w:sz w:val="28"/>
          <w:szCs w:val="28"/>
          <w:lang w:eastAsia="zh-CN"/>
        </w:rPr>
        <w:t>专项负责110接警中心日常会议、警务调度会议、应急指挥视频会议的全程保障、设备运维及现场服务工作，确保各类会议稳定、规范开展。</w:t>
      </w:r>
    </w:p>
    <w:p w14:paraId="14A50A9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hint="eastAsia" w:asciiTheme="majorEastAsia" w:hAnsiTheme="majorEastAsia" w:eastAsiaTheme="majorEastAsia"/>
          <w:color w:val="auto"/>
          <w:sz w:val="28"/>
          <w:szCs w:val="28"/>
          <w:lang w:eastAsia="zh-CN"/>
        </w:rPr>
      </w:pPr>
      <w:r>
        <w:rPr>
          <w:rFonts w:hint="eastAsia" w:asciiTheme="majorEastAsia" w:hAnsiTheme="majorEastAsia" w:eastAsiaTheme="majorEastAsia"/>
          <w:color w:val="auto"/>
          <w:sz w:val="28"/>
          <w:szCs w:val="28"/>
          <w:lang w:val="en-US" w:eastAsia="zh-CN"/>
        </w:rPr>
        <w:t>8.运维服务保障：</w:t>
      </w:r>
      <w:r>
        <w:rPr>
          <w:rFonts w:hint="eastAsia" w:asciiTheme="majorEastAsia" w:hAnsiTheme="majorEastAsia" w:eastAsiaTheme="majorEastAsia"/>
          <w:color w:val="auto"/>
          <w:sz w:val="28"/>
          <w:szCs w:val="28"/>
          <w:lang w:eastAsia="zh-CN"/>
        </w:rPr>
        <w:t>专项负责110接警中心接警终端、办公电脑、指挥调度设备及配套网络设施的日常运维、故障抢修、安全隐患排查、系统运行保障等工作，确保各类设备及网络系统持续稳定、高效运行。</w:t>
      </w:r>
    </w:p>
    <w:p w14:paraId="42EB84E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hint="eastAsia" w:cs="Times New Roman" w:asciiTheme="majorEastAsia" w:hAnsiTheme="majorEastAsia" w:eastAsiaTheme="majorEastAsia"/>
          <w:color w:val="auto"/>
          <w:kern w:val="2"/>
          <w:sz w:val="28"/>
          <w:szCs w:val="28"/>
          <w:lang w:val="en-US" w:eastAsia="zh-CN" w:bidi="ar-SA"/>
        </w:rPr>
        <w:t>9</w:t>
      </w:r>
      <w:r>
        <w:rPr>
          <w:rFonts w:cs="Times New Roman" w:asciiTheme="majorEastAsia" w:hAnsiTheme="majorEastAsia" w:eastAsiaTheme="majorEastAsia"/>
          <w:color w:val="auto"/>
          <w:kern w:val="2"/>
          <w:sz w:val="28"/>
          <w:szCs w:val="28"/>
          <w:lang w:val="en-US" w:eastAsia="zh-CN" w:bidi="ar-SA"/>
        </w:rPr>
        <w:t>.</w:t>
      </w:r>
      <w:r>
        <w:rPr>
          <w:rFonts w:hint="eastAsia" w:asciiTheme="majorEastAsia" w:hAnsiTheme="majorEastAsia" w:eastAsiaTheme="majorEastAsia"/>
          <w:color w:val="auto"/>
          <w:sz w:val="28"/>
          <w:szCs w:val="28"/>
          <w:lang w:eastAsia="zh-CN"/>
        </w:rPr>
        <w:t>市、县两级扁平化</w:t>
      </w:r>
      <w:r>
        <w:rPr>
          <w:rFonts w:hint="eastAsia" w:cs="Arial" w:asciiTheme="majorEastAsia" w:hAnsiTheme="majorEastAsia" w:eastAsiaTheme="majorEastAsia"/>
          <w:color w:val="auto"/>
          <w:sz w:val="28"/>
          <w:szCs w:val="28"/>
          <w:lang w:eastAsia="zh-CN"/>
        </w:rPr>
        <w:t>报警接线服务</w:t>
      </w:r>
      <w:r>
        <w:rPr>
          <w:rFonts w:hint="eastAsia" w:asciiTheme="majorEastAsia" w:hAnsiTheme="majorEastAsia" w:eastAsiaTheme="majorEastAsia"/>
          <w:color w:val="auto"/>
          <w:sz w:val="28"/>
          <w:szCs w:val="28"/>
          <w:lang w:eastAsia="zh-CN"/>
        </w:rPr>
        <w:t>集约：实施110</w:t>
      </w:r>
      <w:r>
        <w:rPr>
          <w:rFonts w:hint="eastAsia" w:asciiTheme="majorEastAsia" w:hAnsiTheme="majorEastAsia" w:eastAsiaTheme="majorEastAsia"/>
          <w:color w:val="auto"/>
          <w:sz w:val="28"/>
          <w:szCs w:val="28"/>
          <w:lang w:val="en-US" w:eastAsia="zh-CN"/>
        </w:rPr>
        <w:t>报警接线</w:t>
      </w:r>
      <w:r>
        <w:rPr>
          <w:rFonts w:hint="eastAsia" w:asciiTheme="majorEastAsia" w:hAnsiTheme="majorEastAsia" w:eastAsiaTheme="majorEastAsia"/>
          <w:color w:val="auto"/>
          <w:sz w:val="28"/>
          <w:szCs w:val="28"/>
          <w:lang w:eastAsia="zh-CN"/>
        </w:rPr>
        <w:t>服务工作市、县两级扁平化集约建设，构建全市统一</w:t>
      </w:r>
      <w:r>
        <w:rPr>
          <w:rFonts w:hint="eastAsia" w:asciiTheme="majorEastAsia" w:hAnsiTheme="majorEastAsia" w:eastAsiaTheme="majorEastAsia"/>
          <w:color w:val="auto"/>
          <w:sz w:val="28"/>
          <w:szCs w:val="28"/>
          <w:lang w:val="en-US" w:eastAsia="zh-CN"/>
        </w:rPr>
        <w:t>报警接线</w:t>
      </w:r>
      <w:r>
        <w:rPr>
          <w:rFonts w:hint="eastAsia" w:asciiTheme="majorEastAsia" w:hAnsiTheme="majorEastAsia" w:eastAsiaTheme="majorEastAsia"/>
          <w:color w:val="auto"/>
          <w:sz w:val="28"/>
          <w:szCs w:val="28"/>
          <w:lang w:eastAsia="zh-CN"/>
        </w:rPr>
        <w:t>服务；将</w:t>
      </w:r>
      <w:r>
        <w:rPr>
          <w:rFonts w:hint="eastAsia" w:asciiTheme="majorEastAsia" w:hAnsiTheme="majorEastAsia" w:eastAsiaTheme="majorEastAsia"/>
          <w:color w:val="auto"/>
          <w:sz w:val="28"/>
          <w:szCs w:val="28"/>
          <w:lang w:val="en-US" w:eastAsia="zh-CN"/>
        </w:rPr>
        <w:t>报警接线</w:t>
      </w:r>
      <w:r>
        <w:rPr>
          <w:rFonts w:hint="eastAsia" w:asciiTheme="majorEastAsia" w:hAnsiTheme="majorEastAsia" w:eastAsiaTheme="majorEastAsia"/>
          <w:color w:val="auto"/>
          <w:sz w:val="28"/>
          <w:szCs w:val="28"/>
          <w:lang w:eastAsia="zh-CN"/>
        </w:rPr>
        <w:t>流程、服务话术、分类标准及信息要素的全流程操作严格参照规范贯彻落实。</w:t>
      </w:r>
    </w:p>
    <w:p w14:paraId="3124383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hint="default" w:asciiTheme="majorEastAsia" w:hAnsiTheme="majorEastAsia" w:eastAsiaTheme="majorEastAsia"/>
          <w:color w:val="auto"/>
          <w:sz w:val="28"/>
          <w:szCs w:val="28"/>
          <w:lang w:eastAsia="zh-CN"/>
        </w:rPr>
      </w:pPr>
      <w:r>
        <w:rPr>
          <w:rFonts w:hint="eastAsia" w:cs="Times New Roman" w:asciiTheme="majorEastAsia" w:hAnsiTheme="majorEastAsia" w:eastAsiaTheme="majorEastAsia"/>
          <w:color w:val="auto"/>
          <w:kern w:val="2"/>
          <w:sz w:val="28"/>
          <w:szCs w:val="28"/>
          <w:lang w:val="en-US" w:eastAsia="zh-CN" w:bidi="ar-SA"/>
        </w:rPr>
        <w:t>10</w:t>
      </w:r>
      <w:r>
        <w:rPr>
          <w:rFonts w:hint="default" w:cs="Times New Roman" w:asciiTheme="majorEastAsia" w:hAnsiTheme="majorEastAsia" w:eastAsiaTheme="majorEastAsia"/>
          <w:color w:val="auto"/>
          <w:kern w:val="2"/>
          <w:sz w:val="28"/>
          <w:szCs w:val="28"/>
          <w:lang w:val="en-US" w:eastAsia="zh-CN" w:bidi="ar-SA"/>
        </w:rPr>
        <w:t>.</w:t>
      </w:r>
      <w:r>
        <w:rPr>
          <w:rFonts w:hint="eastAsia" w:asciiTheme="majorEastAsia" w:hAnsiTheme="majorEastAsia" w:eastAsiaTheme="majorEastAsia"/>
          <w:color w:val="auto"/>
          <w:sz w:val="28"/>
          <w:szCs w:val="28"/>
          <w:lang w:eastAsia="zh-CN"/>
        </w:rPr>
        <w:t>配合采购人的其它工作：积极配合公安部门开展警情专项整治、宣传引导等各类专项工作，按照要求提供相关警情数据、资料，协助完成各项工作任务。</w:t>
      </w:r>
    </w:p>
    <w:p w14:paraId="5DDF39FD">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b/>
          <w:bCs/>
          <w:color w:val="auto"/>
          <w:sz w:val="28"/>
          <w:szCs w:val="28"/>
          <w:lang w:eastAsia="zh-CN"/>
        </w:rPr>
      </w:pPr>
      <w:r>
        <w:rPr>
          <w:rFonts w:asciiTheme="majorEastAsia" w:hAnsiTheme="majorEastAsia" w:eastAsiaTheme="majorEastAsia"/>
          <w:b/>
          <w:bCs/>
          <w:color w:val="auto"/>
          <w:sz w:val="28"/>
          <w:szCs w:val="28"/>
          <w:lang w:eastAsia="zh-CN"/>
        </w:rPr>
        <w:t>第二条 服务期限与地点</w:t>
      </w:r>
    </w:p>
    <w:p w14:paraId="57C0984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1.</w:t>
      </w:r>
      <w:r>
        <w:rPr>
          <w:rFonts w:asciiTheme="majorEastAsia" w:hAnsiTheme="majorEastAsia" w:eastAsiaTheme="majorEastAsia"/>
          <w:b/>
          <w:bCs/>
          <w:color w:val="auto"/>
          <w:sz w:val="28"/>
          <w:szCs w:val="28"/>
          <w:lang w:eastAsia="zh-CN"/>
        </w:rPr>
        <w:t>服务期限</w:t>
      </w:r>
      <w:r>
        <w:rPr>
          <w:rFonts w:asciiTheme="majorEastAsia" w:hAnsiTheme="majorEastAsia" w:eastAsiaTheme="majorEastAsia"/>
          <w:color w:val="auto"/>
          <w:sz w:val="28"/>
          <w:szCs w:val="28"/>
          <w:lang w:eastAsia="zh-CN"/>
        </w:rPr>
        <w:t>：</w:t>
      </w:r>
      <w:r>
        <w:rPr>
          <w:rFonts w:hint="eastAsia" w:asciiTheme="majorEastAsia" w:hAnsiTheme="majorEastAsia" w:eastAsiaTheme="majorEastAsia"/>
          <w:color w:val="auto"/>
          <w:sz w:val="28"/>
          <w:szCs w:val="28"/>
          <w:lang w:val="en-US" w:eastAsia="zh-CN"/>
        </w:rPr>
        <w:t>自合同签订之日起1年</w:t>
      </w:r>
      <w:r>
        <w:rPr>
          <w:rFonts w:asciiTheme="majorEastAsia" w:hAnsiTheme="majorEastAsia" w:eastAsiaTheme="majorEastAsia"/>
          <w:color w:val="auto"/>
          <w:sz w:val="28"/>
          <w:szCs w:val="28"/>
          <w:lang w:eastAsia="zh-CN"/>
        </w:rPr>
        <w:t>。</w:t>
      </w:r>
    </w:p>
    <w:p w14:paraId="129F58F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720" w:leftChars="0" w:hanging="36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2.</w:t>
      </w:r>
      <w:r>
        <w:rPr>
          <w:rFonts w:asciiTheme="majorEastAsia" w:hAnsiTheme="majorEastAsia" w:eastAsiaTheme="majorEastAsia"/>
          <w:b/>
          <w:bCs/>
          <w:color w:val="auto"/>
          <w:sz w:val="28"/>
          <w:szCs w:val="28"/>
          <w:lang w:eastAsia="zh-CN"/>
        </w:rPr>
        <w:t>服务地点</w:t>
      </w:r>
      <w:r>
        <w:rPr>
          <w:rFonts w:asciiTheme="majorEastAsia" w:hAnsiTheme="majorEastAsia" w:eastAsiaTheme="majorEastAsia"/>
          <w:color w:val="auto"/>
          <w:sz w:val="28"/>
          <w:szCs w:val="28"/>
          <w:lang w:eastAsia="zh-CN"/>
        </w:rPr>
        <w:t>：延安市公安局指定接警席位（驻场服务）。</w:t>
      </w:r>
    </w:p>
    <w:p w14:paraId="06253F99">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b/>
          <w:bCs/>
          <w:color w:val="auto"/>
          <w:sz w:val="28"/>
          <w:szCs w:val="28"/>
          <w:lang w:eastAsia="zh-CN"/>
        </w:rPr>
      </w:pPr>
      <w:r>
        <w:rPr>
          <w:rFonts w:asciiTheme="majorEastAsia" w:hAnsiTheme="majorEastAsia" w:eastAsiaTheme="majorEastAsia"/>
          <w:b/>
          <w:bCs/>
          <w:color w:val="auto"/>
          <w:sz w:val="28"/>
          <w:szCs w:val="28"/>
          <w:lang w:eastAsia="zh-CN"/>
        </w:rPr>
        <w:t>第三条 合同价款</w:t>
      </w:r>
    </w:p>
    <w:p w14:paraId="138E51C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720" w:leftChars="0" w:hanging="36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1.</w:t>
      </w:r>
      <w:r>
        <w:rPr>
          <w:rFonts w:asciiTheme="majorEastAsia" w:hAnsiTheme="majorEastAsia" w:eastAsiaTheme="majorEastAsia"/>
          <w:color w:val="auto"/>
          <w:sz w:val="28"/>
          <w:szCs w:val="28"/>
          <w:lang w:eastAsia="zh-CN"/>
        </w:rPr>
        <w:t>合同总价（大写）：</w:t>
      </w:r>
      <w:r>
        <w:rPr>
          <w:rFonts w:hint="eastAsia" w:asciiTheme="majorEastAsia" w:hAnsiTheme="majorEastAsia" w:eastAsiaTheme="majorEastAsia"/>
          <w:color w:val="auto"/>
          <w:sz w:val="28"/>
          <w:szCs w:val="28"/>
          <w:u w:val="single"/>
          <w:lang w:eastAsia="zh-CN"/>
        </w:rPr>
        <w:t xml:space="preserve">          </w:t>
      </w:r>
      <w:r>
        <w:rPr>
          <w:rFonts w:asciiTheme="majorEastAsia" w:hAnsiTheme="majorEastAsia" w:eastAsiaTheme="majorEastAsia"/>
          <w:b/>
          <w:bCs/>
          <w:color w:val="auto"/>
          <w:sz w:val="28"/>
          <w:szCs w:val="28"/>
          <w:lang w:eastAsia="zh-CN"/>
        </w:rPr>
        <w:t>元（¥</w:t>
      </w:r>
      <w:r>
        <w:rPr>
          <w:rFonts w:hint="eastAsia" w:asciiTheme="majorEastAsia" w:hAnsiTheme="majorEastAsia" w:eastAsiaTheme="majorEastAsia"/>
          <w:b/>
          <w:bCs/>
          <w:color w:val="auto"/>
          <w:sz w:val="28"/>
          <w:szCs w:val="28"/>
          <w:u w:val="single"/>
          <w:lang w:val="en-US" w:eastAsia="zh-CN"/>
        </w:rPr>
        <w:t xml:space="preserve">      </w:t>
      </w:r>
      <w:r>
        <w:rPr>
          <w:rFonts w:asciiTheme="majorEastAsia" w:hAnsiTheme="majorEastAsia" w:eastAsiaTheme="majorEastAsia"/>
          <w:color w:val="auto"/>
          <w:sz w:val="28"/>
          <w:szCs w:val="28"/>
          <w:lang w:eastAsia="zh-CN"/>
        </w:rPr>
        <w:t>）。</w:t>
      </w:r>
    </w:p>
    <w:p w14:paraId="55E4C65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720" w:leftChars="0" w:hanging="36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2.</w:t>
      </w:r>
      <w:r>
        <w:rPr>
          <w:rFonts w:asciiTheme="majorEastAsia" w:hAnsiTheme="majorEastAsia" w:eastAsiaTheme="majorEastAsia"/>
          <w:color w:val="auto"/>
          <w:sz w:val="28"/>
          <w:szCs w:val="28"/>
          <w:lang w:eastAsia="zh-CN"/>
        </w:rPr>
        <w:t>最终结算</w:t>
      </w:r>
      <w:r>
        <w:rPr>
          <w:rFonts w:hint="eastAsia" w:asciiTheme="majorEastAsia" w:hAnsiTheme="majorEastAsia" w:eastAsiaTheme="majorEastAsia"/>
          <w:color w:val="auto"/>
          <w:sz w:val="28"/>
          <w:szCs w:val="28"/>
          <w:lang w:val="en-US" w:eastAsia="zh-CN"/>
        </w:rPr>
        <w:t>由甲乙双方协商确定</w:t>
      </w:r>
      <w:r>
        <w:rPr>
          <w:rFonts w:asciiTheme="majorEastAsia" w:hAnsiTheme="majorEastAsia" w:eastAsiaTheme="majorEastAsia"/>
          <w:color w:val="auto"/>
          <w:sz w:val="28"/>
          <w:szCs w:val="28"/>
          <w:lang w:eastAsia="zh-CN"/>
        </w:rPr>
        <w:t>。</w:t>
      </w:r>
    </w:p>
    <w:p w14:paraId="23E4925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hint="eastAsia" w:asciiTheme="majorEastAsia" w:hAnsiTheme="majorEastAsia" w:eastAsiaTheme="majorEastAsia"/>
          <w:b/>
          <w:bCs/>
          <w:color w:val="auto"/>
          <w:sz w:val="28"/>
          <w:szCs w:val="28"/>
          <w:lang w:eastAsia="zh-CN"/>
        </w:rPr>
      </w:pPr>
      <w:r>
        <w:rPr>
          <w:rFonts w:asciiTheme="majorEastAsia" w:hAnsiTheme="majorEastAsia" w:eastAsiaTheme="majorEastAsia"/>
          <w:b/>
          <w:bCs/>
          <w:color w:val="auto"/>
          <w:sz w:val="28"/>
          <w:szCs w:val="28"/>
          <w:lang w:eastAsia="zh-CN"/>
        </w:rPr>
        <w:t>第四条 付款方式</w:t>
      </w:r>
      <w:r>
        <w:rPr>
          <w:rFonts w:hint="eastAsia" w:asciiTheme="majorEastAsia" w:hAnsiTheme="majorEastAsia" w:eastAsiaTheme="majorEastAsia"/>
          <w:b/>
          <w:bCs/>
          <w:color w:val="auto"/>
          <w:sz w:val="28"/>
          <w:szCs w:val="28"/>
          <w:lang w:eastAsia="zh-CN"/>
        </w:rPr>
        <w:t>：</w:t>
      </w:r>
    </w:p>
    <w:p w14:paraId="760F9E7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hint="default" w:cs="Times New Roman" w:asciiTheme="majorEastAsia" w:hAnsiTheme="majorEastAsia" w:eastAsiaTheme="majorEastAsia"/>
          <w:color w:val="auto"/>
          <w:kern w:val="2"/>
          <w:sz w:val="28"/>
          <w:szCs w:val="28"/>
          <w:lang w:val="en-US" w:eastAsia="zh-CN" w:bidi="ar-SA"/>
        </w:rPr>
      </w:pPr>
      <w:r>
        <w:rPr>
          <w:rFonts w:hint="eastAsia" w:asciiTheme="majorEastAsia" w:hAnsiTheme="majorEastAsia" w:eastAsiaTheme="majorEastAsia"/>
          <w:b w:val="0"/>
          <w:bCs w:val="0"/>
          <w:color w:val="auto"/>
          <w:sz w:val="28"/>
          <w:szCs w:val="28"/>
          <w:lang w:val="en-US" w:eastAsia="zh-CN"/>
        </w:rPr>
        <w:t>1.</w:t>
      </w:r>
      <w:r>
        <w:rPr>
          <w:rFonts w:hint="eastAsia" w:cs="Times New Roman" w:asciiTheme="majorEastAsia" w:hAnsiTheme="majorEastAsia" w:eastAsiaTheme="majorEastAsia"/>
          <w:color w:val="auto"/>
          <w:kern w:val="2"/>
          <w:sz w:val="28"/>
          <w:szCs w:val="28"/>
          <w:lang w:val="en-US" w:eastAsia="zh-CN" w:bidi="ar-SA"/>
        </w:rPr>
        <w:t>具</w:t>
      </w:r>
      <w:r>
        <w:rPr>
          <w:rFonts w:hint="eastAsia" w:asciiTheme="majorEastAsia" w:hAnsiTheme="majorEastAsia" w:eastAsiaTheme="majorEastAsia"/>
          <w:color w:val="auto"/>
          <w:sz w:val="28"/>
          <w:szCs w:val="28"/>
          <w:lang w:val="en-US" w:eastAsia="zh-CN"/>
        </w:rPr>
        <w:t>体付款方式最终由甲乙双方协商确定。</w:t>
      </w:r>
    </w:p>
    <w:p w14:paraId="14A5E12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hint="eastAsia" w:cs="Times New Roman" w:asciiTheme="majorEastAsia" w:hAnsiTheme="majorEastAsia" w:eastAsiaTheme="majorEastAsia"/>
          <w:color w:val="auto"/>
          <w:kern w:val="2"/>
          <w:sz w:val="28"/>
          <w:szCs w:val="28"/>
          <w:lang w:val="en-US" w:eastAsia="zh-CN" w:bidi="ar-SA"/>
        </w:rPr>
        <w:t>2</w:t>
      </w:r>
      <w:r>
        <w:rPr>
          <w:rFonts w:cs="Times New Roman" w:asciiTheme="majorEastAsia" w:hAnsiTheme="majorEastAsia" w:eastAsiaTheme="majorEastAsia"/>
          <w:color w:val="auto"/>
          <w:kern w:val="2"/>
          <w:sz w:val="28"/>
          <w:szCs w:val="28"/>
          <w:lang w:val="en-US" w:eastAsia="zh-CN" w:bidi="ar-SA"/>
        </w:rPr>
        <w:t>.</w:t>
      </w:r>
      <w:r>
        <w:rPr>
          <w:rFonts w:asciiTheme="majorEastAsia" w:hAnsiTheme="majorEastAsia" w:eastAsiaTheme="majorEastAsia"/>
          <w:b w:val="0"/>
          <w:bCs w:val="0"/>
          <w:color w:val="auto"/>
          <w:sz w:val="28"/>
          <w:szCs w:val="28"/>
          <w:lang w:eastAsia="zh-CN"/>
        </w:rPr>
        <w:t>结算要求：</w:t>
      </w:r>
      <w:r>
        <w:rPr>
          <w:rFonts w:asciiTheme="majorEastAsia" w:hAnsiTheme="majorEastAsia" w:eastAsiaTheme="majorEastAsia"/>
          <w:color w:val="auto"/>
          <w:sz w:val="28"/>
          <w:szCs w:val="28"/>
          <w:lang w:eastAsia="zh-CN"/>
        </w:rPr>
        <w:t>乙方开具合法有效</w:t>
      </w:r>
      <w:r>
        <w:rPr>
          <w:rFonts w:hint="eastAsia" w:asciiTheme="majorEastAsia" w:hAnsiTheme="majorEastAsia" w:eastAsiaTheme="majorEastAsia"/>
          <w:color w:val="auto"/>
          <w:sz w:val="28"/>
          <w:szCs w:val="28"/>
          <w:lang w:eastAsia="zh-CN"/>
        </w:rPr>
        <w:t>的</w:t>
      </w:r>
      <w:r>
        <w:rPr>
          <w:rFonts w:asciiTheme="majorEastAsia" w:hAnsiTheme="majorEastAsia" w:eastAsiaTheme="majorEastAsia"/>
          <w:color w:val="auto"/>
          <w:sz w:val="28"/>
          <w:szCs w:val="28"/>
          <w:lang w:eastAsia="zh-CN"/>
        </w:rPr>
        <w:t>全额增值税发票，甲方以银行转账</w:t>
      </w:r>
      <w:r>
        <w:rPr>
          <w:rFonts w:hint="eastAsia" w:asciiTheme="majorEastAsia" w:hAnsiTheme="majorEastAsia" w:eastAsiaTheme="majorEastAsia"/>
          <w:color w:val="auto"/>
          <w:sz w:val="28"/>
          <w:szCs w:val="28"/>
          <w:lang w:eastAsia="zh-CN"/>
        </w:rPr>
        <w:t>方式</w:t>
      </w:r>
      <w:r>
        <w:rPr>
          <w:rFonts w:asciiTheme="majorEastAsia" w:hAnsiTheme="majorEastAsia" w:eastAsiaTheme="majorEastAsia"/>
          <w:color w:val="auto"/>
          <w:sz w:val="28"/>
          <w:szCs w:val="28"/>
          <w:lang w:eastAsia="zh-CN"/>
        </w:rPr>
        <w:t>支付。</w:t>
      </w:r>
    </w:p>
    <w:p w14:paraId="2108F9F8">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b/>
          <w:bCs/>
          <w:color w:val="auto"/>
          <w:sz w:val="28"/>
          <w:szCs w:val="28"/>
          <w:lang w:eastAsia="zh-CN"/>
        </w:rPr>
      </w:pPr>
      <w:r>
        <w:rPr>
          <w:rFonts w:asciiTheme="majorEastAsia" w:hAnsiTheme="majorEastAsia" w:eastAsiaTheme="majorEastAsia"/>
          <w:b/>
          <w:bCs/>
          <w:color w:val="auto"/>
          <w:sz w:val="28"/>
          <w:szCs w:val="28"/>
          <w:lang w:eastAsia="zh-CN"/>
        </w:rPr>
        <w:t>第五条 双方权利与义务</w:t>
      </w:r>
    </w:p>
    <w:p w14:paraId="706A6DD7">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highlight w:val="none"/>
          <w:lang w:eastAsia="zh-CN"/>
        </w:rPr>
      </w:pPr>
      <w:r>
        <w:rPr>
          <w:rFonts w:asciiTheme="majorEastAsia" w:hAnsiTheme="majorEastAsia" w:eastAsiaTheme="majorEastAsia"/>
          <w:color w:val="auto"/>
          <w:sz w:val="28"/>
          <w:szCs w:val="28"/>
          <w:highlight w:val="none"/>
          <w:lang w:eastAsia="zh-CN"/>
        </w:rPr>
        <w:t>（一）甲方权利义务</w:t>
      </w:r>
    </w:p>
    <w:p w14:paraId="3E04CDA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highlight w:val="none"/>
          <w:lang w:eastAsia="zh-CN"/>
        </w:rPr>
      </w:pPr>
      <w:r>
        <w:rPr>
          <w:rFonts w:cs="Times New Roman" w:asciiTheme="majorEastAsia" w:hAnsiTheme="majorEastAsia" w:eastAsiaTheme="majorEastAsia"/>
          <w:color w:val="auto"/>
          <w:kern w:val="2"/>
          <w:sz w:val="28"/>
          <w:szCs w:val="28"/>
          <w:lang w:val="en-US" w:eastAsia="zh-CN" w:bidi="ar-SA"/>
        </w:rPr>
        <w:t>1.</w:t>
      </w:r>
      <w:r>
        <w:rPr>
          <w:rFonts w:asciiTheme="majorEastAsia" w:hAnsiTheme="majorEastAsia" w:eastAsiaTheme="majorEastAsia"/>
          <w:color w:val="auto"/>
          <w:sz w:val="28"/>
          <w:szCs w:val="28"/>
          <w:highlight w:val="none"/>
          <w:lang w:eastAsia="zh-CN"/>
        </w:rPr>
        <w:t>对乙方服务全过程</w:t>
      </w:r>
      <w:r>
        <w:rPr>
          <w:rFonts w:hint="eastAsia" w:asciiTheme="majorEastAsia" w:hAnsiTheme="majorEastAsia" w:eastAsiaTheme="majorEastAsia"/>
          <w:color w:val="auto"/>
          <w:sz w:val="28"/>
          <w:szCs w:val="28"/>
          <w:highlight w:val="none"/>
          <w:lang w:val="en-US" w:eastAsia="zh-CN"/>
        </w:rPr>
        <w:t>指导、</w:t>
      </w:r>
      <w:r>
        <w:rPr>
          <w:rFonts w:asciiTheme="majorEastAsia" w:hAnsiTheme="majorEastAsia" w:eastAsiaTheme="majorEastAsia"/>
          <w:color w:val="auto"/>
          <w:sz w:val="28"/>
          <w:szCs w:val="28"/>
          <w:highlight w:val="none"/>
          <w:lang w:eastAsia="zh-CN"/>
        </w:rPr>
        <w:t>监督、检查、考核，对不合格人员有权要求更换或辞退。</w:t>
      </w:r>
    </w:p>
    <w:p w14:paraId="5951BBD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highlight w:val="none"/>
          <w:lang w:eastAsia="zh-CN"/>
        </w:rPr>
      </w:pPr>
      <w:r>
        <w:rPr>
          <w:rFonts w:cs="Times New Roman" w:asciiTheme="majorEastAsia" w:hAnsiTheme="majorEastAsia" w:eastAsiaTheme="majorEastAsia"/>
          <w:color w:val="auto"/>
          <w:kern w:val="2"/>
          <w:sz w:val="28"/>
          <w:szCs w:val="28"/>
          <w:lang w:val="en-US" w:eastAsia="zh-CN" w:bidi="ar-SA"/>
        </w:rPr>
        <w:t>2.</w:t>
      </w:r>
      <w:r>
        <w:rPr>
          <w:rFonts w:asciiTheme="majorEastAsia" w:hAnsiTheme="majorEastAsia" w:eastAsiaTheme="majorEastAsia"/>
          <w:color w:val="auto"/>
          <w:sz w:val="28"/>
          <w:szCs w:val="28"/>
          <w:highlight w:val="none"/>
          <w:lang w:eastAsia="zh-CN"/>
        </w:rPr>
        <w:t>提供必要工作场所、系统权限、业务规范及工作条件。</w:t>
      </w:r>
    </w:p>
    <w:p w14:paraId="2FA0B20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highlight w:val="none"/>
          <w:lang w:eastAsia="zh-CN"/>
        </w:rPr>
      </w:pPr>
      <w:r>
        <w:rPr>
          <w:rFonts w:cs="Times New Roman" w:asciiTheme="majorEastAsia" w:hAnsiTheme="majorEastAsia" w:eastAsiaTheme="majorEastAsia"/>
          <w:color w:val="auto"/>
          <w:kern w:val="2"/>
          <w:sz w:val="28"/>
          <w:szCs w:val="28"/>
          <w:lang w:val="en-US" w:eastAsia="zh-CN" w:bidi="ar-SA"/>
        </w:rPr>
        <w:t>3.</w:t>
      </w:r>
      <w:r>
        <w:rPr>
          <w:rFonts w:asciiTheme="majorEastAsia" w:hAnsiTheme="majorEastAsia" w:eastAsiaTheme="majorEastAsia"/>
          <w:color w:val="auto"/>
          <w:sz w:val="28"/>
          <w:szCs w:val="28"/>
          <w:highlight w:val="none"/>
          <w:lang w:eastAsia="zh-CN"/>
        </w:rPr>
        <w:t>按约定支付合同款项，及时审核资料。</w:t>
      </w:r>
    </w:p>
    <w:p w14:paraId="42D983F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highlight w:val="none"/>
          <w:lang w:eastAsia="zh-CN"/>
        </w:rPr>
      </w:pPr>
      <w:r>
        <w:rPr>
          <w:rFonts w:cs="Times New Roman" w:asciiTheme="majorEastAsia" w:hAnsiTheme="majorEastAsia" w:eastAsiaTheme="majorEastAsia"/>
          <w:color w:val="auto"/>
          <w:kern w:val="2"/>
          <w:sz w:val="28"/>
          <w:szCs w:val="28"/>
          <w:lang w:val="en-US" w:eastAsia="zh-CN" w:bidi="ar-SA"/>
        </w:rPr>
        <w:t>4.</w:t>
      </w:r>
      <w:r>
        <w:rPr>
          <w:rFonts w:asciiTheme="majorEastAsia" w:hAnsiTheme="majorEastAsia" w:eastAsiaTheme="majorEastAsia"/>
          <w:color w:val="auto"/>
          <w:sz w:val="28"/>
          <w:szCs w:val="28"/>
          <w:highlight w:val="none"/>
          <w:lang w:eastAsia="zh-CN"/>
        </w:rPr>
        <w:t>乙方严重违约时，甲方有权暂停付款、扣除费用、单方解除合同。</w:t>
      </w:r>
    </w:p>
    <w:p w14:paraId="2DA96085">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highlight w:val="none"/>
          <w:lang w:eastAsia="zh-CN"/>
        </w:rPr>
      </w:pPr>
      <w:r>
        <w:rPr>
          <w:rFonts w:asciiTheme="majorEastAsia" w:hAnsiTheme="majorEastAsia" w:eastAsiaTheme="majorEastAsia"/>
          <w:color w:val="auto"/>
          <w:sz w:val="28"/>
          <w:szCs w:val="28"/>
          <w:highlight w:val="none"/>
          <w:lang w:eastAsia="zh-CN"/>
        </w:rPr>
        <w:t>（二）乙方权利义务</w:t>
      </w:r>
    </w:p>
    <w:p w14:paraId="55E89F7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highlight w:val="none"/>
          <w:lang w:eastAsia="zh-CN"/>
        </w:rPr>
      </w:pPr>
      <w:r>
        <w:rPr>
          <w:rFonts w:cs="Times New Roman" w:asciiTheme="majorEastAsia" w:hAnsiTheme="majorEastAsia" w:eastAsiaTheme="majorEastAsia"/>
          <w:color w:val="auto"/>
          <w:kern w:val="2"/>
          <w:sz w:val="28"/>
          <w:szCs w:val="28"/>
          <w:lang w:val="en-US" w:eastAsia="zh-CN" w:bidi="ar-SA"/>
        </w:rPr>
        <w:t>1.</w:t>
      </w:r>
      <w:r>
        <w:rPr>
          <w:rFonts w:asciiTheme="majorEastAsia" w:hAnsiTheme="majorEastAsia" w:eastAsiaTheme="majorEastAsia"/>
          <w:color w:val="auto"/>
          <w:sz w:val="28"/>
          <w:szCs w:val="28"/>
          <w:highlight w:val="none"/>
          <w:lang w:eastAsia="zh-CN"/>
        </w:rPr>
        <w:t>按要求配备无违法犯罪记录、持证上岗接</w:t>
      </w:r>
      <w:r>
        <w:rPr>
          <w:rFonts w:hint="eastAsia" w:asciiTheme="majorEastAsia" w:hAnsiTheme="majorEastAsia" w:eastAsiaTheme="majorEastAsia"/>
          <w:color w:val="auto"/>
          <w:sz w:val="28"/>
          <w:szCs w:val="28"/>
          <w:highlight w:val="none"/>
          <w:lang w:val="en-US" w:eastAsia="zh-CN"/>
        </w:rPr>
        <w:t>线</w:t>
      </w:r>
      <w:r>
        <w:rPr>
          <w:rFonts w:asciiTheme="majorEastAsia" w:hAnsiTheme="majorEastAsia" w:eastAsiaTheme="majorEastAsia"/>
          <w:color w:val="auto"/>
          <w:sz w:val="28"/>
          <w:szCs w:val="28"/>
          <w:highlight w:val="none"/>
          <w:lang w:eastAsia="zh-CN"/>
        </w:rPr>
        <w:t>员，遵守甲方规章制度。</w:t>
      </w:r>
    </w:p>
    <w:p w14:paraId="583A673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highlight w:val="none"/>
          <w:lang w:eastAsia="zh-CN"/>
        </w:rPr>
      </w:pPr>
      <w:r>
        <w:rPr>
          <w:rFonts w:cs="Times New Roman" w:asciiTheme="majorEastAsia" w:hAnsiTheme="majorEastAsia" w:eastAsiaTheme="majorEastAsia"/>
          <w:color w:val="auto"/>
          <w:kern w:val="2"/>
          <w:sz w:val="28"/>
          <w:szCs w:val="28"/>
          <w:lang w:val="en-US" w:eastAsia="zh-CN" w:bidi="ar-SA"/>
        </w:rPr>
        <w:t>2.</w:t>
      </w:r>
      <w:r>
        <w:rPr>
          <w:rFonts w:asciiTheme="majorEastAsia" w:hAnsiTheme="majorEastAsia" w:eastAsiaTheme="majorEastAsia"/>
          <w:color w:val="auto"/>
          <w:sz w:val="28"/>
          <w:szCs w:val="28"/>
          <w:highlight w:val="none"/>
          <w:lang w:eastAsia="zh-CN"/>
        </w:rPr>
        <w:t>建立7×24小时值班备勤制度，确保席位不空岗、不漏接、不误判。</w:t>
      </w:r>
    </w:p>
    <w:p w14:paraId="539620F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highlight w:val="none"/>
          <w:lang w:eastAsia="zh-CN"/>
        </w:rPr>
      </w:pPr>
      <w:r>
        <w:rPr>
          <w:rFonts w:cs="Times New Roman" w:asciiTheme="majorEastAsia" w:hAnsiTheme="majorEastAsia" w:eastAsiaTheme="majorEastAsia"/>
          <w:color w:val="auto"/>
          <w:kern w:val="2"/>
          <w:sz w:val="28"/>
          <w:szCs w:val="28"/>
          <w:lang w:val="en-US" w:eastAsia="zh-CN" w:bidi="ar-SA"/>
        </w:rPr>
        <w:t>3.</w:t>
      </w:r>
      <w:r>
        <w:rPr>
          <w:rFonts w:asciiTheme="majorEastAsia" w:hAnsiTheme="majorEastAsia" w:eastAsiaTheme="majorEastAsia"/>
          <w:color w:val="auto"/>
          <w:sz w:val="28"/>
          <w:szCs w:val="28"/>
          <w:highlight w:val="none"/>
          <w:lang w:eastAsia="zh-CN"/>
        </w:rPr>
        <w:t>对甲方</w:t>
      </w:r>
      <w:r>
        <w:rPr>
          <w:rFonts w:hint="eastAsia" w:asciiTheme="majorEastAsia" w:hAnsiTheme="majorEastAsia" w:eastAsiaTheme="majorEastAsia"/>
          <w:color w:val="auto"/>
          <w:sz w:val="28"/>
          <w:szCs w:val="28"/>
          <w:highlight w:val="none"/>
          <w:lang w:eastAsia="zh-CN"/>
        </w:rPr>
        <w:t>提出的整改</w:t>
      </w:r>
      <w:r>
        <w:rPr>
          <w:rFonts w:asciiTheme="majorEastAsia" w:hAnsiTheme="majorEastAsia" w:eastAsiaTheme="majorEastAsia"/>
          <w:color w:val="auto"/>
          <w:sz w:val="28"/>
          <w:szCs w:val="28"/>
          <w:highlight w:val="none"/>
          <w:lang w:eastAsia="zh-CN"/>
        </w:rPr>
        <w:t>问题2小时内响应</w:t>
      </w:r>
      <w:r>
        <w:rPr>
          <w:rFonts w:hint="eastAsia" w:asciiTheme="majorEastAsia" w:hAnsiTheme="majorEastAsia" w:eastAsiaTheme="majorEastAsia"/>
          <w:color w:val="auto"/>
          <w:sz w:val="28"/>
          <w:szCs w:val="28"/>
          <w:highlight w:val="none"/>
          <w:lang w:eastAsia="zh-CN"/>
        </w:rPr>
        <w:t>，并在甲方要求整改时限内</w:t>
      </w:r>
      <w:r>
        <w:rPr>
          <w:rFonts w:asciiTheme="majorEastAsia" w:hAnsiTheme="majorEastAsia" w:eastAsiaTheme="majorEastAsia"/>
          <w:color w:val="auto"/>
          <w:sz w:val="28"/>
          <w:szCs w:val="28"/>
          <w:highlight w:val="none"/>
          <w:lang w:eastAsia="zh-CN"/>
        </w:rPr>
        <w:t>整改到位。</w:t>
      </w:r>
    </w:p>
    <w:p w14:paraId="6616B0E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highlight w:val="none"/>
          <w:lang w:eastAsia="zh-CN"/>
        </w:rPr>
      </w:pPr>
      <w:r>
        <w:rPr>
          <w:rFonts w:cs="Times New Roman" w:asciiTheme="majorEastAsia" w:hAnsiTheme="majorEastAsia" w:eastAsiaTheme="majorEastAsia"/>
          <w:color w:val="auto"/>
          <w:kern w:val="2"/>
          <w:sz w:val="28"/>
          <w:szCs w:val="28"/>
          <w:lang w:val="en-US" w:eastAsia="zh-CN" w:bidi="ar-SA"/>
        </w:rPr>
        <w:t>4.</w:t>
      </w:r>
      <w:r>
        <w:rPr>
          <w:rFonts w:asciiTheme="majorEastAsia" w:hAnsiTheme="majorEastAsia" w:eastAsiaTheme="majorEastAsia"/>
          <w:color w:val="auto"/>
          <w:sz w:val="28"/>
          <w:szCs w:val="28"/>
          <w:highlight w:val="none"/>
          <w:lang w:eastAsia="zh-CN"/>
        </w:rPr>
        <w:t>配合应急演练、重大安保、专项行动，服从统一调度。</w:t>
      </w:r>
    </w:p>
    <w:p w14:paraId="721EBE0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cs="Times New Roman" w:asciiTheme="majorEastAsia" w:hAnsiTheme="majorEastAsia" w:eastAsiaTheme="majorEastAsia"/>
          <w:color w:val="auto"/>
          <w:kern w:val="2"/>
          <w:sz w:val="28"/>
          <w:szCs w:val="28"/>
          <w:lang w:val="en-US" w:eastAsia="zh-CN" w:bidi="ar-SA"/>
        </w:rPr>
      </w:pPr>
      <w:r>
        <w:rPr>
          <w:rFonts w:cs="Times New Roman" w:asciiTheme="majorEastAsia" w:hAnsiTheme="majorEastAsia" w:eastAsiaTheme="majorEastAsia"/>
          <w:color w:val="auto"/>
          <w:kern w:val="2"/>
          <w:sz w:val="28"/>
          <w:szCs w:val="28"/>
          <w:lang w:val="en-US" w:eastAsia="zh-CN" w:bidi="ar-SA"/>
        </w:rPr>
        <w:t>5.</w:t>
      </w:r>
      <w:r>
        <w:rPr>
          <w:rFonts w:hint="eastAsia" w:cs="Times New Roman" w:asciiTheme="majorEastAsia" w:hAnsiTheme="majorEastAsia" w:eastAsiaTheme="majorEastAsia"/>
          <w:color w:val="auto"/>
          <w:kern w:val="2"/>
          <w:sz w:val="28"/>
          <w:szCs w:val="28"/>
          <w:lang w:val="en-US" w:eastAsia="zh-CN" w:bidi="ar-SA"/>
        </w:rPr>
        <w:t>乙方全权负责工作人员的招聘、面试、录用、离职等全部人事管理工作，与所有工作人员签订合法劳动/劳务合同，建立正式劳动关系，发放薪资、缴纳社保，承担全部用工风险、劳动纠纷及相关法律责任，甲方不承担任何用工主体责任。</w:t>
      </w:r>
    </w:p>
    <w:p w14:paraId="0F8CE23D">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b/>
          <w:bCs/>
          <w:color w:val="auto"/>
          <w:sz w:val="28"/>
          <w:szCs w:val="28"/>
          <w:lang w:eastAsia="zh-CN"/>
        </w:rPr>
      </w:pPr>
      <w:r>
        <w:rPr>
          <w:rFonts w:asciiTheme="majorEastAsia" w:hAnsiTheme="majorEastAsia" w:eastAsiaTheme="majorEastAsia"/>
          <w:b/>
          <w:bCs/>
          <w:color w:val="auto"/>
          <w:sz w:val="28"/>
          <w:szCs w:val="28"/>
          <w:lang w:eastAsia="zh-CN"/>
        </w:rPr>
        <w:t>第六条 服务质量与项目管理</w:t>
      </w:r>
    </w:p>
    <w:p w14:paraId="2ACFF59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1.</w:t>
      </w:r>
      <w:r>
        <w:rPr>
          <w:rFonts w:asciiTheme="majorEastAsia" w:hAnsiTheme="majorEastAsia" w:eastAsiaTheme="majorEastAsia"/>
          <w:color w:val="auto"/>
          <w:sz w:val="28"/>
          <w:szCs w:val="28"/>
          <w:lang w:eastAsia="zh-CN"/>
        </w:rPr>
        <w:t>乙方指定专职项目负责人与甲方对接，负责问题响应、进度管理、质量保障。</w:t>
      </w:r>
    </w:p>
    <w:p w14:paraId="070E250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2.</w:t>
      </w:r>
      <w:r>
        <w:rPr>
          <w:rFonts w:asciiTheme="majorEastAsia" w:hAnsiTheme="majorEastAsia" w:eastAsiaTheme="majorEastAsia"/>
          <w:color w:val="auto"/>
          <w:sz w:val="28"/>
          <w:szCs w:val="28"/>
          <w:lang w:eastAsia="zh-CN"/>
        </w:rPr>
        <w:t>乙方提交实施方案、岗位职责、操作流程、应急预案、培训计划、质量手册等全套文档。</w:t>
      </w:r>
    </w:p>
    <w:p w14:paraId="44AF890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3.</w:t>
      </w:r>
      <w:r>
        <w:rPr>
          <w:rFonts w:asciiTheme="majorEastAsia" w:hAnsiTheme="majorEastAsia" w:eastAsiaTheme="majorEastAsia"/>
          <w:color w:val="auto"/>
          <w:sz w:val="28"/>
          <w:szCs w:val="28"/>
          <w:lang w:eastAsia="zh-CN"/>
        </w:rPr>
        <w:t>甲方合理需求变更，不涉及费用增加的无偿执行；涉及费用的双方书面确认。</w:t>
      </w:r>
    </w:p>
    <w:p w14:paraId="1D29E68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4.</w:t>
      </w:r>
      <w:r>
        <w:rPr>
          <w:rFonts w:asciiTheme="majorEastAsia" w:hAnsiTheme="majorEastAsia" w:eastAsiaTheme="majorEastAsia"/>
          <w:color w:val="auto"/>
          <w:sz w:val="28"/>
          <w:szCs w:val="28"/>
          <w:lang w:eastAsia="zh-CN"/>
        </w:rPr>
        <w:t>服务质量指标：</w:t>
      </w:r>
      <w:r>
        <w:rPr>
          <w:rFonts w:hint="eastAsia" w:asciiTheme="majorEastAsia" w:hAnsiTheme="majorEastAsia" w:eastAsiaTheme="majorEastAsia"/>
          <w:color w:val="auto"/>
          <w:sz w:val="28"/>
          <w:szCs w:val="28"/>
          <w:lang w:val="en-US" w:eastAsia="zh-CN"/>
        </w:rPr>
        <w:t>见附件2：</w:t>
      </w:r>
    </w:p>
    <w:p w14:paraId="642EBEBD">
      <w:pPr>
        <w:keepNext w:val="0"/>
        <w:keepLines w:val="0"/>
        <w:pageBreakBefore w:val="0"/>
        <w:widowControl/>
        <w:kinsoku/>
        <w:wordWrap/>
        <w:overflowPunct/>
        <w:topLinePunct w:val="0"/>
        <w:autoSpaceDE/>
        <w:autoSpaceDN/>
        <w:bidi w:val="0"/>
        <w:adjustRightInd/>
        <w:snapToGrid/>
        <w:spacing w:after="0" w:line="360" w:lineRule="auto"/>
        <w:textAlignment w:val="auto"/>
        <w:outlineLvl w:val="9"/>
        <w:rPr>
          <w:rFonts w:asciiTheme="majorEastAsia" w:hAnsiTheme="majorEastAsia" w:eastAsiaTheme="majorEastAsia"/>
          <w:b/>
          <w:bCs/>
          <w:color w:val="auto"/>
          <w:sz w:val="28"/>
          <w:szCs w:val="28"/>
          <w:lang w:eastAsia="zh-CN"/>
        </w:rPr>
      </w:pPr>
      <w:r>
        <w:rPr>
          <w:rFonts w:asciiTheme="majorEastAsia" w:hAnsiTheme="majorEastAsia" w:eastAsiaTheme="majorEastAsia"/>
          <w:b/>
          <w:bCs/>
          <w:color w:val="auto"/>
          <w:sz w:val="28"/>
          <w:szCs w:val="28"/>
          <w:lang w:eastAsia="zh-CN"/>
        </w:rPr>
        <w:t>第七条 履约验收</w:t>
      </w:r>
    </w:p>
    <w:p w14:paraId="7058444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1.</w:t>
      </w:r>
      <w:r>
        <w:rPr>
          <w:rFonts w:asciiTheme="majorEastAsia" w:hAnsiTheme="majorEastAsia" w:eastAsiaTheme="majorEastAsia"/>
          <w:color w:val="auto"/>
          <w:sz w:val="28"/>
          <w:szCs w:val="28"/>
          <w:lang w:eastAsia="zh-CN"/>
        </w:rPr>
        <w:t>验收主体：甲方。</w:t>
      </w:r>
    </w:p>
    <w:p w14:paraId="053F6B8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2.</w:t>
      </w:r>
      <w:r>
        <w:rPr>
          <w:rFonts w:asciiTheme="majorEastAsia" w:hAnsiTheme="majorEastAsia" w:eastAsiaTheme="majorEastAsia"/>
          <w:color w:val="auto"/>
          <w:sz w:val="28"/>
          <w:szCs w:val="28"/>
          <w:lang w:eastAsia="zh-CN"/>
        </w:rPr>
        <w:t>乙方服务期满提交验收申请及全套资料。</w:t>
      </w:r>
    </w:p>
    <w:p w14:paraId="6D0CBB8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3.</w:t>
      </w:r>
      <w:r>
        <w:rPr>
          <w:rFonts w:asciiTheme="majorEastAsia" w:hAnsiTheme="majorEastAsia" w:eastAsiaTheme="majorEastAsia"/>
          <w:color w:val="auto"/>
          <w:sz w:val="28"/>
          <w:szCs w:val="28"/>
          <w:lang w:eastAsia="zh-CN"/>
        </w:rPr>
        <w:t>甲方收到申请后</w:t>
      </w:r>
      <w:r>
        <w:rPr>
          <w:rFonts w:hint="eastAsia" w:asciiTheme="majorEastAsia" w:hAnsiTheme="majorEastAsia" w:eastAsiaTheme="majorEastAsia"/>
          <w:b w:val="0"/>
          <w:bCs w:val="0"/>
          <w:color w:val="auto"/>
          <w:sz w:val="28"/>
          <w:szCs w:val="28"/>
          <w:u w:val="single"/>
          <w:lang w:val="en-US" w:eastAsia="zh-CN"/>
        </w:rPr>
        <w:t xml:space="preserve">    </w:t>
      </w:r>
      <w:r>
        <w:rPr>
          <w:rFonts w:asciiTheme="majorEastAsia" w:hAnsiTheme="majorEastAsia" w:eastAsiaTheme="majorEastAsia"/>
          <w:b w:val="0"/>
          <w:bCs w:val="0"/>
          <w:color w:val="auto"/>
          <w:sz w:val="28"/>
          <w:szCs w:val="28"/>
          <w:u w:val="none"/>
          <w:lang w:eastAsia="zh-CN"/>
        </w:rPr>
        <w:t>日内</w:t>
      </w:r>
      <w:r>
        <w:rPr>
          <w:rFonts w:asciiTheme="majorEastAsia" w:hAnsiTheme="majorEastAsia" w:eastAsiaTheme="majorEastAsia"/>
          <w:color w:val="auto"/>
          <w:sz w:val="28"/>
          <w:szCs w:val="28"/>
          <w:lang w:eastAsia="zh-CN"/>
        </w:rPr>
        <w:t>组织验收。</w:t>
      </w:r>
    </w:p>
    <w:p w14:paraId="1C83580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4.</w:t>
      </w:r>
      <w:r>
        <w:rPr>
          <w:rFonts w:asciiTheme="majorEastAsia" w:hAnsiTheme="majorEastAsia" w:eastAsiaTheme="majorEastAsia"/>
          <w:color w:val="auto"/>
          <w:sz w:val="28"/>
          <w:szCs w:val="28"/>
          <w:lang w:eastAsia="zh-CN"/>
        </w:rPr>
        <w:t>验收依据：招标文件、</w:t>
      </w:r>
      <w:r>
        <w:rPr>
          <w:rFonts w:hint="eastAsia" w:asciiTheme="majorEastAsia" w:hAnsiTheme="majorEastAsia" w:eastAsiaTheme="majorEastAsia"/>
          <w:color w:val="auto"/>
          <w:sz w:val="28"/>
          <w:szCs w:val="28"/>
          <w:lang w:val="en-US" w:eastAsia="zh-CN"/>
        </w:rPr>
        <w:t>投标</w:t>
      </w:r>
      <w:r>
        <w:rPr>
          <w:rFonts w:asciiTheme="majorEastAsia" w:hAnsiTheme="majorEastAsia" w:eastAsiaTheme="majorEastAsia"/>
          <w:color w:val="auto"/>
          <w:sz w:val="28"/>
          <w:szCs w:val="28"/>
          <w:lang w:eastAsia="zh-CN"/>
        </w:rPr>
        <w:t>文件、合同、服务标准、考核记录。</w:t>
      </w:r>
    </w:p>
    <w:p w14:paraId="75D4D5B0">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5.</w:t>
      </w:r>
      <w:r>
        <w:rPr>
          <w:rFonts w:asciiTheme="majorEastAsia" w:hAnsiTheme="majorEastAsia" w:eastAsiaTheme="majorEastAsia"/>
          <w:color w:val="auto"/>
          <w:sz w:val="28"/>
          <w:szCs w:val="28"/>
          <w:lang w:eastAsia="zh-CN"/>
        </w:rPr>
        <w:t>验收不合格，乙方限期整改；仍不合格，甲方有权不予验收、拒付尾款、追究违约责任。</w:t>
      </w:r>
    </w:p>
    <w:p w14:paraId="0116B648">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b/>
          <w:bCs/>
          <w:color w:val="auto"/>
          <w:sz w:val="28"/>
          <w:szCs w:val="28"/>
          <w:lang w:eastAsia="zh-CN"/>
        </w:rPr>
      </w:pPr>
      <w:r>
        <w:rPr>
          <w:rFonts w:asciiTheme="majorEastAsia" w:hAnsiTheme="majorEastAsia" w:eastAsiaTheme="majorEastAsia"/>
          <w:b/>
          <w:bCs/>
          <w:color w:val="auto"/>
          <w:sz w:val="28"/>
          <w:szCs w:val="28"/>
          <w:lang w:eastAsia="zh-CN"/>
        </w:rPr>
        <w:t>第八条 违约责任</w:t>
      </w:r>
    </w:p>
    <w:p w14:paraId="5F5B86A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1.</w:t>
      </w:r>
      <w:r>
        <w:rPr>
          <w:rFonts w:asciiTheme="majorEastAsia" w:hAnsiTheme="majorEastAsia" w:eastAsiaTheme="majorEastAsia"/>
          <w:color w:val="auto"/>
          <w:sz w:val="28"/>
          <w:szCs w:val="28"/>
          <w:lang w:eastAsia="zh-CN"/>
        </w:rPr>
        <w:t>服务不符合标准，甲方有权</w:t>
      </w:r>
      <w:r>
        <w:rPr>
          <w:rFonts w:hint="eastAsia" w:asciiTheme="majorEastAsia" w:hAnsiTheme="majorEastAsia" w:eastAsiaTheme="majorEastAsia"/>
          <w:color w:val="auto"/>
          <w:sz w:val="28"/>
          <w:szCs w:val="28"/>
          <w:lang w:val="en-US" w:eastAsia="zh-CN"/>
        </w:rPr>
        <w:t>责令限期整改</w:t>
      </w:r>
      <w:r>
        <w:rPr>
          <w:rFonts w:asciiTheme="majorEastAsia" w:hAnsiTheme="majorEastAsia" w:eastAsiaTheme="majorEastAsia"/>
          <w:color w:val="auto"/>
          <w:sz w:val="28"/>
          <w:szCs w:val="28"/>
          <w:lang w:eastAsia="zh-CN"/>
        </w:rPr>
        <w:t>，乙方支付合同总价</w:t>
      </w:r>
      <w:r>
        <w:rPr>
          <w:rFonts w:hint="eastAsia" w:asciiTheme="majorEastAsia" w:hAnsiTheme="majorEastAsia" w:eastAsiaTheme="majorEastAsia"/>
          <w:color w:val="auto"/>
          <w:sz w:val="28"/>
          <w:szCs w:val="28"/>
          <w:u w:val="single"/>
          <w:lang w:val="en-US" w:eastAsia="zh-CN"/>
        </w:rPr>
        <w:t xml:space="preserve">    </w:t>
      </w:r>
      <w:r>
        <w:rPr>
          <w:rFonts w:asciiTheme="majorEastAsia" w:hAnsiTheme="majorEastAsia" w:eastAsiaTheme="majorEastAsia"/>
          <w:color w:val="auto"/>
          <w:sz w:val="28"/>
          <w:szCs w:val="28"/>
          <w:lang w:eastAsia="zh-CN"/>
        </w:rPr>
        <w:t>%违约金；整改仍不合格，甲方解除合同，乙方退还全部已付款项并赔偿损失。</w:t>
      </w:r>
    </w:p>
    <w:p w14:paraId="5D88FAD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2.</w:t>
      </w:r>
      <w:r>
        <w:rPr>
          <w:rFonts w:asciiTheme="majorEastAsia" w:hAnsiTheme="majorEastAsia" w:eastAsiaTheme="majorEastAsia"/>
          <w:color w:val="auto"/>
          <w:sz w:val="28"/>
          <w:szCs w:val="28"/>
          <w:lang w:eastAsia="zh-CN"/>
        </w:rPr>
        <w:t>乙方逾期履约，每逾期一日按合同总价</w:t>
      </w:r>
      <w:r>
        <w:rPr>
          <w:rFonts w:hint="eastAsia" w:asciiTheme="majorEastAsia" w:hAnsiTheme="majorEastAsia" w:eastAsiaTheme="majorEastAsia"/>
          <w:color w:val="auto"/>
          <w:sz w:val="28"/>
          <w:szCs w:val="28"/>
          <w:u w:val="single"/>
          <w:lang w:val="en-US" w:eastAsia="zh-CN"/>
        </w:rPr>
        <w:t xml:space="preserve">  </w:t>
      </w:r>
      <w:r>
        <w:rPr>
          <w:rFonts w:asciiTheme="majorEastAsia" w:hAnsiTheme="majorEastAsia" w:eastAsiaTheme="majorEastAsia"/>
          <w:color w:val="auto"/>
          <w:sz w:val="28"/>
          <w:szCs w:val="28"/>
          <w:lang w:eastAsia="zh-CN"/>
        </w:rPr>
        <w:t>‰ 支付违约金；逾期超过</w:t>
      </w:r>
    </w:p>
    <w:p w14:paraId="55498BB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hint="eastAsia" w:asciiTheme="majorEastAsia" w:hAnsiTheme="majorEastAsia" w:eastAsiaTheme="majorEastAsia"/>
          <w:color w:val="auto"/>
          <w:sz w:val="28"/>
          <w:szCs w:val="28"/>
          <w:u w:val="single"/>
          <w:lang w:val="en-US" w:eastAsia="zh-CN"/>
        </w:rPr>
        <w:t xml:space="preserve">    </w:t>
      </w:r>
      <w:r>
        <w:rPr>
          <w:rFonts w:asciiTheme="majorEastAsia" w:hAnsiTheme="majorEastAsia" w:eastAsiaTheme="majorEastAsia"/>
          <w:color w:val="auto"/>
          <w:sz w:val="28"/>
          <w:szCs w:val="28"/>
          <w:lang w:eastAsia="zh-CN"/>
        </w:rPr>
        <w:t>日，甲方有权解除合同、拒付剩余款项。</w:t>
      </w:r>
    </w:p>
    <w:p w14:paraId="0182932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3.</w:t>
      </w:r>
      <w:r>
        <w:rPr>
          <w:rFonts w:asciiTheme="majorEastAsia" w:hAnsiTheme="majorEastAsia" w:eastAsiaTheme="majorEastAsia"/>
          <w:color w:val="auto"/>
          <w:sz w:val="28"/>
          <w:szCs w:val="28"/>
          <w:lang w:eastAsia="zh-CN"/>
        </w:rPr>
        <w:t>发生空岗、漏接警、误判、泄露信息、数据错误、舆情事件等，造成严重后果的，甲方</w:t>
      </w:r>
      <w:r>
        <w:rPr>
          <w:rFonts w:hint="eastAsia" w:asciiTheme="majorEastAsia" w:hAnsiTheme="majorEastAsia" w:eastAsiaTheme="majorEastAsia"/>
          <w:color w:val="auto"/>
          <w:sz w:val="28"/>
          <w:szCs w:val="28"/>
          <w:lang w:eastAsia="zh-CN"/>
        </w:rPr>
        <w:t>有权依据情节严重程度保留</w:t>
      </w:r>
      <w:r>
        <w:rPr>
          <w:rFonts w:asciiTheme="majorEastAsia" w:hAnsiTheme="majorEastAsia" w:eastAsiaTheme="majorEastAsia"/>
          <w:color w:val="auto"/>
          <w:sz w:val="28"/>
          <w:szCs w:val="28"/>
          <w:lang w:eastAsia="zh-CN"/>
        </w:rPr>
        <w:t>解除合同并追究法律责任。</w:t>
      </w:r>
    </w:p>
    <w:p w14:paraId="0953E93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4.</w:t>
      </w:r>
      <w:r>
        <w:rPr>
          <w:rFonts w:asciiTheme="majorEastAsia" w:hAnsiTheme="majorEastAsia" w:eastAsiaTheme="majorEastAsia"/>
          <w:color w:val="auto"/>
          <w:sz w:val="28"/>
          <w:szCs w:val="28"/>
          <w:lang w:eastAsia="zh-CN"/>
        </w:rPr>
        <w:t>甲方无正当理由逾期付款，每逾期一日按应付未付款项</w:t>
      </w:r>
      <w:r>
        <w:rPr>
          <w:rFonts w:hint="eastAsia" w:asciiTheme="majorEastAsia" w:hAnsiTheme="majorEastAsia" w:eastAsiaTheme="majorEastAsia"/>
          <w:color w:val="auto"/>
          <w:sz w:val="28"/>
          <w:szCs w:val="28"/>
          <w:u w:val="single"/>
          <w:lang w:val="en-US" w:eastAsia="zh-CN"/>
        </w:rPr>
        <w:t xml:space="preserve">    </w:t>
      </w:r>
      <w:r>
        <w:rPr>
          <w:rFonts w:asciiTheme="majorEastAsia" w:hAnsiTheme="majorEastAsia" w:eastAsiaTheme="majorEastAsia"/>
          <w:color w:val="auto"/>
          <w:sz w:val="28"/>
          <w:szCs w:val="28"/>
          <w:lang w:eastAsia="zh-CN"/>
        </w:rPr>
        <w:t xml:space="preserve">‰ </w:t>
      </w:r>
      <w:r>
        <w:rPr>
          <w:rFonts w:hint="eastAsia" w:asciiTheme="majorEastAsia" w:hAnsiTheme="majorEastAsia" w:eastAsiaTheme="majorEastAsia"/>
          <w:color w:val="auto"/>
          <w:sz w:val="28"/>
          <w:szCs w:val="28"/>
          <w:lang w:eastAsia="zh-CN"/>
        </w:rPr>
        <w:t>向乙方</w:t>
      </w:r>
      <w:r>
        <w:rPr>
          <w:rFonts w:asciiTheme="majorEastAsia" w:hAnsiTheme="majorEastAsia" w:eastAsiaTheme="majorEastAsia"/>
          <w:color w:val="auto"/>
          <w:sz w:val="28"/>
          <w:szCs w:val="28"/>
          <w:lang w:eastAsia="zh-CN"/>
        </w:rPr>
        <w:t>支付违约金。</w:t>
      </w:r>
    </w:p>
    <w:p w14:paraId="1E54CEB4">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b/>
          <w:bCs/>
          <w:color w:val="auto"/>
          <w:sz w:val="28"/>
          <w:szCs w:val="28"/>
          <w:lang w:eastAsia="zh-CN"/>
        </w:rPr>
      </w:pPr>
      <w:r>
        <w:rPr>
          <w:rFonts w:asciiTheme="majorEastAsia" w:hAnsiTheme="majorEastAsia" w:eastAsiaTheme="majorEastAsia"/>
          <w:b/>
          <w:bCs/>
          <w:color w:val="auto"/>
          <w:sz w:val="28"/>
          <w:szCs w:val="28"/>
          <w:lang w:eastAsia="zh-CN"/>
        </w:rPr>
        <w:t>第九条 保密与数据安全</w:t>
      </w:r>
    </w:p>
    <w:p w14:paraId="368AA38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1.</w:t>
      </w:r>
      <w:r>
        <w:rPr>
          <w:rFonts w:asciiTheme="majorEastAsia" w:hAnsiTheme="majorEastAsia" w:eastAsiaTheme="majorEastAsia"/>
          <w:color w:val="auto"/>
          <w:sz w:val="28"/>
          <w:szCs w:val="28"/>
          <w:lang w:eastAsia="zh-CN"/>
        </w:rPr>
        <w:t>乙方对工作秘密、公民个人信息、警务数据承担终身保密义务。</w:t>
      </w:r>
    </w:p>
    <w:p w14:paraId="7FB097E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2.</w:t>
      </w:r>
      <w:r>
        <w:rPr>
          <w:rFonts w:asciiTheme="majorEastAsia" w:hAnsiTheme="majorEastAsia" w:eastAsiaTheme="majorEastAsia"/>
          <w:color w:val="auto"/>
          <w:sz w:val="28"/>
          <w:szCs w:val="28"/>
          <w:lang w:eastAsia="zh-CN"/>
        </w:rPr>
        <w:t>所有驻场人员必须签署《保密协议》，严禁复制、拍摄、存储、传播、出售任何敏感信息。</w:t>
      </w:r>
    </w:p>
    <w:p w14:paraId="34C18B8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3.</w:t>
      </w:r>
      <w:r>
        <w:rPr>
          <w:rFonts w:asciiTheme="majorEastAsia" w:hAnsiTheme="majorEastAsia" w:eastAsiaTheme="majorEastAsia"/>
          <w:color w:val="auto"/>
          <w:sz w:val="28"/>
          <w:szCs w:val="28"/>
          <w:lang w:eastAsia="zh-CN"/>
        </w:rPr>
        <w:t>发生信息泄露、数据安全事件，乙方</w:t>
      </w:r>
      <w:r>
        <w:rPr>
          <w:rFonts w:hint="eastAsia" w:asciiTheme="majorEastAsia" w:hAnsiTheme="majorEastAsia" w:eastAsiaTheme="majorEastAsia"/>
          <w:color w:val="auto"/>
          <w:sz w:val="28"/>
          <w:szCs w:val="28"/>
          <w:lang w:eastAsia="zh-CN"/>
        </w:rPr>
        <w:t>2</w:t>
      </w:r>
      <w:r>
        <w:rPr>
          <w:rFonts w:asciiTheme="majorEastAsia" w:hAnsiTheme="majorEastAsia" w:eastAsiaTheme="majorEastAsia"/>
          <w:color w:val="auto"/>
          <w:sz w:val="28"/>
          <w:szCs w:val="28"/>
          <w:lang w:eastAsia="zh-CN"/>
        </w:rPr>
        <w:t>小时内书面报告甲方，立即止损，承担全部责任与损失。</w:t>
      </w:r>
    </w:p>
    <w:p w14:paraId="0011D26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4.</w:t>
      </w:r>
      <w:r>
        <w:rPr>
          <w:rFonts w:asciiTheme="majorEastAsia" w:hAnsiTheme="majorEastAsia" w:eastAsiaTheme="majorEastAsia"/>
          <w:color w:val="auto"/>
          <w:sz w:val="28"/>
          <w:szCs w:val="28"/>
          <w:lang w:eastAsia="zh-CN"/>
        </w:rPr>
        <w:t>合同终止后，乙方无条件交还全部资料、数据、账号权限，不得留存副本。</w:t>
      </w:r>
    </w:p>
    <w:p w14:paraId="46C224B1">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b/>
          <w:bCs/>
          <w:color w:val="auto"/>
          <w:sz w:val="28"/>
          <w:szCs w:val="28"/>
          <w:lang w:eastAsia="zh-CN"/>
        </w:rPr>
      </w:pPr>
      <w:r>
        <w:rPr>
          <w:rFonts w:asciiTheme="majorEastAsia" w:hAnsiTheme="majorEastAsia" w:eastAsiaTheme="majorEastAsia"/>
          <w:b/>
          <w:bCs/>
          <w:color w:val="auto"/>
          <w:sz w:val="28"/>
          <w:szCs w:val="28"/>
          <w:lang w:eastAsia="zh-CN"/>
        </w:rPr>
        <w:t>第十条 不可抗力</w:t>
      </w:r>
    </w:p>
    <w:p w14:paraId="210681A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1.</w:t>
      </w:r>
      <w:r>
        <w:rPr>
          <w:rFonts w:asciiTheme="majorEastAsia" w:hAnsiTheme="majorEastAsia" w:eastAsiaTheme="majorEastAsia"/>
          <w:color w:val="auto"/>
          <w:sz w:val="28"/>
          <w:szCs w:val="28"/>
          <w:lang w:eastAsia="zh-CN"/>
        </w:rPr>
        <w:t>因不可抗力无法履约，受影响一方及时通知对方并提供证明，履约期限顺延。</w:t>
      </w:r>
    </w:p>
    <w:p w14:paraId="11A7D11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2.</w:t>
      </w:r>
      <w:r>
        <w:rPr>
          <w:rFonts w:asciiTheme="majorEastAsia" w:hAnsiTheme="majorEastAsia" w:eastAsiaTheme="majorEastAsia"/>
          <w:color w:val="auto"/>
          <w:sz w:val="28"/>
          <w:szCs w:val="28"/>
          <w:lang w:eastAsia="zh-CN"/>
        </w:rPr>
        <w:t>不可抗力持续超过</w:t>
      </w:r>
      <w:r>
        <w:rPr>
          <w:rFonts w:hint="eastAsia" w:asciiTheme="majorEastAsia" w:hAnsiTheme="majorEastAsia" w:eastAsiaTheme="majorEastAsia"/>
          <w:color w:val="auto"/>
          <w:sz w:val="28"/>
          <w:szCs w:val="28"/>
          <w:u w:val="single"/>
          <w:lang w:val="en-US" w:eastAsia="zh-CN"/>
        </w:rPr>
        <w:t xml:space="preserve">   </w:t>
      </w:r>
      <w:r>
        <w:rPr>
          <w:rFonts w:asciiTheme="majorEastAsia" w:hAnsiTheme="majorEastAsia" w:eastAsiaTheme="majorEastAsia"/>
          <w:color w:val="auto"/>
          <w:sz w:val="28"/>
          <w:szCs w:val="28"/>
          <w:lang w:eastAsia="zh-CN"/>
        </w:rPr>
        <w:t>日，双方协商继续履行或解除合同，互不承担违约责任。</w:t>
      </w:r>
    </w:p>
    <w:p w14:paraId="6E0DEDEB">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b/>
          <w:bCs/>
          <w:color w:val="auto"/>
          <w:sz w:val="28"/>
          <w:szCs w:val="28"/>
          <w:lang w:eastAsia="zh-CN"/>
        </w:rPr>
      </w:pPr>
      <w:r>
        <w:rPr>
          <w:rFonts w:asciiTheme="majorEastAsia" w:hAnsiTheme="majorEastAsia" w:eastAsiaTheme="majorEastAsia"/>
          <w:b/>
          <w:bCs/>
          <w:color w:val="auto"/>
          <w:sz w:val="28"/>
          <w:szCs w:val="28"/>
          <w:lang w:eastAsia="zh-CN"/>
        </w:rPr>
        <w:t>第十一条 争议解决</w:t>
      </w:r>
    </w:p>
    <w:p w14:paraId="276D4CE7">
      <w:pPr>
        <w:keepNext w:val="0"/>
        <w:keepLines w:val="0"/>
        <w:pageBreakBefore w:val="0"/>
        <w:widowControl/>
        <w:kinsoku/>
        <w:wordWrap/>
        <w:overflowPunct/>
        <w:topLinePunct w:val="0"/>
        <w:autoSpaceDE/>
        <w:autoSpaceDN/>
        <w:bidi w:val="0"/>
        <w:adjustRightInd/>
        <w:snapToGrid/>
        <w:spacing w:after="0" w:line="360" w:lineRule="auto"/>
        <w:ind w:firstLine="560" w:firstLineChars="20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本合同履行中发生争议，双方协商解决；协商不成，依法向甲方所在地人民法院提起诉讼。</w:t>
      </w:r>
    </w:p>
    <w:p w14:paraId="272C0F90">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b/>
          <w:bCs/>
          <w:color w:val="auto"/>
          <w:sz w:val="28"/>
          <w:szCs w:val="28"/>
          <w:lang w:eastAsia="zh-CN"/>
        </w:rPr>
      </w:pPr>
      <w:r>
        <w:rPr>
          <w:rFonts w:asciiTheme="majorEastAsia" w:hAnsiTheme="majorEastAsia" w:eastAsiaTheme="majorEastAsia"/>
          <w:b/>
          <w:bCs/>
          <w:color w:val="auto"/>
          <w:sz w:val="28"/>
          <w:szCs w:val="28"/>
          <w:lang w:eastAsia="zh-CN"/>
        </w:rPr>
        <w:t>第十二条 合同生效与续签</w:t>
      </w:r>
    </w:p>
    <w:p w14:paraId="605DD26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1.</w:t>
      </w:r>
      <w:r>
        <w:rPr>
          <w:rFonts w:asciiTheme="majorEastAsia" w:hAnsiTheme="majorEastAsia" w:eastAsiaTheme="majorEastAsia"/>
          <w:color w:val="auto"/>
          <w:sz w:val="28"/>
          <w:szCs w:val="28"/>
          <w:lang w:eastAsia="zh-CN"/>
        </w:rPr>
        <w:t>本合同自双方签字盖章之日起生效。</w:t>
      </w:r>
    </w:p>
    <w:p w14:paraId="6D54616A">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2.</w:t>
      </w:r>
      <w:r>
        <w:rPr>
          <w:rFonts w:asciiTheme="majorEastAsia" w:hAnsiTheme="majorEastAsia" w:eastAsiaTheme="majorEastAsia"/>
          <w:color w:val="auto"/>
          <w:sz w:val="28"/>
          <w:szCs w:val="28"/>
          <w:lang w:eastAsia="zh-CN"/>
        </w:rPr>
        <w:t>补充、变更须采用书面形式，追加服务金额不得超过原合同10%。</w:t>
      </w:r>
    </w:p>
    <w:p w14:paraId="592A14D8">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b/>
          <w:bCs/>
          <w:color w:val="auto"/>
          <w:sz w:val="28"/>
          <w:szCs w:val="28"/>
          <w:lang w:eastAsia="zh-CN"/>
        </w:rPr>
      </w:pPr>
      <w:r>
        <w:rPr>
          <w:rFonts w:asciiTheme="majorEastAsia" w:hAnsiTheme="majorEastAsia" w:eastAsiaTheme="majorEastAsia"/>
          <w:b/>
          <w:bCs/>
          <w:color w:val="auto"/>
          <w:sz w:val="28"/>
          <w:szCs w:val="28"/>
          <w:lang w:eastAsia="zh-CN"/>
        </w:rPr>
        <w:t>第十三条 其他</w:t>
      </w:r>
    </w:p>
    <w:p w14:paraId="3E6E8DB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1.</w:t>
      </w:r>
      <w:r>
        <w:rPr>
          <w:rFonts w:asciiTheme="majorEastAsia" w:hAnsiTheme="majorEastAsia" w:eastAsiaTheme="majorEastAsia"/>
          <w:color w:val="auto"/>
          <w:sz w:val="28"/>
          <w:szCs w:val="28"/>
          <w:lang w:eastAsia="zh-CN"/>
        </w:rPr>
        <w:t>本合同未尽事宜按法律法规及政府采购规定执行。</w:t>
      </w:r>
    </w:p>
    <w:p w14:paraId="323E965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2.</w:t>
      </w:r>
      <w:r>
        <w:rPr>
          <w:rFonts w:hint="eastAsia" w:asciiTheme="majorEastAsia" w:hAnsiTheme="majorEastAsia" w:eastAsiaTheme="majorEastAsia"/>
          <w:color w:val="auto"/>
          <w:sz w:val="28"/>
          <w:szCs w:val="28"/>
          <w:lang w:val="en-US" w:eastAsia="zh-CN"/>
        </w:rPr>
        <w:t>招标</w:t>
      </w:r>
      <w:r>
        <w:rPr>
          <w:rFonts w:hint="eastAsia" w:asciiTheme="majorEastAsia" w:hAnsiTheme="majorEastAsia" w:eastAsiaTheme="majorEastAsia"/>
          <w:color w:val="auto"/>
          <w:sz w:val="28"/>
          <w:szCs w:val="28"/>
          <w:lang w:eastAsia="zh-CN"/>
        </w:rPr>
        <w:t>文件、</w:t>
      </w:r>
      <w:r>
        <w:rPr>
          <w:rFonts w:hint="eastAsia" w:asciiTheme="majorEastAsia" w:hAnsiTheme="majorEastAsia" w:eastAsiaTheme="majorEastAsia"/>
          <w:color w:val="auto"/>
          <w:sz w:val="28"/>
          <w:szCs w:val="28"/>
          <w:lang w:val="en-US" w:eastAsia="zh-CN"/>
        </w:rPr>
        <w:t>投标</w:t>
      </w:r>
      <w:r>
        <w:rPr>
          <w:rFonts w:hint="eastAsia" w:asciiTheme="majorEastAsia" w:hAnsiTheme="majorEastAsia" w:eastAsiaTheme="majorEastAsia"/>
          <w:color w:val="auto"/>
          <w:sz w:val="28"/>
          <w:szCs w:val="28"/>
          <w:lang w:eastAsia="zh-CN"/>
        </w:rPr>
        <w:t>文件、</w:t>
      </w:r>
      <w:r>
        <w:rPr>
          <w:rFonts w:hint="eastAsia" w:asciiTheme="majorEastAsia" w:hAnsiTheme="majorEastAsia" w:eastAsiaTheme="majorEastAsia"/>
          <w:color w:val="auto"/>
          <w:sz w:val="28"/>
          <w:szCs w:val="28"/>
          <w:lang w:val="en-US" w:eastAsia="zh-CN"/>
        </w:rPr>
        <w:t>澄清资料、评审资料、</w:t>
      </w:r>
      <w:r>
        <w:rPr>
          <w:rFonts w:hint="eastAsia" w:asciiTheme="majorEastAsia" w:hAnsiTheme="majorEastAsia" w:eastAsiaTheme="majorEastAsia"/>
          <w:color w:val="auto"/>
          <w:sz w:val="28"/>
          <w:szCs w:val="28"/>
          <w:lang w:eastAsia="zh-CN"/>
        </w:rPr>
        <w:t>国家相应的标准、规范等为合同</w:t>
      </w:r>
      <w:r>
        <w:rPr>
          <w:rFonts w:hint="eastAsia" w:asciiTheme="majorEastAsia" w:hAnsiTheme="majorEastAsia" w:eastAsiaTheme="majorEastAsia"/>
          <w:color w:val="auto"/>
          <w:sz w:val="28"/>
          <w:szCs w:val="28"/>
          <w:lang w:val="en-US" w:eastAsia="zh-CN"/>
        </w:rPr>
        <w:t>的必要构件</w:t>
      </w:r>
      <w:r>
        <w:rPr>
          <w:rFonts w:asciiTheme="majorEastAsia" w:hAnsiTheme="majorEastAsia" w:eastAsiaTheme="majorEastAsia"/>
          <w:color w:val="auto"/>
          <w:sz w:val="28"/>
          <w:szCs w:val="28"/>
          <w:lang w:eastAsia="zh-CN"/>
        </w:rPr>
        <w:t>，具有同等法律效力。</w:t>
      </w:r>
    </w:p>
    <w:p w14:paraId="261B708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sz w:val="28"/>
          <w:szCs w:val="28"/>
          <w:lang w:eastAsia="zh-CN"/>
        </w:rPr>
      </w:pPr>
      <w:r>
        <w:rPr>
          <w:rFonts w:cs="Times New Roman" w:asciiTheme="majorEastAsia" w:hAnsiTheme="majorEastAsia" w:eastAsiaTheme="majorEastAsia"/>
          <w:color w:val="auto"/>
          <w:kern w:val="2"/>
          <w:sz w:val="28"/>
          <w:szCs w:val="28"/>
          <w:lang w:val="en-US" w:eastAsia="zh-CN" w:bidi="ar-SA"/>
        </w:rPr>
        <w:t>3.</w:t>
      </w:r>
      <w:r>
        <w:rPr>
          <w:rFonts w:asciiTheme="majorEastAsia" w:hAnsiTheme="majorEastAsia" w:eastAsiaTheme="majorEastAsia"/>
          <w:color w:val="auto"/>
          <w:sz w:val="28"/>
          <w:szCs w:val="28"/>
          <w:lang w:eastAsia="zh-CN"/>
        </w:rPr>
        <w:t>本合同一式</w:t>
      </w:r>
      <w:r>
        <w:rPr>
          <w:rFonts w:hint="eastAsia" w:asciiTheme="majorEastAsia" w:hAnsiTheme="majorEastAsia" w:eastAsiaTheme="majorEastAsia"/>
          <w:color w:val="auto"/>
          <w:sz w:val="28"/>
          <w:szCs w:val="28"/>
          <w:lang w:val="en-US" w:eastAsia="zh-CN"/>
        </w:rPr>
        <w:t>肆</w:t>
      </w:r>
      <w:r>
        <w:rPr>
          <w:rFonts w:asciiTheme="majorEastAsia" w:hAnsiTheme="majorEastAsia" w:eastAsiaTheme="majorEastAsia"/>
          <w:color w:val="auto"/>
          <w:sz w:val="28"/>
          <w:szCs w:val="28"/>
          <w:lang w:eastAsia="zh-CN"/>
        </w:rPr>
        <w:t>份，甲方执</w:t>
      </w:r>
      <w:r>
        <w:rPr>
          <w:rFonts w:hint="eastAsia" w:asciiTheme="majorEastAsia" w:hAnsiTheme="majorEastAsia" w:eastAsiaTheme="majorEastAsia"/>
          <w:color w:val="auto"/>
          <w:sz w:val="28"/>
          <w:szCs w:val="28"/>
          <w:lang w:val="en-US" w:eastAsia="zh-CN"/>
        </w:rPr>
        <w:t>贰</w:t>
      </w:r>
      <w:r>
        <w:rPr>
          <w:rFonts w:asciiTheme="majorEastAsia" w:hAnsiTheme="majorEastAsia" w:eastAsiaTheme="majorEastAsia"/>
          <w:color w:val="auto"/>
          <w:sz w:val="28"/>
          <w:szCs w:val="28"/>
          <w:lang w:eastAsia="zh-CN"/>
        </w:rPr>
        <w:t>份，乙方执</w:t>
      </w:r>
      <w:r>
        <w:rPr>
          <w:rFonts w:hint="eastAsia" w:asciiTheme="majorEastAsia" w:hAnsiTheme="majorEastAsia" w:eastAsiaTheme="majorEastAsia"/>
          <w:color w:val="auto"/>
          <w:sz w:val="28"/>
          <w:szCs w:val="28"/>
          <w:lang w:val="en-US" w:eastAsia="zh-CN"/>
        </w:rPr>
        <w:t>贰</w:t>
      </w:r>
      <w:r>
        <w:rPr>
          <w:rFonts w:asciiTheme="majorEastAsia" w:hAnsiTheme="majorEastAsia" w:eastAsiaTheme="majorEastAsia"/>
          <w:color w:val="auto"/>
          <w:sz w:val="28"/>
          <w:szCs w:val="28"/>
          <w:lang w:eastAsia="zh-CN"/>
        </w:rPr>
        <w:t>份，具有同等法律效力。</w:t>
      </w:r>
    </w:p>
    <w:p w14:paraId="2DF4B078">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hint="eastAsia" w:asciiTheme="majorEastAsia" w:hAnsiTheme="majorEastAsia" w:eastAsiaTheme="majorEastAsia"/>
          <w:color w:val="auto"/>
          <w:sz w:val="28"/>
          <w:szCs w:val="28"/>
          <w:lang w:eastAsia="zh-CN"/>
        </w:rPr>
      </w:pPr>
    </w:p>
    <w:p w14:paraId="522958B4">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hint="eastAsia" w:asciiTheme="majorEastAsia" w:hAnsiTheme="majorEastAsia" w:eastAsiaTheme="majorEastAsia"/>
          <w:color w:val="auto"/>
          <w:sz w:val="28"/>
          <w:szCs w:val="28"/>
          <w:lang w:eastAsia="zh-CN"/>
        </w:rPr>
      </w:pPr>
    </w:p>
    <w:p w14:paraId="518D450A">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hint="eastAsia" w:asciiTheme="majorEastAsia" w:hAnsiTheme="majorEastAsia" w:eastAsiaTheme="majorEastAsia"/>
          <w:color w:val="auto"/>
          <w:sz w:val="28"/>
          <w:szCs w:val="28"/>
          <w:lang w:eastAsia="zh-CN"/>
        </w:rPr>
      </w:pPr>
    </w:p>
    <w:p w14:paraId="1D32DE12">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hint="eastAsia" w:asciiTheme="majorEastAsia" w:hAnsiTheme="majorEastAsia" w:eastAsiaTheme="majorEastAsia"/>
          <w:color w:val="auto"/>
          <w:sz w:val="28"/>
          <w:szCs w:val="28"/>
          <w:lang w:eastAsia="zh-CN"/>
        </w:rPr>
      </w:pPr>
      <w:r>
        <w:rPr>
          <w:rFonts w:hint="eastAsia" w:asciiTheme="majorEastAsia" w:hAnsiTheme="majorEastAsia" w:eastAsiaTheme="majorEastAsia"/>
          <w:color w:val="auto"/>
          <w:sz w:val="28"/>
          <w:szCs w:val="28"/>
          <w:lang w:eastAsia="zh-CN"/>
        </w:rPr>
        <w:t>附件1</w:t>
      </w:r>
      <w:r>
        <w:rPr>
          <w:rFonts w:hint="eastAsia" w:asciiTheme="majorEastAsia" w:hAnsiTheme="majorEastAsia" w:eastAsiaTheme="majorEastAsia"/>
          <w:color w:val="auto"/>
          <w:sz w:val="28"/>
          <w:szCs w:val="28"/>
          <w:lang w:val="en-US" w:eastAsia="zh-CN"/>
        </w:rPr>
        <w:t>:</w:t>
      </w:r>
      <w:r>
        <w:rPr>
          <w:rFonts w:hint="eastAsia" w:asciiTheme="majorEastAsia" w:hAnsiTheme="majorEastAsia" w:eastAsiaTheme="majorEastAsia"/>
          <w:color w:val="auto"/>
          <w:sz w:val="28"/>
          <w:szCs w:val="28"/>
          <w:lang w:eastAsia="zh-CN"/>
        </w:rPr>
        <w:t>信息化合作企业安全保密承诺书</w:t>
      </w:r>
    </w:p>
    <w:p w14:paraId="0C74B571">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hint="default" w:asciiTheme="majorEastAsia" w:hAnsiTheme="majorEastAsia" w:eastAsiaTheme="majorEastAsia"/>
          <w:color w:val="auto"/>
          <w:sz w:val="28"/>
          <w:szCs w:val="28"/>
          <w:lang w:val="en-US" w:eastAsia="zh-CN"/>
        </w:rPr>
      </w:pPr>
      <w:r>
        <w:rPr>
          <w:rFonts w:hint="eastAsia" w:asciiTheme="majorEastAsia" w:hAnsiTheme="majorEastAsia" w:eastAsiaTheme="majorEastAsia"/>
          <w:color w:val="auto"/>
          <w:sz w:val="28"/>
          <w:szCs w:val="28"/>
          <w:lang w:eastAsia="zh-CN"/>
        </w:rPr>
        <w:t>附件</w:t>
      </w:r>
      <w:r>
        <w:rPr>
          <w:rFonts w:hint="eastAsia" w:asciiTheme="majorEastAsia" w:hAnsiTheme="majorEastAsia" w:eastAsiaTheme="majorEastAsia"/>
          <w:color w:val="auto"/>
          <w:sz w:val="28"/>
          <w:szCs w:val="28"/>
          <w:lang w:val="en-US" w:eastAsia="zh-CN"/>
        </w:rPr>
        <w:t>2:绩效考核指标</w:t>
      </w:r>
    </w:p>
    <w:p w14:paraId="59C7329B">
      <w:pPr>
        <w:keepNext w:val="0"/>
        <w:keepLines w:val="0"/>
        <w:pageBreakBefore w:val="0"/>
        <w:widowControl/>
        <w:kinsoku/>
        <w:wordWrap/>
        <w:overflowPunct/>
        <w:topLinePunct w:val="0"/>
        <w:autoSpaceDE/>
        <w:autoSpaceDN/>
        <w:bidi w:val="0"/>
        <w:adjustRightInd/>
        <w:snapToGrid/>
        <w:spacing w:after="0" w:line="360" w:lineRule="auto"/>
        <w:ind w:firstLine="420" w:firstLineChars="0"/>
        <w:textAlignment w:val="auto"/>
        <w:outlineLvl w:val="9"/>
        <w:rPr>
          <w:rFonts w:asciiTheme="majorEastAsia" w:hAnsiTheme="majorEastAsia" w:eastAsiaTheme="majorEastAsia"/>
          <w:color w:val="auto"/>
          <w:kern w:val="36"/>
          <w:sz w:val="28"/>
          <w:szCs w:val="28"/>
          <w:lang w:eastAsia="zh-CN"/>
        </w:rPr>
      </w:pPr>
      <w:r>
        <w:rPr>
          <w:rFonts w:hint="eastAsia" w:asciiTheme="majorEastAsia" w:hAnsiTheme="majorEastAsia" w:eastAsiaTheme="majorEastAsia"/>
          <w:color w:val="auto"/>
          <w:sz w:val="28"/>
          <w:szCs w:val="28"/>
          <w:lang w:eastAsia="zh-CN"/>
        </w:rPr>
        <w:t>附件</w:t>
      </w:r>
      <w:r>
        <w:rPr>
          <w:rFonts w:hint="eastAsia" w:asciiTheme="majorEastAsia" w:hAnsiTheme="majorEastAsia" w:eastAsiaTheme="majorEastAsia"/>
          <w:color w:val="auto"/>
          <w:kern w:val="36"/>
          <w:sz w:val="28"/>
          <w:szCs w:val="28"/>
          <w:lang w:val="en-US" w:eastAsia="zh-CN"/>
        </w:rPr>
        <w:t>3:</w:t>
      </w:r>
      <w:r>
        <w:rPr>
          <w:rFonts w:asciiTheme="majorEastAsia" w:hAnsiTheme="majorEastAsia" w:eastAsiaTheme="majorEastAsia"/>
          <w:color w:val="auto"/>
          <w:kern w:val="36"/>
          <w:sz w:val="28"/>
          <w:szCs w:val="28"/>
          <w:lang w:eastAsia="zh-CN"/>
        </w:rPr>
        <w:t>履约验收表</w:t>
      </w:r>
    </w:p>
    <w:p w14:paraId="633D2A48">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（以下无正文）</w:t>
      </w:r>
    </w:p>
    <w:p w14:paraId="6CB4CABD">
      <w:pPr>
        <w:kinsoku/>
        <w:autoSpaceDE/>
        <w:autoSpaceDN/>
        <w:adjustRightInd/>
        <w:snapToGrid/>
        <w:spacing w:line="360" w:lineRule="atLeast"/>
        <w:textAlignment w:val="auto"/>
        <w:outlineLvl w:val="9"/>
        <w:rPr>
          <w:rFonts w:asciiTheme="majorEastAsia" w:hAnsiTheme="majorEastAsia" w:eastAsiaTheme="majorEastAsia"/>
          <w:color w:val="auto"/>
          <w:sz w:val="24"/>
          <w:szCs w:val="24"/>
          <w:lang w:eastAsia="zh-CN"/>
        </w:rPr>
      </w:pPr>
    </w:p>
    <w:p w14:paraId="17739BEC">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甲方（盖章）：__________________</w:t>
      </w:r>
    </w:p>
    <w:p w14:paraId="088C4F0A">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法定代表人 / 授权代理人：__________</w:t>
      </w:r>
    </w:p>
    <w:p w14:paraId="1D767FCC">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日期：______年____月____日</w:t>
      </w:r>
    </w:p>
    <w:p w14:paraId="4953E5D1">
      <w:pPr>
        <w:kinsoku/>
        <w:autoSpaceDE/>
        <w:autoSpaceDN/>
        <w:adjustRightInd/>
        <w:snapToGrid/>
        <w:spacing w:line="360" w:lineRule="atLeast"/>
        <w:textAlignment w:val="auto"/>
        <w:outlineLvl w:val="9"/>
        <w:rPr>
          <w:rFonts w:asciiTheme="majorEastAsia" w:hAnsiTheme="majorEastAsia" w:eastAsiaTheme="majorEastAsia"/>
          <w:color w:val="auto"/>
          <w:sz w:val="20"/>
          <w:szCs w:val="20"/>
          <w:lang w:eastAsia="zh-CN"/>
        </w:rPr>
      </w:pPr>
    </w:p>
    <w:p w14:paraId="54B3E045">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p>
    <w:p w14:paraId="6684BD01">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乙方（盖章）：__________________</w:t>
      </w:r>
    </w:p>
    <w:p w14:paraId="5E1BDB39">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法定代表人 / 授权代理人：__________</w:t>
      </w:r>
    </w:p>
    <w:p w14:paraId="3CCA8E20">
      <w:pPr>
        <w:kinsoku/>
        <w:autoSpaceDE/>
        <w:autoSpaceDN/>
        <w:adjustRightInd/>
        <w:snapToGrid/>
        <w:spacing w:line="360" w:lineRule="atLeast"/>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日期：______年____月____日</w:t>
      </w:r>
    </w:p>
    <w:p w14:paraId="1A8AAEC4">
      <w:pPr>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br w:type="page"/>
      </w:r>
    </w:p>
    <w:p w14:paraId="149B2D18">
      <w:pPr>
        <w:keepNext w:val="0"/>
        <w:keepLines w:val="0"/>
        <w:pageBreakBefore w:val="0"/>
        <w:widowControl/>
        <w:tabs>
          <w:tab w:val="left" w:pos="6275"/>
        </w:tabs>
        <w:wordWrap/>
        <w:overflowPunct/>
        <w:topLinePunct w:val="0"/>
        <w:bidi w:val="0"/>
        <w:spacing w:after="0" w:line="360" w:lineRule="auto"/>
        <w:outlineLvl w:val="9"/>
        <w:rPr>
          <w:rFonts w:hint="eastAsia" w:ascii="宋体" w:hAnsi="宋体" w:eastAsia="宋体" w:cs="宋体"/>
          <w:b/>
          <w:bCs/>
          <w:color w:val="auto"/>
          <w:kern w:val="36"/>
          <w:sz w:val="28"/>
          <w:szCs w:val="28"/>
          <w:lang w:eastAsia="zh-CN"/>
        </w:rPr>
      </w:pPr>
      <w:r>
        <w:rPr>
          <w:rFonts w:hint="eastAsia" w:ascii="宋体" w:hAnsi="宋体" w:eastAsia="宋体" w:cs="宋体"/>
          <w:b/>
          <w:bCs/>
          <w:color w:val="auto"/>
          <w:kern w:val="36"/>
          <w:sz w:val="28"/>
          <w:szCs w:val="28"/>
          <w:lang w:eastAsia="zh-CN"/>
        </w:rPr>
        <w:t>附件1：信息化合作企业安全保密承诺书</w:t>
      </w:r>
    </w:p>
    <w:p w14:paraId="05D047E2">
      <w:pPr>
        <w:kinsoku/>
        <w:autoSpaceDE/>
        <w:autoSpaceDN/>
        <w:adjustRightInd/>
        <w:snapToGrid/>
        <w:spacing w:after="260" w:line="240" w:lineRule="auto"/>
        <w:ind w:firstLine="40" w:firstLineChars="200"/>
        <w:jc w:val="center"/>
        <w:textAlignment w:val="auto"/>
        <w:outlineLvl w:val="9"/>
        <w:rPr>
          <w:rFonts w:hint="eastAsia" w:asciiTheme="majorEastAsia" w:hAnsiTheme="majorEastAsia" w:eastAsiaTheme="majorEastAsia"/>
          <w:b/>
          <w:bCs/>
          <w:color w:val="auto"/>
          <w:sz w:val="2"/>
          <w:szCs w:val="2"/>
          <w:lang w:eastAsia="zh-CN"/>
        </w:rPr>
      </w:pPr>
    </w:p>
    <w:p w14:paraId="14C2409E">
      <w:pPr>
        <w:kinsoku/>
        <w:autoSpaceDE/>
        <w:autoSpaceDN/>
        <w:adjustRightInd/>
        <w:snapToGrid/>
        <w:spacing w:after="260" w:line="440" w:lineRule="exact"/>
        <w:ind w:firstLine="562" w:firstLineChars="200"/>
        <w:jc w:val="center"/>
        <w:textAlignment w:val="auto"/>
        <w:outlineLvl w:val="9"/>
        <w:rPr>
          <w:rFonts w:hint="eastAsia" w:asciiTheme="majorEastAsia" w:hAnsiTheme="majorEastAsia" w:eastAsiaTheme="majorEastAsia"/>
          <w:b/>
          <w:bCs/>
          <w:color w:val="auto"/>
          <w:sz w:val="28"/>
          <w:szCs w:val="28"/>
          <w:lang w:eastAsia="zh-CN"/>
        </w:rPr>
      </w:pPr>
      <w:r>
        <w:rPr>
          <w:rFonts w:hint="eastAsia" w:asciiTheme="majorEastAsia" w:hAnsiTheme="majorEastAsia" w:eastAsiaTheme="majorEastAsia"/>
          <w:b/>
          <w:bCs/>
          <w:color w:val="auto"/>
          <w:sz w:val="28"/>
          <w:szCs w:val="28"/>
          <w:lang w:eastAsia="zh-CN"/>
        </w:rPr>
        <w:t>信息化合作企业安全保密承诺书</w:t>
      </w:r>
    </w:p>
    <w:p w14:paraId="201DBADA">
      <w:pPr>
        <w:keepNext w:val="0"/>
        <w:keepLines w:val="0"/>
        <w:pageBreakBefore w:val="0"/>
        <w:widowControl/>
        <w:kinsoku/>
        <w:wordWrap/>
        <w:overflowPunct/>
        <w:topLinePunct w:val="0"/>
        <w:autoSpaceDE/>
        <w:autoSpaceDN/>
        <w:bidi w:val="0"/>
        <w:adjustRightInd/>
        <w:snapToGrid/>
        <w:spacing w:after="0" w:line="360" w:lineRule="auto"/>
        <w:ind w:firstLine="560" w:firstLineChars="20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根据《中华人民共和国保守国家秘密法》《中华人民共和国网络安全法》《公安信息网安全管理规定（试行）》等法律法规，为保障公安网络和数据安全，针对与________ (公安机关具体责任部门)的信息化合作，本单位做出如下承诺：</w:t>
      </w:r>
    </w:p>
    <w:p w14:paraId="2F95FB76">
      <w:pPr>
        <w:keepNext w:val="0"/>
        <w:keepLines w:val="0"/>
        <w:pageBreakBefore w:val="0"/>
        <w:widowControl/>
        <w:kinsoku/>
        <w:wordWrap/>
        <w:overflowPunct/>
        <w:topLinePunct w:val="0"/>
        <w:autoSpaceDE/>
        <w:autoSpaceDN/>
        <w:bidi w:val="0"/>
        <w:adjustRightInd/>
        <w:snapToGrid/>
        <w:spacing w:after="0" w:line="360" w:lineRule="auto"/>
        <w:ind w:firstLine="560" w:firstLineChars="20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一、明确本单位负责公安机关信息化合作的安全保密管理责任部门和安全保密责任人。</w:t>
      </w:r>
    </w:p>
    <w:p w14:paraId="27DCB589">
      <w:pPr>
        <w:keepNext w:val="0"/>
        <w:keepLines w:val="0"/>
        <w:pageBreakBefore w:val="0"/>
        <w:widowControl/>
        <w:kinsoku/>
        <w:wordWrap/>
        <w:overflowPunct/>
        <w:topLinePunct w:val="0"/>
        <w:autoSpaceDE/>
        <w:autoSpaceDN/>
        <w:bidi w:val="0"/>
        <w:adjustRightInd/>
        <w:snapToGrid/>
        <w:spacing w:after="0" w:line="360" w:lineRule="auto"/>
        <w:ind w:firstLine="560" w:firstLineChars="20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二、遵守国家保密法律法规和公安机关有关信息化合作安全保密规定要求，开展经常性安全保密教育和培训，对参与公安信息化合作的员工使用公安网络、处理公安数据等工作开展安全管理和技术管控。</w:t>
      </w:r>
    </w:p>
    <w:p w14:paraId="592D102D">
      <w:pPr>
        <w:keepNext w:val="0"/>
        <w:keepLines w:val="0"/>
        <w:pageBreakBefore w:val="0"/>
        <w:widowControl/>
        <w:kinsoku/>
        <w:wordWrap/>
        <w:overflowPunct/>
        <w:topLinePunct w:val="0"/>
        <w:autoSpaceDE/>
        <w:autoSpaceDN/>
        <w:bidi w:val="0"/>
        <w:adjustRightInd/>
        <w:snapToGrid/>
        <w:spacing w:after="0" w:line="360" w:lineRule="auto"/>
        <w:ind w:firstLine="560" w:firstLineChars="20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三、不泄露公安真实数据、不使用公安内部数据对外服务、不利用公安信息化案例对外宣传等危害公安数据安全的活动。</w:t>
      </w:r>
    </w:p>
    <w:p w14:paraId="30D26C29">
      <w:pPr>
        <w:keepNext w:val="0"/>
        <w:keepLines w:val="0"/>
        <w:pageBreakBefore w:val="0"/>
        <w:widowControl/>
        <w:kinsoku/>
        <w:wordWrap/>
        <w:overflowPunct/>
        <w:topLinePunct w:val="0"/>
        <w:autoSpaceDE/>
        <w:autoSpaceDN/>
        <w:bidi w:val="0"/>
        <w:adjustRightInd/>
        <w:snapToGrid/>
        <w:spacing w:after="0" w:line="360" w:lineRule="auto"/>
        <w:ind w:firstLine="560" w:firstLineChars="20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四、不从事攻击公安网络、危害系统运行、交付带有恶意代码的应用软件等危害公安网络安全的活动。</w:t>
      </w:r>
    </w:p>
    <w:p w14:paraId="138C2442">
      <w:pPr>
        <w:keepNext w:val="0"/>
        <w:keepLines w:val="0"/>
        <w:pageBreakBefore w:val="0"/>
        <w:widowControl/>
        <w:kinsoku/>
        <w:wordWrap/>
        <w:overflowPunct/>
        <w:topLinePunct w:val="0"/>
        <w:autoSpaceDE/>
        <w:autoSpaceDN/>
        <w:bidi w:val="0"/>
        <w:adjustRightInd/>
        <w:snapToGrid/>
        <w:spacing w:after="0" w:line="360" w:lineRule="auto"/>
        <w:ind w:firstLine="560" w:firstLineChars="20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五、一旦发现公安网络安全事件或者存在公安数据失泄密风险的，应当及时向公安机关合作单位报告。六、本承诺书自签字之日起生效。</w:t>
      </w:r>
    </w:p>
    <w:p w14:paraId="7A0B5F48">
      <w:pPr>
        <w:kinsoku/>
        <w:autoSpaceDE/>
        <w:autoSpaceDN/>
        <w:adjustRightInd/>
        <w:snapToGrid/>
        <w:spacing w:after="260" w:line="440" w:lineRule="exact"/>
        <w:ind w:firstLine="560" w:firstLineChars="20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安全负责人（签章)：</w:t>
      </w:r>
    </w:p>
    <w:p w14:paraId="21534472">
      <w:pPr>
        <w:kinsoku/>
        <w:autoSpaceDE/>
        <w:autoSpaceDN/>
        <w:adjustRightInd/>
        <w:snapToGrid/>
        <w:spacing w:after="260" w:line="440" w:lineRule="exact"/>
        <w:ind w:firstLine="560" w:firstLineChars="20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法定代表人（委托授权人）（签章)：</w:t>
      </w:r>
    </w:p>
    <w:p w14:paraId="12759A91">
      <w:pPr>
        <w:kinsoku/>
        <w:autoSpaceDE/>
        <w:autoSpaceDN/>
        <w:adjustRightInd/>
        <w:snapToGrid/>
        <w:spacing w:after="260" w:line="440" w:lineRule="exact"/>
        <w:ind w:firstLine="560" w:firstLineChars="20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企业全称（公章)：</w:t>
      </w:r>
    </w:p>
    <w:p w14:paraId="44B75549">
      <w:pPr>
        <w:kinsoku/>
        <w:autoSpaceDE/>
        <w:autoSpaceDN/>
        <w:adjustRightInd/>
        <w:snapToGrid/>
        <w:spacing w:after="260" w:line="440" w:lineRule="exact"/>
        <w:ind w:firstLine="560" w:firstLineChars="200"/>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日期：</w:t>
      </w:r>
    </w:p>
    <w:p w14:paraId="1FC83F6D">
      <w:pPr>
        <w:keepNext w:val="0"/>
        <w:keepLines w:val="0"/>
        <w:pageBreakBefore w:val="0"/>
        <w:widowControl/>
        <w:tabs>
          <w:tab w:val="left" w:pos="6275"/>
        </w:tabs>
        <w:wordWrap/>
        <w:overflowPunct/>
        <w:topLinePunct w:val="0"/>
        <w:bidi w:val="0"/>
        <w:spacing w:after="0" w:line="360" w:lineRule="auto"/>
        <w:outlineLvl w:val="9"/>
        <w:rPr>
          <w:rFonts w:hint="default" w:ascii="宋体" w:hAnsi="宋体" w:eastAsia="宋体" w:cs="宋体"/>
          <w:b/>
          <w:bCs/>
          <w:color w:val="auto"/>
          <w:kern w:val="36"/>
          <w:sz w:val="28"/>
          <w:szCs w:val="28"/>
          <w:lang w:val="en-US" w:eastAsia="zh-CN"/>
        </w:rPr>
      </w:pPr>
      <w:bookmarkStart w:id="1" w:name="OLE_LINK2"/>
      <w:r>
        <w:rPr>
          <w:rFonts w:hint="eastAsia" w:ascii="宋体" w:hAnsi="宋体" w:eastAsia="宋体" w:cs="宋体"/>
          <w:b/>
          <w:bCs/>
          <w:color w:val="auto"/>
          <w:kern w:val="36"/>
          <w:sz w:val="28"/>
          <w:szCs w:val="28"/>
          <w:lang w:eastAsia="zh-CN"/>
        </w:rPr>
        <w:t>附件2：</w:t>
      </w:r>
      <w:r>
        <w:rPr>
          <w:rFonts w:hint="eastAsia" w:ascii="宋体" w:hAnsi="宋体" w:eastAsia="宋体" w:cs="宋体"/>
          <w:b/>
          <w:bCs/>
          <w:color w:val="auto"/>
          <w:kern w:val="36"/>
          <w:sz w:val="28"/>
          <w:szCs w:val="28"/>
          <w:lang w:val="en-US" w:eastAsia="zh-CN"/>
        </w:rPr>
        <w:t>绩效考核指标</w:t>
      </w:r>
    </w:p>
    <w:p w14:paraId="296D78FD">
      <w:pPr>
        <w:kinsoku/>
        <w:autoSpaceDE/>
        <w:autoSpaceDN/>
        <w:adjustRightInd/>
        <w:snapToGrid/>
        <w:spacing w:after="260" w:line="440" w:lineRule="exact"/>
        <w:ind w:firstLine="562" w:firstLineChars="200"/>
        <w:jc w:val="center"/>
        <w:textAlignment w:val="auto"/>
        <w:outlineLvl w:val="9"/>
        <w:rPr>
          <w:rFonts w:hint="default" w:asciiTheme="majorEastAsia" w:hAnsiTheme="majorEastAsia" w:eastAsiaTheme="majorEastAsia"/>
          <w:b/>
          <w:bCs/>
          <w:color w:val="auto"/>
          <w:sz w:val="28"/>
          <w:szCs w:val="28"/>
          <w:lang w:val="en-US" w:eastAsia="zh-CN"/>
        </w:rPr>
      </w:pPr>
      <w:r>
        <w:rPr>
          <w:rFonts w:hint="eastAsia" w:asciiTheme="majorEastAsia" w:hAnsiTheme="majorEastAsia" w:eastAsiaTheme="majorEastAsia"/>
          <w:b/>
          <w:bCs/>
          <w:color w:val="auto"/>
          <w:sz w:val="28"/>
          <w:szCs w:val="28"/>
          <w:lang w:val="en-US" w:eastAsia="zh-CN"/>
        </w:rPr>
        <w:t>绩效考核指标</w:t>
      </w:r>
    </w:p>
    <w:bookmarkEnd w:id="1"/>
    <w:tbl>
      <w:tblPr>
        <w:tblStyle w:val="19"/>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31"/>
        <w:gridCol w:w="1451"/>
        <w:gridCol w:w="6394"/>
        <w:gridCol w:w="1091"/>
      </w:tblGrid>
      <w:tr w14:paraId="7304D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tblHeader/>
          <w:jc w:val="center"/>
        </w:trPr>
        <w:tc>
          <w:tcPr>
            <w:tcW w:w="731" w:type="dxa"/>
            <w:tcMar>
              <w:top w:w="120" w:type="dxa"/>
              <w:left w:w="120" w:type="dxa"/>
              <w:bottom w:w="120" w:type="dxa"/>
              <w:right w:w="120" w:type="dxa"/>
            </w:tcMar>
            <w:vAlign w:val="center"/>
          </w:tcPr>
          <w:p w14:paraId="05F754C3">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center"/>
              <w:textAlignment w:val="top"/>
              <w:outlineLvl w:val="9"/>
              <w:rPr>
                <w:rFonts w:hint="eastAsia" w:ascii="宋体" w:hAnsi="宋体" w:eastAsia="宋体" w:cs="宋体"/>
                <w:b/>
                <w:color w:val="auto"/>
                <w:sz w:val="24"/>
                <w:szCs w:val="24"/>
              </w:rPr>
            </w:pPr>
            <w:r>
              <w:rPr>
                <w:rFonts w:hint="eastAsia" w:ascii="宋体" w:hAnsi="宋体" w:eastAsia="宋体" w:cs="宋体"/>
                <w:b/>
                <w:color w:val="auto"/>
                <w:sz w:val="24"/>
                <w:szCs w:val="24"/>
                <w:lang w:eastAsia="zh-CN" w:bidi="ar"/>
              </w:rPr>
              <w:t>序号</w:t>
            </w:r>
          </w:p>
        </w:tc>
        <w:tc>
          <w:tcPr>
            <w:tcW w:w="1451" w:type="dxa"/>
            <w:tcMar>
              <w:top w:w="120" w:type="dxa"/>
              <w:left w:w="120" w:type="dxa"/>
              <w:bottom w:w="120" w:type="dxa"/>
              <w:right w:w="120" w:type="dxa"/>
            </w:tcMar>
            <w:vAlign w:val="center"/>
          </w:tcPr>
          <w:p w14:paraId="68BA028D">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center"/>
              <w:textAlignment w:val="top"/>
              <w:outlineLvl w:val="9"/>
              <w:rPr>
                <w:rFonts w:hint="eastAsia" w:ascii="宋体" w:hAnsi="宋体" w:eastAsia="宋体" w:cs="宋体"/>
                <w:b/>
                <w:color w:val="auto"/>
                <w:sz w:val="24"/>
                <w:szCs w:val="24"/>
              </w:rPr>
            </w:pPr>
            <w:r>
              <w:rPr>
                <w:rFonts w:hint="eastAsia" w:ascii="宋体" w:hAnsi="宋体" w:eastAsia="宋体" w:cs="宋体"/>
                <w:b/>
                <w:color w:val="auto"/>
                <w:sz w:val="24"/>
                <w:szCs w:val="24"/>
                <w:lang w:eastAsia="zh-CN" w:bidi="ar"/>
              </w:rPr>
              <w:t>考核指标</w:t>
            </w:r>
          </w:p>
        </w:tc>
        <w:tc>
          <w:tcPr>
            <w:tcW w:w="6395" w:type="dxa"/>
            <w:tcMar>
              <w:top w:w="120" w:type="dxa"/>
              <w:left w:w="120" w:type="dxa"/>
              <w:bottom w:w="120" w:type="dxa"/>
              <w:right w:w="120" w:type="dxa"/>
            </w:tcMar>
            <w:vAlign w:val="center"/>
          </w:tcPr>
          <w:p w14:paraId="392119B8">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center"/>
              <w:textAlignment w:val="top"/>
              <w:outlineLvl w:val="9"/>
              <w:rPr>
                <w:rFonts w:hint="eastAsia" w:ascii="宋体" w:hAnsi="宋体" w:eastAsia="宋体" w:cs="宋体"/>
                <w:b/>
                <w:color w:val="auto"/>
                <w:sz w:val="24"/>
                <w:szCs w:val="24"/>
              </w:rPr>
            </w:pPr>
            <w:r>
              <w:rPr>
                <w:rFonts w:hint="eastAsia" w:ascii="宋体" w:hAnsi="宋体" w:eastAsia="宋体" w:cs="宋体"/>
                <w:b/>
                <w:color w:val="auto"/>
                <w:sz w:val="24"/>
                <w:szCs w:val="24"/>
                <w:lang w:eastAsia="zh-CN" w:bidi="ar"/>
              </w:rPr>
              <w:t>内容定义</w:t>
            </w:r>
          </w:p>
        </w:tc>
        <w:tc>
          <w:tcPr>
            <w:tcW w:w="1091" w:type="dxa"/>
            <w:tcMar>
              <w:top w:w="120" w:type="dxa"/>
              <w:left w:w="120" w:type="dxa"/>
              <w:bottom w:w="120" w:type="dxa"/>
              <w:right w:w="120" w:type="dxa"/>
            </w:tcMar>
            <w:vAlign w:val="center"/>
          </w:tcPr>
          <w:p w14:paraId="5880B668">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center"/>
              <w:textAlignment w:val="top"/>
              <w:outlineLvl w:val="9"/>
              <w:rPr>
                <w:rFonts w:hint="eastAsia" w:ascii="宋体" w:hAnsi="宋体" w:eastAsia="宋体" w:cs="宋体"/>
                <w:b/>
                <w:color w:val="auto"/>
                <w:sz w:val="24"/>
                <w:szCs w:val="24"/>
              </w:rPr>
            </w:pPr>
            <w:r>
              <w:rPr>
                <w:rFonts w:hint="eastAsia" w:ascii="宋体" w:hAnsi="宋体" w:eastAsia="宋体" w:cs="宋体"/>
                <w:b/>
                <w:color w:val="auto"/>
                <w:sz w:val="24"/>
                <w:szCs w:val="24"/>
                <w:lang w:eastAsia="zh-CN" w:bidi="ar"/>
              </w:rPr>
              <w:t>指标值</w:t>
            </w:r>
          </w:p>
        </w:tc>
      </w:tr>
      <w:tr w14:paraId="237BA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31" w:type="dxa"/>
            <w:tcMar>
              <w:top w:w="120" w:type="dxa"/>
              <w:left w:w="120" w:type="dxa"/>
              <w:bottom w:w="120" w:type="dxa"/>
              <w:right w:w="120" w:type="dxa"/>
            </w:tcMar>
            <w:vAlign w:val="center"/>
          </w:tcPr>
          <w:p w14:paraId="0DE88BB5">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center"/>
              <w:textAlignment w:val="top"/>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1</w:t>
            </w:r>
          </w:p>
        </w:tc>
        <w:tc>
          <w:tcPr>
            <w:tcW w:w="1451" w:type="dxa"/>
            <w:tcMar>
              <w:top w:w="120" w:type="dxa"/>
              <w:left w:w="120" w:type="dxa"/>
              <w:bottom w:w="120" w:type="dxa"/>
              <w:right w:w="120" w:type="dxa"/>
            </w:tcMar>
            <w:vAlign w:val="center"/>
          </w:tcPr>
          <w:p w14:paraId="0BB14E96">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人工接通率</w:t>
            </w:r>
          </w:p>
        </w:tc>
        <w:tc>
          <w:tcPr>
            <w:tcW w:w="6395" w:type="dxa"/>
            <w:tcMar>
              <w:top w:w="120" w:type="dxa"/>
              <w:left w:w="120" w:type="dxa"/>
              <w:bottom w:w="120" w:type="dxa"/>
              <w:right w:w="120" w:type="dxa"/>
            </w:tcMar>
            <w:vAlign w:val="center"/>
          </w:tcPr>
          <w:p w14:paraId="4B06E01A">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10秒内人工应答的电话总数与应答总数之比</w:t>
            </w:r>
          </w:p>
        </w:tc>
        <w:tc>
          <w:tcPr>
            <w:tcW w:w="1091" w:type="dxa"/>
            <w:tcMar>
              <w:top w:w="120" w:type="dxa"/>
              <w:left w:w="120" w:type="dxa"/>
              <w:bottom w:w="120" w:type="dxa"/>
              <w:right w:w="120" w:type="dxa"/>
            </w:tcMar>
            <w:vAlign w:val="center"/>
          </w:tcPr>
          <w:p w14:paraId="71E9F4E4">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100</w:t>
            </w:r>
            <w:r>
              <w:rPr>
                <w:rFonts w:hint="eastAsia" w:ascii="宋体" w:hAnsi="宋体" w:eastAsia="宋体" w:cs="宋体"/>
                <w:color w:val="auto"/>
                <w:sz w:val="24"/>
                <w:szCs w:val="24"/>
                <w:lang w:eastAsia="zh-CN" w:bidi="ar"/>
              </w:rPr>
              <w:t>%</w:t>
            </w:r>
          </w:p>
        </w:tc>
      </w:tr>
      <w:tr w14:paraId="7834B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31" w:type="dxa"/>
            <w:tcMar>
              <w:top w:w="120" w:type="dxa"/>
              <w:left w:w="120" w:type="dxa"/>
              <w:bottom w:w="120" w:type="dxa"/>
              <w:right w:w="120" w:type="dxa"/>
            </w:tcMar>
            <w:vAlign w:val="center"/>
          </w:tcPr>
          <w:p w14:paraId="39FFC6CF">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center"/>
              <w:textAlignment w:val="top"/>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2</w:t>
            </w:r>
          </w:p>
        </w:tc>
        <w:tc>
          <w:tcPr>
            <w:tcW w:w="1451" w:type="dxa"/>
            <w:tcMar>
              <w:top w:w="120" w:type="dxa"/>
              <w:left w:w="120" w:type="dxa"/>
              <w:bottom w:w="120" w:type="dxa"/>
              <w:right w:w="120" w:type="dxa"/>
            </w:tcMar>
            <w:vAlign w:val="center"/>
          </w:tcPr>
          <w:p w14:paraId="6242B81D">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文明用语规范率</w:t>
            </w:r>
          </w:p>
        </w:tc>
        <w:tc>
          <w:tcPr>
            <w:tcW w:w="6395" w:type="dxa"/>
            <w:tcMar>
              <w:top w:w="120" w:type="dxa"/>
              <w:left w:w="120" w:type="dxa"/>
              <w:bottom w:w="120" w:type="dxa"/>
              <w:right w:w="120" w:type="dxa"/>
            </w:tcMar>
            <w:vAlign w:val="center"/>
          </w:tcPr>
          <w:p w14:paraId="722FFF0D">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接</w:t>
            </w:r>
            <w:r>
              <w:rPr>
                <w:rFonts w:hint="eastAsia" w:ascii="宋体" w:hAnsi="宋体" w:eastAsia="宋体" w:cs="宋体"/>
                <w:color w:val="auto"/>
                <w:sz w:val="24"/>
                <w:szCs w:val="24"/>
                <w:lang w:val="en-US" w:eastAsia="zh-CN"/>
              </w:rPr>
              <w:t>线</w:t>
            </w:r>
            <w:r>
              <w:rPr>
                <w:rFonts w:hint="eastAsia" w:ascii="宋体" w:hAnsi="宋体" w:eastAsia="宋体" w:cs="宋体"/>
                <w:color w:val="auto"/>
                <w:sz w:val="24"/>
                <w:szCs w:val="24"/>
                <w:lang w:eastAsia="zh-CN"/>
              </w:rPr>
              <w:t>员在报警接线服务通话全过程严格执行文明用语规范、无违规用语的报警接线服务次数，占同期总报警接线服务服务次数的百分比</w:t>
            </w:r>
          </w:p>
        </w:tc>
        <w:tc>
          <w:tcPr>
            <w:tcW w:w="1091" w:type="dxa"/>
            <w:tcMar>
              <w:top w:w="120" w:type="dxa"/>
              <w:left w:w="120" w:type="dxa"/>
              <w:bottom w:w="120" w:type="dxa"/>
              <w:right w:w="120" w:type="dxa"/>
            </w:tcMar>
            <w:vAlign w:val="center"/>
          </w:tcPr>
          <w:p w14:paraId="2B0277C2">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bidi="ar"/>
              </w:rPr>
              <w:t>≥99%</w:t>
            </w:r>
          </w:p>
        </w:tc>
      </w:tr>
      <w:tr w14:paraId="45C69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31" w:type="dxa"/>
            <w:tcMar>
              <w:top w:w="120" w:type="dxa"/>
              <w:left w:w="120" w:type="dxa"/>
              <w:bottom w:w="120" w:type="dxa"/>
              <w:right w:w="120" w:type="dxa"/>
            </w:tcMar>
            <w:vAlign w:val="center"/>
          </w:tcPr>
          <w:p w14:paraId="589C5E25">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center"/>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3</w:t>
            </w:r>
          </w:p>
        </w:tc>
        <w:tc>
          <w:tcPr>
            <w:tcW w:w="1451" w:type="dxa"/>
            <w:tcMar>
              <w:top w:w="120" w:type="dxa"/>
              <w:left w:w="120" w:type="dxa"/>
              <w:bottom w:w="120" w:type="dxa"/>
              <w:right w:w="120" w:type="dxa"/>
            </w:tcMar>
            <w:vAlign w:val="center"/>
          </w:tcPr>
          <w:p w14:paraId="72E602BD">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警情录入准确率</w:t>
            </w:r>
          </w:p>
        </w:tc>
        <w:tc>
          <w:tcPr>
            <w:tcW w:w="6395" w:type="dxa"/>
            <w:tcMar>
              <w:top w:w="120" w:type="dxa"/>
              <w:left w:w="120" w:type="dxa"/>
              <w:bottom w:w="120" w:type="dxa"/>
              <w:right w:w="120" w:type="dxa"/>
            </w:tcMar>
            <w:vAlign w:val="center"/>
          </w:tcPr>
          <w:p w14:paraId="132FE686">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录入系统的警情信息要素完整、内容真实、逻辑正确、分类规范、无错填漏填的有效警情数量，占当期总录入警情数量的百分比</w:t>
            </w:r>
          </w:p>
        </w:tc>
        <w:tc>
          <w:tcPr>
            <w:tcW w:w="1091" w:type="dxa"/>
            <w:tcMar>
              <w:top w:w="120" w:type="dxa"/>
              <w:left w:w="120" w:type="dxa"/>
              <w:bottom w:w="120" w:type="dxa"/>
              <w:right w:w="120" w:type="dxa"/>
            </w:tcMar>
            <w:vAlign w:val="center"/>
          </w:tcPr>
          <w:p w14:paraId="7F254710">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100</w:t>
            </w:r>
            <w:r>
              <w:rPr>
                <w:rFonts w:hint="eastAsia" w:ascii="宋体" w:hAnsi="宋体" w:eastAsia="宋体" w:cs="宋体"/>
                <w:color w:val="auto"/>
                <w:sz w:val="24"/>
                <w:szCs w:val="24"/>
                <w:lang w:eastAsia="zh-CN" w:bidi="ar"/>
              </w:rPr>
              <w:t>%</w:t>
            </w:r>
          </w:p>
        </w:tc>
      </w:tr>
      <w:tr w14:paraId="17C1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31" w:type="dxa"/>
            <w:tcMar>
              <w:top w:w="120" w:type="dxa"/>
              <w:left w:w="120" w:type="dxa"/>
              <w:bottom w:w="120" w:type="dxa"/>
              <w:right w:w="120" w:type="dxa"/>
            </w:tcMar>
            <w:vAlign w:val="center"/>
          </w:tcPr>
          <w:p w14:paraId="22F20957">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center"/>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4</w:t>
            </w:r>
          </w:p>
        </w:tc>
        <w:tc>
          <w:tcPr>
            <w:tcW w:w="1451" w:type="dxa"/>
            <w:tcMar>
              <w:top w:w="120" w:type="dxa"/>
              <w:left w:w="120" w:type="dxa"/>
              <w:bottom w:w="120" w:type="dxa"/>
              <w:right w:w="120" w:type="dxa"/>
            </w:tcMar>
            <w:vAlign w:val="center"/>
          </w:tcPr>
          <w:p w14:paraId="6CA777EB">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人员流失率</w:t>
            </w:r>
          </w:p>
        </w:tc>
        <w:tc>
          <w:tcPr>
            <w:tcW w:w="6395" w:type="dxa"/>
            <w:tcMar>
              <w:top w:w="120" w:type="dxa"/>
              <w:left w:w="120" w:type="dxa"/>
              <w:bottom w:w="120" w:type="dxa"/>
              <w:right w:w="120" w:type="dxa"/>
            </w:tcMar>
            <w:vAlign w:val="center"/>
          </w:tcPr>
          <w:p w14:paraId="56AB3DBF">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月流失率=流失人数/(月初人数+月末人数)/2×100%</w:t>
            </w:r>
          </w:p>
        </w:tc>
        <w:tc>
          <w:tcPr>
            <w:tcW w:w="1091" w:type="dxa"/>
            <w:tcMar>
              <w:top w:w="120" w:type="dxa"/>
              <w:left w:w="120" w:type="dxa"/>
              <w:bottom w:w="120" w:type="dxa"/>
              <w:right w:w="120" w:type="dxa"/>
            </w:tcMar>
            <w:vAlign w:val="center"/>
          </w:tcPr>
          <w:p w14:paraId="3F3C40E2">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≤5%</w:t>
            </w:r>
          </w:p>
        </w:tc>
      </w:tr>
      <w:tr w14:paraId="47972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31" w:type="dxa"/>
            <w:tcMar>
              <w:top w:w="120" w:type="dxa"/>
              <w:left w:w="120" w:type="dxa"/>
              <w:bottom w:w="120" w:type="dxa"/>
              <w:right w:w="120" w:type="dxa"/>
            </w:tcMar>
            <w:vAlign w:val="center"/>
          </w:tcPr>
          <w:p w14:paraId="02F73427">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center"/>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5</w:t>
            </w:r>
          </w:p>
        </w:tc>
        <w:tc>
          <w:tcPr>
            <w:tcW w:w="1451" w:type="dxa"/>
            <w:tcMar>
              <w:top w:w="120" w:type="dxa"/>
              <w:left w:w="120" w:type="dxa"/>
              <w:bottom w:w="120" w:type="dxa"/>
              <w:right w:w="120" w:type="dxa"/>
            </w:tcMar>
            <w:vAlign w:val="center"/>
          </w:tcPr>
          <w:p w14:paraId="4FB9B82E">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培训时长</w:t>
            </w:r>
          </w:p>
        </w:tc>
        <w:tc>
          <w:tcPr>
            <w:tcW w:w="6395" w:type="dxa"/>
            <w:tcMar>
              <w:top w:w="120" w:type="dxa"/>
              <w:left w:w="120" w:type="dxa"/>
              <w:bottom w:w="120" w:type="dxa"/>
              <w:right w:w="120" w:type="dxa"/>
            </w:tcMar>
            <w:vAlign w:val="center"/>
          </w:tcPr>
          <w:p w14:paraId="62A1AB24">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接</w:t>
            </w:r>
            <w:r>
              <w:rPr>
                <w:rFonts w:hint="eastAsia" w:ascii="宋体" w:hAnsi="宋体" w:eastAsia="宋体" w:cs="宋体"/>
                <w:color w:val="auto"/>
                <w:sz w:val="24"/>
                <w:szCs w:val="24"/>
                <w:lang w:val="en-US" w:eastAsia="zh-CN" w:bidi="ar"/>
              </w:rPr>
              <w:t>线</w:t>
            </w:r>
            <w:r>
              <w:rPr>
                <w:rFonts w:hint="eastAsia" w:ascii="宋体" w:hAnsi="宋体" w:eastAsia="宋体" w:cs="宋体"/>
                <w:color w:val="auto"/>
                <w:sz w:val="24"/>
                <w:szCs w:val="24"/>
                <w:lang w:eastAsia="zh-CN" w:bidi="ar"/>
              </w:rPr>
              <w:t>员参加业务培训的时长</w:t>
            </w:r>
          </w:p>
        </w:tc>
        <w:tc>
          <w:tcPr>
            <w:tcW w:w="1091" w:type="dxa"/>
            <w:tcMar>
              <w:top w:w="120" w:type="dxa"/>
              <w:left w:w="120" w:type="dxa"/>
              <w:bottom w:w="120" w:type="dxa"/>
              <w:right w:w="120" w:type="dxa"/>
            </w:tcMar>
            <w:vAlign w:val="center"/>
          </w:tcPr>
          <w:p w14:paraId="7E0AAB61">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≥8小时</w:t>
            </w:r>
          </w:p>
        </w:tc>
      </w:tr>
      <w:tr w14:paraId="4050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0" w:hRule="atLeast"/>
          <w:jc w:val="center"/>
        </w:trPr>
        <w:tc>
          <w:tcPr>
            <w:tcW w:w="731" w:type="dxa"/>
            <w:tcMar>
              <w:top w:w="120" w:type="dxa"/>
              <w:left w:w="120" w:type="dxa"/>
              <w:bottom w:w="120" w:type="dxa"/>
              <w:right w:w="120" w:type="dxa"/>
            </w:tcMar>
            <w:vAlign w:val="center"/>
          </w:tcPr>
          <w:p w14:paraId="43E028A6">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center"/>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6</w:t>
            </w:r>
          </w:p>
        </w:tc>
        <w:tc>
          <w:tcPr>
            <w:tcW w:w="1451" w:type="dxa"/>
            <w:tcMar>
              <w:top w:w="120" w:type="dxa"/>
              <w:left w:w="120" w:type="dxa"/>
              <w:bottom w:w="120" w:type="dxa"/>
              <w:right w:w="120" w:type="dxa"/>
            </w:tcMar>
            <w:vAlign w:val="center"/>
          </w:tcPr>
          <w:p w14:paraId="45BFA0E7">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不满意警情</w:t>
            </w:r>
            <w:r>
              <w:rPr>
                <w:rFonts w:hint="eastAsia" w:ascii="宋体" w:hAnsi="宋体" w:eastAsia="宋体" w:cs="宋体"/>
                <w:color w:val="auto"/>
                <w:sz w:val="24"/>
                <w:szCs w:val="24"/>
                <w:lang w:eastAsia="zh-CN" w:bidi="ar"/>
              </w:rPr>
              <w:t>回访率</w:t>
            </w:r>
          </w:p>
        </w:tc>
        <w:tc>
          <w:tcPr>
            <w:tcW w:w="6395" w:type="dxa"/>
            <w:tcMar>
              <w:top w:w="120" w:type="dxa"/>
              <w:left w:w="120" w:type="dxa"/>
              <w:bottom w:w="120" w:type="dxa"/>
              <w:right w:w="120" w:type="dxa"/>
            </w:tcMar>
            <w:vAlign w:val="center"/>
          </w:tcPr>
          <w:p w14:paraId="07BADF2C">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实际回访警情数/应回访警情数（</w:t>
            </w:r>
            <w:r>
              <w:rPr>
                <w:rFonts w:hint="eastAsia" w:ascii="宋体" w:hAnsi="宋体" w:eastAsia="宋体" w:cs="宋体"/>
                <w:color w:val="auto"/>
                <w:sz w:val="24"/>
                <w:szCs w:val="24"/>
                <w:lang w:val="en-US" w:eastAsia="zh-CN" w:bidi="ar"/>
              </w:rPr>
              <w:t>不满意警情）</w:t>
            </w:r>
          </w:p>
        </w:tc>
        <w:tc>
          <w:tcPr>
            <w:tcW w:w="1091" w:type="dxa"/>
            <w:tcMar>
              <w:top w:w="120" w:type="dxa"/>
              <w:left w:w="120" w:type="dxa"/>
              <w:bottom w:w="120" w:type="dxa"/>
              <w:right w:w="120" w:type="dxa"/>
            </w:tcMar>
            <w:vAlign w:val="center"/>
          </w:tcPr>
          <w:p w14:paraId="2110354A">
            <w:pPr>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0" w:firstLineChars="0"/>
              <w:jc w:val="left"/>
              <w:textAlignment w:val="top"/>
              <w:outlineLvl w:val="9"/>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≥90%</w:t>
            </w:r>
          </w:p>
        </w:tc>
      </w:tr>
    </w:tbl>
    <w:p w14:paraId="008137B3">
      <w:pPr>
        <w:kinsoku/>
        <w:autoSpaceDE/>
        <w:autoSpaceDN/>
        <w:adjustRightInd/>
        <w:snapToGrid/>
        <w:spacing w:line="360" w:lineRule="atLeast"/>
        <w:textAlignment w:val="auto"/>
        <w:outlineLvl w:val="9"/>
        <w:rPr>
          <w:rFonts w:asciiTheme="majorEastAsia" w:hAnsiTheme="majorEastAsia" w:eastAsiaTheme="majorEastAsia"/>
          <w:color w:val="auto"/>
          <w:kern w:val="36"/>
          <w:sz w:val="28"/>
          <w:szCs w:val="28"/>
          <w:lang w:eastAsia="zh-CN"/>
        </w:rPr>
      </w:pPr>
    </w:p>
    <w:p w14:paraId="7DC9D845">
      <w:pPr>
        <w:outlineLvl w:val="9"/>
        <w:rPr>
          <w:rFonts w:asciiTheme="majorEastAsia" w:hAnsiTheme="majorEastAsia" w:eastAsiaTheme="majorEastAsia"/>
          <w:color w:val="auto"/>
          <w:kern w:val="36"/>
          <w:sz w:val="28"/>
          <w:szCs w:val="28"/>
          <w:lang w:eastAsia="zh-CN"/>
        </w:rPr>
      </w:pPr>
      <w:r>
        <w:rPr>
          <w:rFonts w:asciiTheme="majorEastAsia" w:hAnsiTheme="majorEastAsia" w:eastAsiaTheme="majorEastAsia"/>
          <w:color w:val="auto"/>
          <w:kern w:val="36"/>
          <w:sz w:val="28"/>
          <w:szCs w:val="28"/>
          <w:lang w:eastAsia="zh-CN"/>
        </w:rPr>
        <w:br w:type="page"/>
      </w:r>
    </w:p>
    <w:p w14:paraId="4A6321E4">
      <w:pPr>
        <w:keepNext w:val="0"/>
        <w:keepLines w:val="0"/>
        <w:pageBreakBefore w:val="0"/>
        <w:widowControl/>
        <w:tabs>
          <w:tab w:val="left" w:pos="6275"/>
        </w:tabs>
        <w:wordWrap/>
        <w:overflowPunct/>
        <w:topLinePunct w:val="0"/>
        <w:bidi w:val="0"/>
        <w:spacing w:after="0" w:line="360" w:lineRule="auto"/>
        <w:outlineLvl w:val="9"/>
        <w:rPr>
          <w:rFonts w:hint="eastAsia" w:ascii="宋体" w:hAnsi="宋体" w:eastAsia="宋体" w:cs="宋体"/>
          <w:b/>
          <w:bCs/>
          <w:color w:val="auto"/>
          <w:kern w:val="36"/>
          <w:sz w:val="28"/>
          <w:szCs w:val="28"/>
          <w:lang w:eastAsia="zh-CN"/>
        </w:rPr>
      </w:pPr>
      <w:bookmarkStart w:id="2" w:name="OLE_LINK3"/>
      <w:r>
        <w:rPr>
          <w:rFonts w:hint="eastAsia" w:ascii="宋体" w:hAnsi="宋体" w:eastAsia="宋体" w:cs="宋体"/>
          <w:b/>
          <w:bCs/>
          <w:color w:val="auto"/>
          <w:kern w:val="36"/>
          <w:sz w:val="28"/>
          <w:szCs w:val="28"/>
          <w:lang w:eastAsia="zh-CN"/>
        </w:rPr>
        <w:t>附件 3 履约验收表</w:t>
      </w:r>
    </w:p>
    <w:p w14:paraId="333908BD">
      <w:pPr>
        <w:kinsoku/>
        <w:autoSpaceDE/>
        <w:autoSpaceDN/>
        <w:adjustRightInd/>
        <w:snapToGrid/>
        <w:spacing w:after="260" w:line="440" w:lineRule="exact"/>
        <w:ind w:firstLine="562" w:firstLineChars="200"/>
        <w:jc w:val="center"/>
        <w:textAlignment w:val="auto"/>
        <w:outlineLvl w:val="9"/>
        <w:rPr>
          <w:rFonts w:hint="eastAsia" w:asciiTheme="majorEastAsia" w:hAnsiTheme="majorEastAsia" w:eastAsiaTheme="majorEastAsia"/>
          <w:b/>
          <w:bCs/>
          <w:color w:val="auto"/>
          <w:sz w:val="28"/>
          <w:szCs w:val="28"/>
          <w:lang w:eastAsia="zh-CN"/>
        </w:rPr>
      </w:pPr>
      <w:r>
        <w:rPr>
          <w:rFonts w:hint="eastAsia" w:asciiTheme="majorEastAsia" w:hAnsiTheme="majorEastAsia" w:eastAsiaTheme="majorEastAsia"/>
          <w:b/>
          <w:bCs/>
          <w:color w:val="auto"/>
          <w:sz w:val="28"/>
          <w:szCs w:val="28"/>
          <w:lang w:eastAsia="zh-CN"/>
        </w:rPr>
        <w:t>履约验收表</w:t>
      </w:r>
    </w:p>
    <w:bookmarkEnd w:id="2"/>
    <w:p w14:paraId="0FD5A993">
      <w:pPr>
        <w:keepNext w:val="0"/>
        <w:keepLines w:val="0"/>
        <w:pageBreakBefore w:val="0"/>
        <w:widowControl/>
        <w:kinsoku/>
        <w:wordWrap/>
        <w:overflowPunct/>
        <w:topLinePunct w:val="0"/>
        <w:autoSpaceDE/>
        <w:autoSpaceDN/>
        <w:bidi w:val="0"/>
        <w:adjustRightInd/>
        <w:snapToGrid/>
        <w:spacing w:after="0" w:line="360" w:lineRule="auto"/>
        <w:textAlignment w:val="auto"/>
        <w:outlineLvl w:val="9"/>
        <w:rPr>
          <w:rFonts w:hint="eastAsia"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项目名称：</w:t>
      </w:r>
      <w:r>
        <w:rPr>
          <w:rFonts w:hint="eastAsia" w:asciiTheme="majorEastAsia" w:hAnsiTheme="majorEastAsia" w:eastAsiaTheme="majorEastAsia"/>
          <w:color w:val="auto"/>
          <w:sz w:val="28"/>
          <w:szCs w:val="28"/>
          <w:u w:val="single"/>
          <w:lang w:eastAsia="zh-CN"/>
        </w:rPr>
        <w:t xml:space="preserve">                </w:t>
      </w:r>
      <w:r>
        <w:rPr>
          <w:rFonts w:hint="eastAsia" w:asciiTheme="majorEastAsia" w:hAnsiTheme="majorEastAsia" w:eastAsiaTheme="majorEastAsia"/>
          <w:color w:val="auto"/>
          <w:sz w:val="28"/>
          <w:szCs w:val="28"/>
          <w:lang w:eastAsia="zh-CN"/>
        </w:rPr>
        <w:t xml:space="preserve">                 </w:t>
      </w:r>
    </w:p>
    <w:p w14:paraId="381B04DE">
      <w:pPr>
        <w:keepNext w:val="0"/>
        <w:keepLines w:val="0"/>
        <w:pageBreakBefore w:val="0"/>
        <w:widowControl/>
        <w:kinsoku/>
        <w:wordWrap/>
        <w:overflowPunct/>
        <w:topLinePunct w:val="0"/>
        <w:autoSpaceDE/>
        <w:autoSpaceDN/>
        <w:bidi w:val="0"/>
        <w:adjustRightInd/>
        <w:snapToGrid/>
        <w:spacing w:after="0" w:line="360" w:lineRule="auto"/>
        <w:textAlignment w:val="auto"/>
        <w:outlineLvl w:val="9"/>
        <w:rPr>
          <w:rFonts w:hint="eastAsia" w:asciiTheme="majorEastAsia" w:hAnsiTheme="majorEastAsia" w:eastAsiaTheme="majorEastAsia"/>
          <w:color w:val="auto"/>
          <w:sz w:val="28"/>
          <w:szCs w:val="28"/>
          <w:u w:val="single"/>
          <w:lang w:eastAsia="zh-CN"/>
        </w:rPr>
      </w:pPr>
      <w:r>
        <w:rPr>
          <w:rFonts w:asciiTheme="majorEastAsia" w:hAnsiTheme="majorEastAsia" w:eastAsiaTheme="majorEastAsia"/>
          <w:color w:val="auto"/>
          <w:sz w:val="28"/>
          <w:szCs w:val="28"/>
          <w:lang w:eastAsia="zh-CN"/>
        </w:rPr>
        <w:t>合同编号：</w:t>
      </w:r>
      <w:r>
        <w:rPr>
          <w:rFonts w:hint="eastAsia" w:asciiTheme="majorEastAsia" w:hAnsiTheme="majorEastAsia" w:eastAsiaTheme="majorEastAsia"/>
          <w:color w:val="auto"/>
          <w:sz w:val="28"/>
          <w:szCs w:val="28"/>
          <w:u w:val="single"/>
          <w:lang w:eastAsia="zh-CN"/>
        </w:rPr>
        <w:t xml:space="preserve">                </w:t>
      </w:r>
      <w:r>
        <w:rPr>
          <w:rFonts w:hint="eastAsia" w:asciiTheme="majorEastAsia" w:hAnsiTheme="majorEastAsia" w:eastAsiaTheme="majorEastAsia"/>
          <w:color w:val="auto"/>
          <w:sz w:val="28"/>
          <w:szCs w:val="28"/>
          <w:lang w:eastAsia="zh-CN"/>
        </w:rPr>
        <w:t xml:space="preserve"> </w:t>
      </w:r>
    </w:p>
    <w:p w14:paraId="390B6920">
      <w:pPr>
        <w:keepNext w:val="0"/>
        <w:keepLines w:val="0"/>
        <w:pageBreakBefore w:val="0"/>
        <w:widowControl/>
        <w:kinsoku/>
        <w:wordWrap/>
        <w:overflowPunct/>
        <w:topLinePunct w:val="0"/>
        <w:autoSpaceDE/>
        <w:autoSpaceDN/>
        <w:bidi w:val="0"/>
        <w:adjustRightInd/>
        <w:snapToGrid/>
        <w:spacing w:after="0" w:line="360" w:lineRule="auto"/>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验收日期：______年____月____日</w:t>
      </w:r>
    </w:p>
    <w:tbl>
      <w:tblPr>
        <w:tblStyle w:val="20"/>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0"/>
        <w:gridCol w:w="3350"/>
        <w:gridCol w:w="3209"/>
        <w:gridCol w:w="1339"/>
      </w:tblGrid>
      <w:tr w14:paraId="743E5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740" w:type="dxa"/>
            <w:shd w:val="clear" w:color="auto" w:fill="FFFFFF"/>
            <w:vAlign w:val="center"/>
          </w:tcPr>
          <w:p w14:paraId="61F1A4B7">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bCs/>
                <w:snapToGrid w:val="0"/>
                <w:color w:val="auto"/>
                <w:sz w:val="24"/>
                <w:szCs w:val="24"/>
                <w:lang w:val="en-US" w:eastAsia="zh-CN" w:bidi="ar-SA"/>
              </w:rPr>
            </w:pPr>
            <w:r>
              <w:rPr>
                <w:rFonts w:asciiTheme="majorEastAsia" w:hAnsiTheme="majorEastAsia" w:eastAsiaTheme="majorEastAsia"/>
                <w:b w:val="0"/>
                <w:bCs/>
                <w:color w:val="auto"/>
                <w:sz w:val="24"/>
                <w:szCs w:val="24"/>
                <w:lang w:eastAsia="zh-CN"/>
              </w:rPr>
              <w:t>验收项目</w:t>
            </w:r>
          </w:p>
        </w:tc>
        <w:tc>
          <w:tcPr>
            <w:tcW w:w="3350" w:type="dxa"/>
            <w:shd w:val="clear" w:color="auto" w:fill="FFFFFF"/>
            <w:vAlign w:val="center"/>
          </w:tcPr>
          <w:p w14:paraId="21879962">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bCs/>
                <w:snapToGrid w:val="0"/>
                <w:color w:val="auto"/>
                <w:sz w:val="24"/>
                <w:szCs w:val="24"/>
                <w:lang w:val="en-US" w:eastAsia="zh-CN" w:bidi="ar-SA"/>
              </w:rPr>
            </w:pPr>
            <w:r>
              <w:rPr>
                <w:rFonts w:asciiTheme="majorEastAsia" w:hAnsiTheme="majorEastAsia" w:eastAsiaTheme="majorEastAsia"/>
                <w:b w:val="0"/>
                <w:bCs/>
                <w:color w:val="auto"/>
                <w:sz w:val="24"/>
                <w:szCs w:val="24"/>
                <w:lang w:eastAsia="zh-CN"/>
              </w:rPr>
              <w:t>标准要求</w:t>
            </w:r>
          </w:p>
        </w:tc>
        <w:tc>
          <w:tcPr>
            <w:tcW w:w="3209" w:type="dxa"/>
            <w:shd w:val="clear" w:color="auto" w:fill="FFFFFF"/>
            <w:vAlign w:val="center"/>
          </w:tcPr>
          <w:p w14:paraId="23004469">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bCs/>
                <w:snapToGrid w:val="0"/>
                <w:color w:val="auto"/>
                <w:sz w:val="24"/>
                <w:szCs w:val="24"/>
                <w:lang w:val="en-US" w:eastAsia="zh-CN" w:bidi="ar-SA"/>
              </w:rPr>
            </w:pPr>
            <w:r>
              <w:rPr>
                <w:rFonts w:asciiTheme="majorEastAsia" w:hAnsiTheme="majorEastAsia" w:eastAsiaTheme="majorEastAsia"/>
                <w:b w:val="0"/>
                <w:bCs/>
                <w:color w:val="auto"/>
                <w:sz w:val="24"/>
                <w:szCs w:val="24"/>
                <w:lang w:eastAsia="zh-CN"/>
              </w:rPr>
              <w:t>验收结果 □合格 □不合格</w:t>
            </w:r>
          </w:p>
        </w:tc>
        <w:tc>
          <w:tcPr>
            <w:tcW w:w="1339" w:type="dxa"/>
            <w:shd w:val="clear" w:color="auto" w:fill="FFFFFF"/>
            <w:vAlign w:val="center"/>
          </w:tcPr>
          <w:p w14:paraId="406E4A31">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bCs/>
                <w:snapToGrid w:val="0"/>
                <w:color w:val="auto"/>
                <w:sz w:val="24"/>
                <w:szCs w:val="24"/>
                <w:lang w:val="en-US" w:eastAsia="zh-CN" w:bidi="ar-SA"/>
              </w:rPr>
            </w:pPr>
            <w:r>
              <w:rPr>
                <w:rFonts w:asciiTheme="majorEastAsia" w:hAnsiTheme="majorEastAsia" w:eastAsiaTheme="majorEastAsia"/>
                <w:b w:val="0"/>
                <w:bCs/>
                <w:color w:val="auto"/>
                <w:sz w:val="24"/>
                <w:szCs w:val="24"/>
                <w:lang w:eastAsia="zh-CN"/>
              </w:rPr>
              <w:t>备注</w:t>
            </w:r>
          </w:p>
        </w:tc>
      </w:tr>
      <w:tr w14:paraId="3093A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740" w:type="dxa"/>
            <w:shd w:val="clear" w:color="auto" w:fill="FFFFFF"/>
            <w:vAlign w:val="center"/>
          </w:tcPr>
          <w:p w14:paraId="1449E729">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350" w:type="dxa"/>
            <w:shd w:val="clear" w:color="auto" w:fill="FFFFFF"/>
            <w:vAlign w:val="center"/>
          </w:tcPr>
          <w:p w14:paraId="7421EA44">
            <w:pPr>
              <w:keepNext w:val="0"/>
              <w:keepLines w:val="0"/>
              <w:pageBreakBefore w:val="0"/>
              <w:widowControl/>
              <w:kinsoku/>
              <w:wordWrap/>
              <w:overflowPunct/>
              <w:topLinePunct w:val="0"/>
              <w:autoSpaceDE/>
              <w:autoSpaceDN/>
              <w:bidi w:val="0"/>
              <w:adjustRightInd/>
              <w:snapToGrid/>
              <w:spacing w:after="0" w:line="240" w:lineRule="auto"/>
              <w:jc w:val="left"/>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209" w:type="dxa"/>
            <w:shd w:val="clear" w:color="auto" w:fill="FFFFFF"/>
            <w:vAlign w:val="center"/>
          </w:tcPr>
          <w:p w14:paraId="14FFE0B3">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1339" w:type="dxa"/>
            <w:shd w:val="clear" w:color="auto" w:fill="FFFFFF"/>
            <w:vAlign w:val="center"/>
          </w:tcPr>
          <w:p w14:paraId="2DBBDEC5">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Times New Roman" w:asciiTheme="majorEastAsia" w:hAnsiTheme="majorEastAsia" w:eastAsiaTheme="majorEastAsia"/>
                <w:b w:val="0"/>
                <w:snapToGrid w:val="0"/>
                <w:color w:val="auto"/>
                <w:sz w:val="24"/>
                <w:szCs w:val="24"/>
                <w:lang w:val="en-US" w:eastAsia="zh-CN" w:bidi="ar-SA"/>
              </w:rPr>
            </w:pPr>
          </w:p>
        </w:tc>
      </w:tr>
      <w:tr w14:paraId="0B386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740" w:type="dxa"/>
            <w:shd w:val="clear" w:color="auto" w:fill="FFFFFF"/>
            <w:vAlign w:val="center"/>
          </w:tcPr>
          <w:p w14:paraId="145AC1C4">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350" w:type="dxa"/>
            <w:shd w:val="clear" w:color="auto" w:fill="FFFFFF"/>
            <w:vAlign w:val="center"/>
          </w:tcPr>
          <w:p w14:paraId="14AA15C9">
            <w:pPr>
              <w:keepNext w:val="0"/>
              <w:keepLines w:val="0"/>
              <w:pageBreakBefore w:val="0"/>
              <w:widowControl/>
              <w:kinsoku/>
              <w:wordWrap/>
              <w:overflowPunct/>
              <w:topLinePunct w:val="0"/>
              <w:autoSpaceDE/>
              <w:autoSpaceDN/>
              <w:bidi w:val="0"/>
              <w:adjustRightInd/>
              <w:snapToGrid/>
              <w:spacing w:after="0" w:line="240" w:lineRule="auto"/>
              <w:jc w:val="left"/>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209" w:type="dxa"/>
            <w:shd w:val="clear" w:color="auto" w:fill="FFFFFF"/>
            <w:vAlign w:val="center"/>
          </w:tcPr>
          <w:p w14:paraId="1FD7D978">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1339" w:type="dxa"/>
            <w:shd w:val="clear" w:color="auto" w:fill="FFFFFF"/>
            <w:vAlign w:val="center"/>
          </w:tcPr>
          <w:p w14:paraId="639F8122">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Times New Roman" w:asciiTheme="majorEastAsia" w:hAnsiTheme="majorEastAsia" w:eastAsiaTheme="majorEastAsia"/>
                <w:b w:val="0"/>
                <w:snapToGrid w:val="0"/>
                <w:color w:val="auto"/>
                <w:sz w:val="24"/>
                <w:szCs w:val="24"/>
                <w:lang w:val="en-US" w:eastAsia="zh-CN" w:bidi="ar-SA"/>
              </w:rPr>
            </w:pPr>
          </w:p>
        </w:tc>
      </w:tr>
      <w:tr w14:paraId="4FD87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740" w:type="dxa"/>
            <w:shd w:val="clear" w:color="auto" w:fill="FFFFFF"/>
            <w:vAlign w:val="center"/>
          </w:tcPr>
          <w:p w14:paraId="4D864035">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350" w:type="dxa"/>
            <w:shd w:val="clear" w:color="auto" w:fill="FFFFFF"/>
            <w:vAlign w:val="center"/>
          </w:tcPr>
          <w:p w14:paraId="7A4B8E38">
            <w:pPr>
              <w:keepNext w:val="0"/>
              <w:keepLines w:val="0"/>
              <w:pageBreakBefore w:val="0"/>
              <w:widowControl/>
              <w:kinsoku/>
              <w:wordWrap/>
              <w:overflowPunct/>
              <w:topLinePunct w:val="0"/>
              <w:autoSpaceDE/>
              <w:autoSpaceDN/>
              <w:bidi w:val="0"/>
              <w:adjustRightInd/>
              <w:snapToGrid/>
              <w:spacing w:after="0" w:line="240" w:lineRule="auto"/>
              <w:jc w:val="left"/>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209" w:type="dxa"/>
            <w:shd w:val="clear" w:color="auto" w:fill="FFFFFF"/>
            <w:vAlign w:val="center"/>
          </w:tcPr>
          <w:p w14:paraId="2C71F4EB">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1339" w:type="dxa"/>
            <w:shd w:val="clear" w:color="auto" w:fill="FFFFFF"/>
            <w:vAlign w:val="center"/>
          </w:tcPr>
          <w:p w14:paraId="3576759E">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Times New Roman" w:asciiTheme="majorEastAsia" w:hAnsiTheme="majorEastAsia" w:eastAsiaTheme="majorEastAsia"/>
                <w:b w:val="0"/>
                <w:snapToGrid w:val="0"/>
                <w:color w:val="auto"/>
                <w:sz w:val="24"/>
                <w:szCs w:val="24"/>
                <w:lang w:val="en-US" w:eastAsia="zh-CN" w:bidi="ar-SA"/>
              </w:rPr>
            </w:pPr>
          </w:p>
        </w:tc>
      </w:tr>
      <w:tr w14:paraId="7D50A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740" w:type="dxa"/>
            <w:shd w:val="clear" w:color="auto" w:fill="FFFFFF"/>
            <w:vAlign w:val="center"/>
          </w:tcPr>
          <w:p w14:paraId="5FBB70B2">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350" w:type="dxa"/>
            <w:shd w:val="clear" w:color="auto" w:fill="FFFFFF"/>
            <w:vAlign w:val="center"/>
          </w:tcPr>
          <w:p w14:paraId="57DB95B9">
            <w:pPr>
              <w:keepNext w:val="0"/>
              <w:keepLines w:val="0"/>
              <w:pageBreakBefore w:val="0"/>
              <w:widowControl/>
              <w:kinsoku/>
              <w:wordWrap/>
              <w:overflowPunct/>
              <w:topLinePunct w:val="0"/>
              <w:autoSpaceDE/>
              <w:autoSpaceDN/>
              <w:bidi w:val="0"/>
              <w:adjustRightInd/>
              <w:snapToGrid/>
              <w:spacing w:after="0" w:line="240" w:lineRule="auto"/>
              <w:jc w:val="left"/>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209" w:type="dxa"/>
            <w:shd w:val="clear" w:color="auto" w:fill="FFFFFF"/>
            <w:vAlign w:val="center"/>
          </w:tcPr>
          <w:p w14:paraId="17580A49">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1339" w:type="dxa"/>
            <w:shd w:val="clear" w:color="auto" w:fill="FFFFFF"/>
            <w:vAlign w:val="center"/>
          </w:tcPr>
          <w:p w14:paraId="614386FF">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Times New Roman" w:asciiTheme="majorEastAsia" w:hAnsiTheme="majorEastAsia" w:eastAsiaTheme="majorEastAsia"/>
                <w:b w:val="0"/>
                <w:snapToGrid w:val="0"/>
                <w:color w:val="auto"/>
                <w:sz w:val="24"/>
                <w:szCs w:val="24"/>
                <w:lang w:val="en-US" w:eastAsia="zh-CN" w:bidi="ar-SA"/>
              </w:rPr>
            </w:pPr>
          </w:p>
        </w:tc>
      </w:tr>
      <w:tr w14:paraId="660B3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740" w:type="dxa"/>
            <w:shd w:val="clear" w:color="auto" w:fill="FFFFFF"/>
            <w:vAlign w:val="center"/>
          </w:tcPr>
          <w:p w14:paraId="250F9307">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350" w:type="dxa"/>
            <w:shd w:val="clear" w:color="auto" w:fill="FFFFFF"/>
            <w:vAlign w:val="center"/>
          </w:tcPr>
          <w:p w14:paraId="09BF8CCA">
            <w:pPr>
              <w:keepNext w:val="0"/>
              <w:keepLines w:val="0"/>
              <w:pageBreakBefore w:val="0"/>
              <w:widowControl/>
              <w:kinsoku/>
              <w:wordWrap/>
              <w:overflowPunct/>
              <w:topLinePunct w:val="0"/>
              <w:autoSpaceDE/>
              <w:autoSpaceDN/>
              <w:bidi w:val="0"/>
              <w:adjustRightInd/>
              <w:snapToGrid/>
              <w:spacing w:after="0" w:line="240" w:lineRule="auto"/>
              <w:jc w:val="left"/>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209" w:type="dxa"/>
            <w:shd w:val="clear" w:color="auto" w:fill="FFFFFF"/>
            <w:vAlign w:val="center"/>
          </w:tcPr>
          <w:p w14:paraId="7A647D8B">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1339" w:type="dxa"/>
            <w:shd w:val="clear" w:color="auto" w:fill="FFFFFF"/>
            <w:vAlign w:val="center"/>
          </w:tcPr>
          <w:p w14:paraId="63038865">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Times New Roman" w:asciiTheme="majorEastAsia" w:hAnsiTheme="majorEastAsia" w:eastAsiaTheme="majorEastAsia"/>
                <w:b w:val="0"/>
                <w:snapToGrid w:val="0"/>
                <w:color w:val="auto"/>
                <w:sz w:val="24"/>
                <w:szCs w:val="24"/>
                <w:lang w:val="en-US" w:eastAsia="zh-CN" w:bidi="ar-SA"/>
              </w:rPr>
            </w:pPr>
          </w:p>
        </w:tc>
      </w:tr>
      <w:tr w14:paraId="56423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740" w:type="dxa"/>
            <w:shd w:val="clear" w:color="auto" w:fill="FFFFFF"/>
            <w:vAlign w:val="center"/>
          </w:tcPr>
          <w:p w14:paraId="1F63ADD4">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350" w:type="dxa"/>
            <w:shd w:val="clear" w:color="auto" w:fill="FFFFFF"/>
            <w:vAlign w:val="center"/>
          </w:tcPr>
          <w:p w14:paraId="5C7CC22D">
            <w:pPr>
              <w:keepNext w:val="0"/>
              <w:keepLines w:val="0"/>
              <w:pageBreakBefore w:val="0"/>
              <w:widowControl/>
              <w:kinsoku/>
              <w:wordWrap/>
              <w:overflowPunct/>
              <w:topLinePunct w:val="0"/>
              <w:autoSpaceDE/>
              <w:autoSpaceDN/>
              <w:bidi w:val="0"/>
              <w:adjustRightInd/>
              <w:snapToGrid/>
              <w:spacing w:after="0" w:line="240" w:lineRule="auto"/>
              <w:jc w:val="left"/>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209" w:type="dxa"/>
            <w:shd w:val="clear" w:color="auto" w:fill="FFFFFF"/>
            <w:vAlign w:val="center"/>
          </w:tcPr>
          <w:p w14:paraId="1C930C99">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1339" w:type="dxa"/>
            <w:shd w:val="clear" w:color="auto" w:fill="FFFFFF"/>
            <w:vAlign w:val="center"/>
          </w:tcPr>
          <w:p w14:paraId="4A1C6E6D">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Times New Roman" w:asciiTheme="majorEastAsia" w:hAnsiTheme="majorEastAsia" w:eastAsiaTheme="majorEastAsia"/>
                <w:b w:val="0"/>
                <w:snapToGrid w:val="0"/>
                <w:color w:val="auto"/>
                <w:sz w:val="24"/>
                <w:szCs w:val="24"/>
                <w:lang w:val="en-US" w:eastAsia="zh-CN" w:bidi="ar-SA"/>
              </w:rPr>
            </w:pPr>
          </w:p>
        </w:tc>
      </w:tr>
      <w:tr w14:paraId="76569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740" w:type="dxa"/>
            <w:shd w:val="clear" w:color="auto" w:fill="FFFFFF"/>
            <w:vAlign w:val="center"/>
          </w:tcPr>
          <w:p w14:paraId="22C83645">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350" w:type="dxa"/>
            <w:shd w:val="clear" w:color="auto" w:fill="FFFFFF"/>
            <w:vAlign w:val="center"/>
          </w:tcPr>
          <w:p w14:paraId="007D85C2">
            <w:pPr>
              <w:keepNext w:val="0"/>
              <w:keepLines w:val="0"/>
              <w:pageBreakBefore w:val="0"/>
              <w:widowControl/>
              <w:kinsoku/>
              <w:wordWrap/>
              <w:overflowPunct/>
              <w:topLinePunct w:val="0"/>
              <w:autoSpaceDE/>
              <w:autoSpaceDN/>
              <w:bidi w:val="0"/>
              <w:adjustRightInd/>
              <w:snapToGrid/>
              <w:spacing w:after="0" w:line="240" w:lineRule="auto"/>
              <w:jc w:val="left"/>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209" w:type="dxa"/>
            <w:shd w:val="clear" w:color="auto" w:fill="FFFFFF"/>
            <w:vAlign w:val="center"/>
          </w:tcPr>
          <w:p w14:paraId="2D9B0318">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1339" w:type="dxa"/>
            <w:shd w:val="clear" w:color="auto" w:fill="FFFFFF"/>
            <w:vAlign w:val="center"/>
          </w:tcPr>
          <w:p w14:paraId="16A415A5">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Times New Roman" w:asciiTheme="majorEastAsia" w:hAnsiTheme="majorEastAsia" w:eastAsiaTheme="majorEastAsia"/>
                <w:b w:val="0"/>
                <w:snapToGrid w:val="0"/>
                <w:color w:val="auto"/>
                <w:sz w:val="24"/>
                <w:szCs w:val="24"/>
                <w:lang w:val="en-US" w:eastAsia="zh-CN" w:bidi="ar-SA"/>
              </w:rPr>
            </w:pPr>
          </w:p>
        </w:tc>
      </w:tr>
      <w:tr w14:paraId="39224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740" w:type="dxa"/>
            <w:shd w:val="clear" w:color="auto" w:fill="FFFFFF"/>
            <w:vAlign w:val="center"/>
          </w:tcPr>
          <w:p w14:paraId="38218825">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350" w:type="dxa"/>
            <w:shd w:val="clear" w:color="auto" w:fill="FFFFFF"/>
            <w:vAlign w:val="center"/>
          </w:tcPr>
          <w:p w14:paraId="06069D54">
            <w:pPr>
              <w:keepNext w:val="0"/>
              <w:keepLines w:val="0"/>
              <w:pageBreakBefore w:val="0"/>
              <w:widowControl/>
              <w:kinsoku/>
              <w:wordWrap/>
              <w:overflowPunct/>
              <w:topLinePunct w:val="0"/>
              <w:autoSpaceDE/>
              <w:autoSpaceDN/>
              <w:bidi w:val="0"/>
              <w:adjustRightInd/>
              <w:snapToGrid/>
              <w:spacing w:after="0" w:line="240" w:lineRule="auto"/>
              <w:jc w:val="left"/>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209" w:type="dxa"/>
            <w:shd w:val="clear" w:color="auto" w:fill="FFFFFF"/>
            <w:vAlign w:val="center"/>
          </w:tcPr>
          <w:p w14:paraId="729CAAD1">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1339" w:type="dxa"/>
            <w:shd w:val="clear" w:color="auto" w:fill="FFFFFF"/>
            <w:vAlign w:val="center"/>
          </w:tcPr>
          <w:p w14:paraId="054C6EC5">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Times New Roman" w:asciiTheme="majorEastAsia" w:hAnsiTheme="majorEastAsia" w:eastAsiaTheme="majorEastAsia"/>
                <w:b w:val="0"/>
                <w:snapToGrid w:val="0"/>
                <w:color w:val="auto"/>
                <w:sz w:val="24"/>
                <w:szCs w:val="24"/>
                <w:lang w:val="en-US" w:eastAsia="zh-CN" w:bidi="ar-SA"/>
              </w:rPr>
            </w:pPr>
          </w:p>
        </w:tc>
      </w:tr>
      <w:tr w14:paraId="742DF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740" w:type="dxa"/>
            <w:shd w:val="clear" w:color="auto" w:fill="FFFFFF"/>
            <w:vAlign w:val="center"/>
          </w:tcPr>
          <w:p w14:paraId="1F9D807F">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350" w:type="dxa"/>
            <w:shd w:val="clear" w:color="auto" w:fill="FFFFFF"/>
            <w:vAlign w:val="center"/>
          </w:tcPr>
          <w:p w14:paraId="61A4A188">
            <w:pPr>
              <w:keepNext w:val="0"/>
              <w:keepLines w:val="0"/>
              <w:pageBreakBefore w:val="0"/>
              <w:widowControl/>
              <w:kinsoku/>
              <w:wordWrap/>
              <w:overflowPunct/>
              <w:topLinePunct w:val="0"/>
              <w:autoSpaceDE/>
              <w:autoSpaceDN/>
              <w:bidi w:val="0"/>
              <w:adjustRightInd/>
              <w:snapToGrid/>
              <w:spacing w:after="0" w:line="240" w:lineRule="auto"/>
              <w:jc w:val="left"/>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3209" w:type="dxa"/>
            <w:shd w:val="clear" w:color="auto" w:fill="FFFFFF"/>
            <w:vAlign w:val="center"/>
          </w:tcPr>
          <w:p w14:paraId="721B96D3">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Arial" w:asciiTheme="majorEastAsia" w:hAnsiTheme="majorEastAsia" w:eastAsiaTheme="majorEastAsia"/>
                <w:b w:val="0"/>
                <w:snapToGrid w:val="0"/>
                <w:color w:val="auto"/>
                <w:sz w:val="24"/>
                <w:szCs w:val="24"/>
                <w:lang w:val="en-US" w:eastAsia="zh-CN" w:bidi="ar-SA"/>
              </w:rPr>
            </w:pPr>
          </w:p>
        </w:tc>
        <w:tc>
          <w:tcPr>
            <w:tcW w:w="1339" w:type="dxa"/>
            <w:shd w:val="clear" w:color="auto" w:fill="FFFFFF"/>
            <w:vAlign w:val="center"/>
          </w:tcPr>
          <w:p w14:paraId="0F91BC4F">
            <w:pPr>
              <w:keepNext w:val="0"/>
              <w:keepLines w:val="0"/>
              <w:pageBreakBefore w:val="0"/>
              <w:widowControl/>
              <w:kinsoku/>
              <w:wordWrap/>
              <w:overflowPunct/>
              <w:topLinePunct w:val="0"/>
              <w:autoSpaceDE/>
              <w:autoSpaceDN/>
              <w:bidi w:val="0"/>
              <w:adjustRightInd/>
              <w:snapToGrid/>
              <w:spacing w:after="0" w:line="240" w:lineRule="auto"/>
              <w:jc w:val="center"/>
              <w:textAlignment w:val="auto"/>
              <w:outlineLvl w:val="9"/>
              <w:rPr>
                <w:rFonts w:hint="eastAsia" w:cs="Times New Roman" w:asciiTheme="majorEastAsia" w:hAnsiTheme="majorEastAsia" w:eastAsiaTheme="majorEastAsia"/>
                <w:b w:val="0"/>
                <w:snapToGrid w:val="0"/>
                <w:color w:val="auto"/>
                <w:sz w:val="24"/>
                <w:szCs w:val="24"/>
                <w:lang w:val="en-US" w:eastAsia="zh-CN" w:bidi="ar-SA"/>
              </w:rPr>
            </w:pPr>
          </w:p>
        </w:tc>
      </w:tr>
    </w:tbl>
    <w:p w14:paraId="615BB208">
      <w:pPr>
        <w:kinsoku/>
        <w:autoSpaceDE/>
        <w:autoSpaceDN/>
        <w:adjustRightInd/>
        <w:snapToGrid/>
        <w:spacing w:line="480" w:lineRule="auto"/>
        <w:textAlignment w:val="auto"/>
        <w:outlineLvl w:val="9"/>
        <w:rPr>
          <w:rFonts w:asciiTheme="majorEastAsia" w:hAnsiTheme="majorEastAsia" w:eastAsiaTheme="majorEastAsia"/>
          <w:color w:val="auto"/>
          <w:sz w:val="28"/>
          <w:szCs w:val="28"/>
          <w:lang w:eastAsia="zh-CN"/>
        </w:rPr>
      </w:pPr>
    </w:p>
    <w:p w14:paraId="784DA38D">
      <w:pPr>
        <w:kinsoku/>
        <w:autoSpaceDE/>
        <w:autoSpaceDN/>
        <w:adjustRightInd/>
        <w:snapToGrid/>
        <w:spacing w:line="480" w:lineRule="auto"/>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甲方验收人签字：__________</w:t>
      </w:r>
      <w:r>
        <w:rPr>
          <w:rFonts w:hint="eastAsia" w:asciiTheme="majorEastAsia" w:hAnsiTheme="majorEastAsia" w:eastAsiaTheme="majorEastAsia"/>
          <w:color w:val="auto"/>
          <w:sz w:val="28"/>
          <w:szCs w:val="28"/>
          <w:lang w:eastAsia="zh-CN"/>
        </w:rPr>
        <w:t xml:space="preserve">           </w:t>
      </w:r>
      <w:r>
        <w:rPr>
          <w:rFonts w:asciiTheme="majorEastAsia" w:hAnsiTheme="majorEastAsia" w:eastAsiaTheme="majorEastAsia"/>
          <w:color w:val="auto"/>
          <w:sz w:val="28"/>
          <w:szCs w:val="28"/>
          <w:lang w:eastAsia="zh-CN"/>
        </w:rPr>
        <w:t>乙方项目负责人签字：_________</w:t>
      </w:r>
    </w:p>
    <w:p w14:paraId="3372FFEC">
      <w:pPr>
        <w:kinsoku/>
        <w:autoSpaceDE/>
        <w:autoSpaceDN/>
        <w:adjustRightInd/>
        <w:snapToGrid/>
        <w:spacing w:line="480" w:lineRule="auto"/>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甲方（盖章）：__________</w:t>
      </w:r>
      <w:r>
        <w:rPr>
          <w:rFonts w:hint="eastAsia" w:asciiTheme="majorEastAsia" w:hAnsiTheme="majorEastAsia" w:eastAsiaTheme="majorEastAsia"/>
          <w:color w:val="auto"/>
          <w:sz w:val="28"/>
          <w:szCs w:val="28"/>
          <w:lang w:eastAsia="zh-CN"/>
        </w:rPr>
        <w:t xml:space="preserve">             </w:t>
      </w:r>
      <w:r>
        <w:rPr>
          <w:rFonts w:asciiTheme="majorEastAsia" w:hAnsiTheme="majorEastAsia" w:eastAsiaTheme="majorEastAsia"/>
          <w:color w:val="auto"/>
          <w:sz w:val="28"/>
          <w:szCs w:val="28"/>
          <w:lang w:eastAsia="zh-CN"/>
        </w:rPr>
        <w:t>乙方（盖章）：__________</w:t>
      </w:r>
      <w:r>
        <w:rPr>
          <w:rFonts w:hint="eastAsia" w:asciiTheme="majorEastAsia" w:hAnsiTheme="majorEastAsia" w:eastAsiaTheme="majorEastAsia"/>
          <w:color w:val="auto"/>
          <w:sz w:val="28"/>
          <w:szCs w:val="28"/>
          <w:lang w:eastAsia="zh-CN"/>
        </w:rPr>
        <w:t xml:space="preserve">  </w:t>
      </w:r>
    </w:p>
    <w:p w14:paraId="7F6645A1">
      <w:pPr>
        <w:kinsoku/>
        <w:autoSpaceDE/>
        <w:autoSpaceDN/>
        <w:adjustRightInd/>
        <w:snapToGrid/>
        <w:spacing w:line="480" w:lineRule="auto"/>
        <w:textAlignment w:val="auto"/>
        <w:outlineLvl w:val="9"/>
        <w:rPr>
          <w:rFonts w:asciiTheme="majorEastAsia" w:hAnsiTheme="majorEastAsia" w:eastAsiaTheme="majorEastAsia"/>
          <w:color w:val="auto"/>
          <w:sz w:val="28"/>
          <w:szCs w:val="28"/>
          <w:lang w:eastAsia="zh-CN"/>
        </w:rPr>
      </w:pPr>
      <w:r>
        <w:rPr>
          <w:rFonts w:asciiTheme="majorEastAsia" w:hAnsiTheme="majorEastAsia" w:eastAsiaTheme="majorEastAsia"/>
          <w:color w:val="auto"/>
          <w:sz w:val="28"/>
          <w:szCs w:val="28"/>
          <w:lang w:eastAsia="zh-CN"/>
        </w:rPr>
        <w:t>日期：______年____月____日</w:t>
      </w:r>
      <w:r>
        <w:rPr>
          <w:rFonts w:hint="eastAsia" w:asciiTheme="majorEastAsia" w:hAnsiTheme="majorEastAsia" w:eastAsiaTheme="majorEastAsia"/>
          <w:color w:val="auto"/>
          <w:sz w:val="28"/>
          <w:szCs w:val="28"/>
          <w:lang w:eastAsia="zh-CN"/>
        </w:rPr>
        <w:t xml:space="preserve">           </w:t>
      </w:r>
      <w:r>
        <w:rPr>
          <w:rFonts w:asciiTheme="majorEastAsia" w:hAnsiTheme="majorEastAsia" w:eastAsiaTheme="majorEastAsia"/>
          <w:color w:val="auto"/>
          <w:sz w:val="28"/>
          <w:szCs w:val="28"/>
          <w:lang w:eastAsia="zh-CN"/>
        </w:rPr>
        <w:t>日期：______年____月____日</w:t>
      </w:r>
    </w:p>
    <w:p w14:paraId="7A59E982">
      <w:pPr>
        <w:keepNext w:val="0"/>
        <w:keepLines w:val="0"/>
        <w:pageBreakBefore w:val="0"/>
        <w:overflowPunct/>
        <w:topLinePunct w:val="0"/>
        <w:autoSpaceDE/>
        <w:autoSpaceDN/>
        <w:bidi w:val="0"/>
        <w:spacing w:line="360" w:lineRule="auto"/>
        <w:ind w:firstLine="480" w:firstLineChars="200"/>
        <w:textAlignment w:val="auto"/>
        <w:rPr>
          <w:rFonts w:hint="eastAsia" w:ascii="宋体" w:hAnsi="宋体" w:eastAsia="宋体" w:cs="宋体"/>
          <w:color w:val="auto"/>
          <w:sz w:val="24"/>
          <w:highlight w:val="none"/>
        </w:rPr>
      </w:pPr>
    </w:p>
    <w:p w14:paraId="23B86D5C">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1F738A6A">
      <w:pPr>
        <w:jc w:val="center"/>
        <w:outlineLvl w:val="1"/>
        <w:rPr>
          <w:rFonts w:hint="eastAsia" w:ascii="宋体" w:hAnsi="宋体" w:cs="宋体"/>
          <w:b/>
          <w:color w:val="auto"/>
          <w:sz w:val="40"/>
          <w:szCs w:val="40"/>
          <w:lang w:val="en-US" w:eastAsia="zh-CN"/>
        </w:rPr>
      </w:pPr>
      <w:r>
        <w:rPr>
          <w:rFonts w:hint="eastAsia" w:ascii="宋体" w:hAnsi="宋体" w:cs="宋体"/>
          <w:b/>
          <w:color w:val="auto"/>
          <w:sz w:val="40"/>
          <w:szCs w:val="40"/>
          <w:lang w:val="en-US" w:eastAsia="zh-CN"/>
        </w:rPr>
        <w:t>第五部分  投标文件格式</w:t>
      </w:r>
    </w:p>
    <w:p w14:paraId="3672416B">
      <w:pPr>
        <w:rPr>
          <w:rFonts w:hint="eastAsia" w:ascii="宋体" w:hAnsi="宋体" w:eastAsia="宋体" w:cs="宋体"/>
          <w:color w:val="auto"/>
        </w:rPr>
      </w:pPr>
    </w:p>
    <w:p w14:paraId="6A336902">
      <w:pPr>
        <w:rPr>
          <w:rFonts w:hint="eastAsia" w:ascii="宋体" w:hAnsi="宋体" w:eastAsia="宋体" w:cs="宋体"/>
          <w:b/>
          <w:color w:val="auto"/>
          <w:sz w:val="28"/>
          <w:szCs w:val="28"/>
          <w:lang w:eastAsia="zh-CN"/>
        </w:rPr>
      </w:pPr>
      <w:r>
        <w:rPr>
          <w:rFonts w:hint="eastAsia" w:ascii="宋体" w:hAnsi="宋体" w:eastAsia="宋体" w:cs="宋体"/>
          <w:b/>
          <w:bCs/>
          <w:color w:val="auto"/>
          <w:sz w:val="28"/>
          <w:szCs w:val="28"/>
        </w:rPr>
        <w:t>项目编号:</w:t>
      </w:r>
      <w:r>
        <w:rPr>
          <w:rFonts w:hint="eastAsia" w:ascii="宋体" w:hAnsi="宋体" w:cs="宋体"/>
          <w:b/>
          <w:bCs/>
          <w:color w:val="auto"/>
          <w:sz w:val="28"/>
          <w:szCs w:val="28"/>
          <w:lang w:eastAsia="zh-CN"/>
        </w:rPr>
        <w:t>SXHYZB-2610.1B1</w:t>
      </w:r>
    </w:p>
    <w:p w14:paraId="55C303D8">
      <w:pPr>
        <w:spacing w:line="360" w:lineRule="auto"/>
        <w:ind w:firstLine="6887" w:firstLineChars="2450"/>
        <w:rPr>
          <w:rFonts w:hint="eastAsia" w:ascii="宋体" w:hAnsi="宋体" w:eastAsia="宋体" w:cs="宋体"/>
          <w:color w:val="auto"/>
          <w:szCs w:val="21"/>
        </w:rPr>
      </w:pPr>
      <w:r>
        <w:rPr>
          <w:rFonts w:hint="eastAsia" w:ascii="宋体" w:hAnsi="宋体" w:eastAsia="宋体" w:cs="宋体"/>
          <w:b/>
          <w:color w:val="auto"/>
          <w:sz w:val="28"/>
          <w:szCs w:val="28"/>
        </w:rPr>
        <w:t>（正本或副本）</w:t>
      </w:r>
    </w:p>
    <w:p w14:paraId="3C506120">
      <w:pPr>
        <w:rPr>
          <w:rFonts w:hint="eastAsia" w:ascii="宋体" w:hAnsi="宋体" w:eastAsia="宋体" w:cs="宋体"/>
          <w:color w:val="auto"/>
        </w:rPr>
      </w:pPr>
    </w:p>
    <w:p w14:paraId="35F53DF7">
      <w:pPr>
        <w:widowControl/>
        <w:spacing w:line="360" w:lineRule="auto"/>
        <w:jc w:val="center"/>
        <w:rPr>
          <w:rFonts w:hint="eastAsia" w:ascii="宋体" w:hAnsi="宋体" w:eastAsia="宋体" w:cs="宋体"/>
          <w:b/>
          <w:bCs/>
          <w:color w:val="auto"/>
          <w:kern w:val="0"/>
          <w:sz w:val="56"/>
          <w:szCs w:val="56"/>
          <w:lang w:eastAsia="zh-CN"/>
        </w:rPr>
      </w:pPr>
      <w:r>
        <w:rPr>
          <w:rFonts w:hint="eastAsia" w:ascii="宋体" w:hAnsi="宋体" w:eastAsia="宋体" w:cs="宋体"/>
          <w:b/>
          <w:bCs/>
          <w:color w:val="auto"/>
          <w:kern w:val="0"/>
          <w:sz w:val="56"/>
          <w:szCs w:val="56"/>
          <w:lang w:eastAsia="zh-CN"/>
        </w:rPr>
        <w:t>延安市公安局</w:t>
      </w:r>
      <w:r>
        <w:rPr>
          <w:rFonts w:hint="eastAsia" w:ascii="宋体" w:hAnsi="宋体" w:cs="宋体"/>
          <w:b/>
          <w:bCs/>
          <w:color w:val="auto"/>
          <w:kern w:val="0"/>
          <w:sz w:val="56"/>
          <w:szCs w:val="56"/>
          <w:lang w:eastAsia="zh-CN"/>
        </w:rPr>
        <w:t>市县两级110统一接警运营维护服务项目（二次）</w:t>
      </w:r>
    </w:p>
    <w:p w14:paraId="57A0F903">
      <w:pPr>
        <w:spacing w:line="360" w:lineRule="auto"/>
        <w:rPr>
          <w:rFonts w:hint="eastAsia" w:ascii="宋体" w:hAnsi="宋体" w:eastAsia="宋体" w:cs="宋体"/>
          <w:color w:val="auto"/>
        </w:rPr>
      </w:pPr>
    </w:p>
    <w:p w14:paraId="2EA2E22B">
      <w:pPr>
        <w:spacing w:line="360" w:lineRule="auto"/>
        <w:jc w:val="center"/>
        <w:rPr>
          <w:rFonts w:hint="eastAsia" w:ascii="宋体" w:hAnsi="宋体" w:eastAsia="宋体" w:cs="宋体"/>
          <w:b/>
          <w:color w:val="auto"/>
          <w:spacing w:val="4"/>
          <w:sz w:val="72"/>
          <w:szCs w:val="72"/>
        </w:rPr>
      </w:pPr>
    </w:p>
    <w:p w14:paraId="0F26BF29">
      <w:pPr>
        <w:spacing w:line="360" w:lineRule="auto"/>
        <w:jc w:val="center"/>
        <w:rPr>
          <w:rFonts w:hint="eastAsia" w:ascii="宋体" w:hAnsi="宋体" w:eastAsia="宋体" w:cs="宋体"/>
          <w:b/>
          <w:color w:val="auto"/>
          <w:spacing w:val="4"/>
          <w:sz w:val="72"/>
          <w:szCs w:val="72"/>
        </w:rPr>
      </w:pPr>
    </w:p>
    <w:p w14:paraId="60D6DE77">
      <w:pPr>
        <w:spacing w:line="360" w:lineRule="auto"/>
        <w:jc w:val="center"/>
        <w:rPr>
          <w:rFonts w:hint="eastAsia" w:ascii="宋体" w:hAnsi="宋体" w:eastAsia="宋体" w:cs="宋体"/>
          <w:b/>
          <w:color w:val="auto"/>
          <w:spacing w:val="4"/>
          <w:sz w:val="72"/>
          <w:szCs w:val="72"/>
        </w:rPr>
      </w:pPr>
      <w:r>
        <w:rPr>
          <w:rFonts w:hint="eastAsia" w:ascii="宋体" w:hAnsi="宋体" w:eastAsia="宋体" w:cs="宋体"/>
          <w:b/>
          <w:color w:val="auto"/>
          <w:spacing w:val="4"/>
          <w:sz w:val="72"/>
          <w:szCs w:val="72"/>
        </w:rPr>
        <w:t>投 标 文 件</w:t>
      </w:r>
    </w:p>
    <w:p w14:paraId="145BE87F">
      <w:pPr>
        <w:spacing w:line="360" w:lineRule="auto"/>
        <w:ind w:firstLine="2811" w:firstLineChars="1000"/>
        <w:rPr>
          <w:rFonts w:hint="eastAsia" w:ascii="宋体" w:hAnsi="宋体" w:eastAsia="宋体" w:cs="宋体"/>
          <w:b/>
          <w:bCs/>
          <w:color w:val="auto"/>
          <w:sz w:val="28"/>
          <w:szCs w:val="28"/>
        </w:rPr>
      </w:pPr>
    </w:p>
    <w:p w14:paraId="24E1A48B">
      <w:pPr>
        <w:pStyle w:val="8"/>
        <w:spacing w:line="360" w:lineRule="auto"/>
        <w:rPr>
          <w:rFonts w:hint="eastAsia" w:ascii="宋体" w:hAnsi="宋体" w:eastAsia="宋体" w:cs="宋体"/>
          <w:color w:val="auto"/>
        </w:rPr>
      </w:pPr>
    </w:p>
    <w:p w14:paraId="7E0DA135">
      <w:pPr>
        <w:rPr>
          <w:rFonts w:hint="eastAsia" w:ascii="宋体" w:hAnsi="宋体" w:eastAsia="宋体" w:cs="宋体"/>
          <w:color w:val="auto"/>
        </w:rPr>
      </w:pPr>
    </w:p>
    <w:p w14:paraId="227CF8E0">
      <w:pPr>
        <w:rPr>
          <w:rFonts w:hint="eastAsia" w:ascii="宋体" w:hAnsi="宋体" w:eastAsia="宋体" w:cs="宋体"/>
          <w:color w:val="auto"/>
        </w:rPr>
      </w:pPr>
    </w:p>
    <w:p w14:paraId="76EC808E">
      <w:pPr>
        <w:rPr>
          <w:rFonts w:hint="eastAsia" w:ascii="宋体" w:hAnsi="宋体" w:eastAsia="宋体" w:cs="宋体"/>
          <w:color w:val="auto"/>
        </w:rPr>
      </w:pPr>
    </w:p>
    <w:p w14:paraId="7F5E8727">
      <w:pPr>
        <w:rPr>
          <w:rFonts w:hint="eastAsia" w:ascii="宋体" w:hAnsi="宋体" w:eastAsia="宋体" w:cs="宋体"/>
          <w:color w:val="auto"/>
        </w:rPr>
      </w:pPr>
    </w:p>
    <w:p w14:paraId="5A2BA93D">
      <w:pPr>
        <w:pStyle w:val="8"/>
        <w:spacing w:line="360" w:lineRule="auto"/>
        <w:rPr>
          <w:rFonts w:hint="eastAsia" w:ascii="宋体" w:hAnsi="宋体" w:eastAsia="宋体" w:cs="宋体"/>
          <w:color w:val="auto"/>
        </w:rPr>
      </w:pPr>
    </w:p>
    <w:p w14:paraId="3F0D6B1E">
      <w:pPr>
        <w:spacing w:line="360" w:lineRule="auto"/>
        <w:rPr>
          <w:rFonts w:hint="eastAsia" w:ascii="宋体" w:hAnsi="宋体" w:eastAsia="宋体" w:cs="宋体"/>
          <w:color w:val="auto"/>
        </w:rPr>
      </w:pPr>
    </w:p>
    <w:p w14:paraId="357D1FF4">
      <w:pPr>
        <w:spacing w:line="360" w:lineRule="auto"/>
        <w:ind w:firstLine="167" w:firstLineChars="49"/>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投   标   人：</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（盖单位公章）</w:t>
      </w:r>
    </w:p>
    <w:p w14:paraId="0095EE96">
      <w:pPr>
        <w:spacing w:line="360" w:lineRule="auto"/>
        <w:ind w:firstLine="167" w:firstLineChars="49"/>
        <w:rPr>
          <w:rFonts w:hint="eastAsia" w:ascii="宋体" w:hAnsi="宋体" w:cs="宋体"/>
          <w:b/>
          <w:bCs/>
          <w:color w:val="auto"/>
          <w:spacing w:val="20"/>
          <w:sz w:val="30"/>
          <w:szCs w:val="30"/>
          <w:lang w:val="en-US" w:eastAsia="zh-CN"/>
        </w:rPr>
      </w:pPr>
      <w:r>
        <w:rPr>
          <w:rFonts w:hint="eastAsia" w:ascii="宋体" w:hAnsi="宋体" w:eastAsia="宋体" w:cs="宋体"/>
          <w:b/>
          <w:bCs/>
          <w:color w:val="auto"/>
          <w:spacing w:val="20"/>
          <w:sz w:val="30"/>
          <w:szCs w:val="30"/>
        </w:rPr>
        <w:t>法定代表人</w:t>
      </w:r>
      <w:r>
        <w:rPr>
          <w:rFonts w:hint="eastAsia" w:ascii="宋体" w:hAnsi="宋体" w:cs="宋体"/>
          <w:b/>
          <w:bCs/>
          <w:color w:val="auto"/>
          <w:spacing w:val="20"/>
          <w:sz w:val="30"/>
          <w:szCs w:val="30"/>
          <w:lang w:val="en-US" w:eastAsia="zh-CN"/>
        </w:rPr>
        <w:t>/负责人</w:t>
      </w:r>
    </w:p>
    <w:p w14:paraId="6B6AE337">
      <w:pPr>
        <w:spacing w:line="360" w:lineRule="auto"/>
        <w:ind w:firstLine="167" w:firstLineChars="49"/>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或其委托代理人：</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 xml:space="preserve"> （签字或盖章）</w:t>
      </w:r>
    </w:p>
    <w:p w14:paraId="3966E8EC">
      <w:pPr>
        <w:spacing w:line="360" w:lineRule="auto"/>
        <w:ind w:firstLine="167" w:firstLineChars="49"/>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日       期：</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年</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月</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日</w:t>
      </w:r>
    </w:p>
    <w:p w14:paraId="622C70BD">
      <w:pPr>
        <w:spacing w:line="360" w:lineRule="auto"/>
        <w:jc w:val="center"/>
        <w:rPr>
          <w:rFonts w:hint="eastAsia" w:ascii="宋体" w:hAnsi="宋体" w:eastAsia="宋体" w:cs="宋体"/>
          <w:b/>
          <w:color w:val="auto"/>
          <w:sz w:val="44"/>
          <w:szCs w:val="44"/>
        </w:rPr>
      </w:pPr>
    </w:p>
    <w:p w14:paraId="33033DA3">
      <w:pPr>
        <w:spacing w:line="360" w:lineRule="auto"/>
        <w:jc w:val="center"/>
        <w:rPr>
          <w:rFonts w:hint="eastAsia" w:ascii="宋体" w:hAnsi="宋体" w:eastAsia="宋体" w:cs="宋体"/>
          <w:b/>
          <w:color w:val="auto"/>
          <w:sz w:val="44"/>
          <w:szCs w:val="44"/>
        </w:rPr>
      </w:pPr>
      <w:r>
        <w:rPr>
          <w:rFonts w:hint="eastAsia" w:ascii="宋体" w:hAnsi="宋体" w:eastAsia="宋体" w:cs="宋体"/>
          <w:b/>
          <w:color w:val="auto"/>
          <w:sz w:val="44"/>
          <w:szCs w:val="44"/>
        </w:rPr>
        <w:t>目     录</w:t>
      </w:r>
    </w:p>
    <w:p w14:paraId="43B7FD4A">
      <w:pPr>
        <w:spacing w:line="360" w:lineRule="auto"/>
        <w:rPr>
          <w:rFonts w:hint="eastAsia" w:ascii="宋体" w:hAnsi="宋体" w:eastAsia="宋体" w:cs="宋体"/>
          <w:color w:val="auto"/>
        </w:rPr>
      </w:pPr>
    </w:p>
    <w:p w14:paraId="2C2DB21B">
      <w:pPr>
        <w:pStyle w:val="10"/>
        <w:spacing w:line="360" w:lineRule="auto"/>
        <w:ind w:firstLine="1506" w:firstLineChars="500"/>
        <w:rPr>
          <w:rFonts w:hint="eastAsia" w:ascii="宋体" w:hAnsi="宋体" w:eastAsia="宋体" w:cs="宋体"/>
          <w:b/>
          <w:bCs/>
          <w:color w:val="auto"/>
          <w:sz w:val="30"/>
          <w:szCs w:val="30"/>
        </w:rPr>
      </w:pPr>
      <w:r>
        <w:rPr>
          <w:rFonts w:hint="eastAsia" w:ascii="宋体" w:hAnsi="宋体" w:eastAsia="宋体" w:cs="宋体"/>
          <w:b/>
          <w:bCs/>
          <w:color w:val="auto"/>
          <w:sz w:val="30"/>
          <w:szCs w:val="30"/>
        </w:rPr>
        <w:t>第一部分  投标函</w:t>
      </w:r>
    </w:p>
    <w:p w14:paraId="6A607683">
      <w:pPr>
        <w:spacing w:line="360" w:lineRule="auto"/>
        <w:ind w:firstLine="1506" w:firstLineChars="500"/>
        <w:rPr>
          <w:rFonts w:hint="eastAsia" w:ascii="宋体" w:hAnsi="宋体" w:eastAsia="宋体" w:cs="宋体"/>
          <w:b/>
          <w:color w:val="auto"/>
          <w:sz w:val="30"/>
          <w:szCs w:val="30"/>
        </w:rPr>
      </w:pPr>
      <w:r>
        <w:rPr>
          <w:rFonts w:hint="eastAsia" w:ascii="宋体" w:hAnsi="宋体" w:eastAsia="宋体" w:cs="宋体"/>
          <w:b/>
          <w:color w:val="auto"/>
          <w:sz w:val="30"/>
          <w:szCs w:val="30"/>
        </w:rPr>
        <w:t>第二部分  开标一览表（报价表）</w:t>
      </w:r>
    </w:p>
    <w:p w14:paraId="72E7CE95">
      <w:pPr>
        <w:pStyle w:val="10"/>
        <w:spacing w:line="360" w:lineRule="auto"/>
        <w:ind w:left="2940" w:leftChars="1400"/>
        <w:rPr>
          <w:rFonts w:hint="eastAsia" w:ascii="宋体" w:hAnsi="宋体" w:eastAsia="宋体" w:cs="宋体"/>
          <w:b/>
          <w:color w:val="auto"/>
          <w:sz w:val="30"/>
          <w:szCs w:val="30"/>
        </w:rPr>
      </w:pPr>
      <w:r>
        <w:rPr>
          <w:rFonts w:hint="eastAsia" w:ascii="宋体" w:hAnsi="宋体" w:eastAsia="宋体" w:cs="宋体"/>
          <w:b/>
          <w:color w:val="auto"/>
          <w:sz w:val="30"/>
          <w:szCs w:val="30"/>
        </w:rPr>
        <w:t>分项报价表</w:t>
      </w:r>
    </w:p>
    <w:p w14:paraId="08EEF59B">
      <w:pPr>
        <w:spacing w:line="360" w:lineRule="auto"/>
        <w:ind w:left="2940" w:leftChars="1400"/>
        <w:rPr>
          <w:rFonts w:hint="eastAsia" w:ascii="宋体" w:hAnsi="宋体" w:eastAsia="宋体" w:cs="宋体"/>
          <w:color w:val="auto"/>
        </w:rPr>
      </w:pPr>
      <w:r>
        <w:rPr>
          <w:rFonts w:hint="eastAsia" w:ascii="宋体" w:hAnsi="宋体" w:eastAsia="宋体" w:cs="宋体"/>
          <w:b/>
          <w:color w:val="auto"/>
          <w:sz w:val="32"/>
          <w:szCs w:val="32"/>
        </w:rPr>
        <w:t>合同条款及商务响应表</w:t>
      </w:r>
    </w:p>
    <w:p w14:paraId="4A3A9700">
      <w:pPr>
        <w:pStyle w:val="10"/>
        <w:spacing w:line="360" w:lineRule="auto"/>
        <w:ind w:firstLine="1506" w:firstLineChars="500"/>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第三部分  </w:t>
      </w:r>
      <w:r>
        <w:rPr>
          <w:rFonts w:hint="eastAsia" w:ascii="宋体" w:hAnsi="宋体" w:eastAsia="宋体" w:cs="宋体"/>
          <w:b/>
          <w:color w:val="auto"/>
          <w:kern w:val="0"/>
          <w:sz w:val="30"/>
          <w:szCs w:val="30"/>
        </w:rPr>
        <w:t>法定代表人证明书与授权书</w:t>
      </w:r>
    </w:p>
    <w:p w14:paraId="17998F5D">
      <w:pPr>
        <w:pStyle w:val="10"/>
        <w:spacing w:line="360" w:lineRule="auto"/>
        <w:ind w:firstLine="1506" w:firstLineChars="500"/>
        <w:rPr>
          <w:rFonts w:hint="eastAsia" w:ascii="宋体" w:hAnsi="宋体" w:eastAsia="宋体" w:cs="宋体"/>
          <w:b/>
          <w:bCs/>
          <w:color w:val="auto"/>
          <w:sz w:val="30"/>
          <w:szCs w:val="30"/>
        </w:rPr>
      </w:pPr>
      <w:r>
        <w:rPr>
          <w:rFonts w:hint="eastAsia" w:ascii="宋体" w:hAnsi="宋体" w:eastAsia="宋体" w:cs="宋体"/>
          <w:b/>
          <w:bCs/>
          <w:color w:val="auto"/>
          <w:sz w:val="30"/>
          <w:szCs w:val="30"/>
        </w:rPr>
        <w:t>第四部分  资格证明文件</w:t>
      </w:r>
    </w:p>
    <w:p w14:paraId="21C9AE6D">
      <w:pPr>
        <w:spacing w:line="360" w:lineRule="auto"/>
        <w:ind w:firstLine="1506" w:firstLineChars="500"/>
        <w:rPr>
          <w:rFonts w:hint="eastAsia" w:ascii="宋体" w:hAnsi="宋体" w:eastAsia="宋体" w:cs="宋体"/>
          <w:b/>
          <w:bCs/>
          <w:color w:val="auto"/>
          <w:sz w:val="30"/>
          <w:szCs w:val="30"/>
        </w:rPr>
      </w:pPr>
      <w:r>
        <w:rPr>
          <w:rFonts w:hint="eastAsia" w:ascii="宋体" w:hAnsi="宋体" w:eastAsia="宋体" w:cs="宋体"/>
          <w:b/>
          <w:color w:val="auto"/>
          <w:sz w:val="30"/>
          <w:szCs w:val="30"/>
        </w:rPr>
        <w:t xml:space="preserve">第五部分  </w:t>
      </w:r>
      <w:r>
        <w:rPr>
          <w:rFonts w:hint="eastAsia" w:ascii="宋体" w:hAnsi="宋体" w:eastAsia="宋体" w:cs="宋体"/>
          <w:b/>
          <w:color w:val="auto"/>
          <w:sz w:val="32"/>
          <w:szCs w:val="32"/>
        </w:rPr>
        <w:t>技术方案</w:t>
      </w:r>
    </w:p>
    <w:p w14:paraId="65A908A0">
      <w:pPr>
        <w:pStyle w:val="10"/>
        <w:spacing w:line="360" w:lineRule="auto"/>
        <w:ind w:firstLine="1506" w:firstLineChars="500"/>
        <w:rPr>
          <w:rFonts w:hint="eastAsia" w:ascii="宋体" w:hAnsi="宋体" w:eastAsia="宋体" w:cs="宋体"/>
          <w:b/>
          <w:bCs/>
          <w:color w:val="auto"/>
          <w:sz w:val="30"/>
          <w:szCs w:val="30"/>
        </w:rPr>
      </w:pPr>
      <w:r>
        <w:rPr>
          <w:rFonts w:hint="eastAsia" w:ascii="宋体" w:hAnsi="宋体" w:eastAsia="宋体" w:cs="宋体"/>
          <w:b/>
          <w:bCs/>
          <w:color w:val="auto"/>
          <w:sz w:val="30"/>
          <w:szCs w:val="30"/>
        </w:rPr>
        <w:t>第六部分  承诺书</w:t>
      </w:r>
    </w:p>
    <w:p w14:paraId="01219C14">
      <w:pPr>
        <w:pStyle w:val="10"/>
        <w:spacing w:line="360" w:lineRule="auto"/>
        <w:ind w:firstLine="3012" w:firstLineChars="1000"/>
        <w:rPr>
          <w:rFonts w:hint="eastAsia" w:ascii="宋体" w:hAnsi="宋体" w:eastAsia="宋体" w:cs="宋体"/>
          <w:b/>
          <w:bCs/>
          <w:color w:val="auto"/>
          <w:sz w:val="30"/>
          <w:szCs w:val="30"/>
        </w:rPr>
      </w:pPr>
    </w:p>
    <w:p w14:paraId="05E60EAD">
      <w:pPr>
        <w:spacing w:line="360" w:lineRule="auto"/>
        <w:rPr>
          <w:rFonts w:hint="eastAsia" w:ascii="宋体" w:hAnsi="宋体" w:eastAsia="宋体" w:cs="宋体"/>
          <w:color w:val="auto"/>
        </w:rPr>
      </w:pPr>
    </w:p>
    <w:p w14:paraId="50DC49D0">
      <w:pPr>
        <w:pStyle w:val="8"/>
        <w:spacing w:line="360" w:lineRule="auto"/>
        <w:rPr>
          <w:rFonts w:hint="eastAsia" w:ascii="宋体" w:hAnsi="宋体" w:eastAsia="宋体" w:cs="宋体"/>
          <w:color w:val="auto"/>
        </w:rPr>
      </w:pPr>
    </w:p>
    <w:p w14:paraId="054E9491">
      <w:pPr>
        <w:spacing w:line="360" w:lineRule="auto"/>
        <w:rPr>
          <w:rFonts w:hint="eastAsia" w:ascii="宋体" w:hAnsi="宋体" w:eastAsia="宋体" w:cs="宋体"/>
          <w:color w:val="auto"/>
        </w:rPr>
      </w:pPr>
      <w:r>
        <w:rPr>
          <w:rFonts w:hint="eastAsia" w:ascii="宋体" w:hAnsi="宋体" w:eastAsia="宋体" w:cs="宋体"/>
          <w:color w:val="auto"/>
        </w:rPr>
        <w:t>注：投标单位自行编制投标文件目录</w:t>
      </w:r>
    </w:p>
    <w:p w14:paraId="1D3BBF24">
      <w:pPr>
        <w:pStyle w:val="10"/>
        <w:spacing w:line="360" w:lineRule="auto"/>
        <w:ind w:firstLine="840" w:firstLineChars="279"/>
        <w:rPr>
          <w:rFonts w:hint="eastAsia" w:ascii="宋体" w:hAnsi="宋体" w:eastAsia="宋体" w:cs="宋体"/>
          <w:b/>
          <w:bCs/>
          <w:color w:val="auto"/>
          <w:sz w:val="30"/>
          <w:szCs w:val="30"/>
        </w:rPr>
      </w:pPr>
    </w:p>
    <w:p w14:paraId="317DCB91">
      <w:pPr>
        <w:pStyle w:val="10"/>
        <w:spacing w:line="360" w:lineRule="auto"/>
        <w:ind w:firstLine="840" w:firstLineChars="279"/>
        <w:rPr>
          <w:rFonts w:hint="eastAsia" w:ascii="宋体" w:hAnsi="宋体" w:eastAsia="宋体" w:cs="宋体"/>
          <w:b/>
          <w:bCs/>
          <w:color w:val="auto"/>
          <w:sz w:val="30"/>
          <w:szCs w:val="30"/>
        </w:rPr>
      </w:pPr>
    </w:p>
    <w:p w14:paraId="18FDB94F">
      <w:pPr>
        <w:pStyle w:val="10"/>
        <w:spacing w:line="360" w:lineRule="auto"/>
        <w:ind w:firstLine="840" w:firstLineChars="279"/>
        <w:rPr>
          <w:rFonts w:hint="eastAsia" w:ascii="宋体" w:hAnsi="宋体" w:eastAsia="宋体" w:cs="宋体"/>
          <w:b/>
          <w:bCs/>
          <w:color w:val="auto"/>
          <w:sz w:val="30"/>
          <w:szCs w:val="30"/>
        </w:rPr>
      </w:pPr>
    </w:p>
    <w:p w14:paraId="4D13FFB1">
      <w:pPr>
        <w:pStyle w:val="10"/>
        <w:spacing w:line="360" w:lineRule="auto"/>
        <w:ind w:firstLine="840" w:firstLineChars="279"/>
        <w:rPr>
          <w:rFonts w:hint="eastAsia" w:ascii="宋体" w:hAnsi="宋体" w:eastAsia="宋体" w:cs="宋体"/>
          <w:b/>
          <w:bCs/>
          <w:color w:val="auto"/>
          <w:sz w:val="30"/>
          <w:szCs w:val="30"/>
        </w:rPr>
      </w:pPr>
    </w:p>
    <w:p w14:paraId="558378B4">
      <w:pPr>
        <w:spacing w:line="360" w:lineRule="auto"/>
        <w:jc w:val="center"/>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第一部分   投标函</w:t>
      </w:r>
    </w:p>
    <w:p w14:paraId="65FD7598">
      <w:pPr>
        <w:spacing w:line="360" w:lineRule="auto"/>
        <w:jc w:val="center"/>
        <w:outlineLvl w:val="9"/>
        <w:rPr>
          <w:rFonts w:hint="eastAsia" w:ascii="宋体" w:hAnsi="宋体" w:eastAsia="宋体" w:cs="宋体"/>
          <w:b/>
          <w:color w:val="auto"/>
          <w:sz w:val="2"/>
          <w:szCs w:val="32"/>
        </w:rPr>
      </w:pPr>
    </w:p>
    <w:p w14:paraId="13A141FB">
      <w:pPr>
        <w:kinsoku w:val="0"/>
        <w:spacing w:line="360" w:lineRule="auto"/>
        <w:outlineLvl w:val="9"/>
        <w:rPr>
          <w:rFonts w:hint="eastAsia" w:ascii="宋体" w:hAnsi="宋体" w:eastAsia="宋体" w:cs="宋体"/>
          <w:color w:val="auto"/>
          <w:sz w:val="24"/>
        </w:rPr>
      </w:pPr>
      <w:r>
        <w:rPr>
          <w:rFonts w:hint="eastAsia" w:ascii="宋体" w:hAnsi="宋体" w:eastAsia="宋体" w:cs="宋体"/>
          <w:color w:val="auto"/>
          <w:spacing w:val="-6"/>
          <w:sz w:val="24"/>
          <w:lang w:eastAsia="zh-CN"/>
        </w:rPr>
        <w:t>陕西宏扬项目管理有限公司</w:t>
      </w:r>
      <w:r>
        <w:rPr>
          <w:rFonts w:hint="eastAsia" w:ascii="宋体" w:hAnsi="宋体" w:eastAsia="宋体" w:cs="宋体"/>
          <w:color w:val="auto"/>
          <w:sz w:val="24"/>
        </w:rPr>
        <w:t>：</w:t>
      </w:r>
    </w:p>
    <w:p w14:paraId="5A207DC1">
      <w:pPr>
        <w:kinsoku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我公司收到贵单</w:t>
      </w:r>
      <w:r>
        <w:rPr>
          <w:rFonts w:hint="eastAsia" w:ascii="宋体" w:hAnsi="宋体" w:eastAsia="宋体" w:cs="宋体"/>
          <w:color w:val="auto"/>
          <w:spacing w:val="-6"/>
          <w:sz w:val="24"/>
        </w:rPr>
        <w:t>位</w:t>
      </w:r>
      <w:r>
        <w:rPr>
          <w:rFonts w:hint="eastAsia" w:ascii="宋体" w:hAnsi="宋体" w:eastAsia="宋体" w:cs="宋体"/>
          <w:color w:val="auto"/>
          <w:spacing w:val="-6"/>
          <w:sz w:val="24"/>
          <w:u w:val="single"/>
        </w:rPr>
        <w:t xml:space="preserve"> （项目名称、项目编号） </w:t>
      </w:r>
      <w:r>
        <w:rPr>
          <w:rFonts w:hint="eastAsia" w:ascii="宋体" w:hAnsi="宋体" w:eastAsia="宋体" w:cs="宋体"/>
          <w:color w:val="auto"/>
          <w:sz w:val="24"/>
        </w:rPr>
        <w:t>招标文件，经详细研究，决定参加本次投标活动为此，我方郑重声明以下几点，并愿负法律责任。</w:t>
      </w:r>
    </w:p>
    <w:p w14:paraId="7C0846BC">
      <w:pPr>
        <w:kinsoku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1.按照招标文件中的一切要求，提供完全满足采购需求的服务和全面技术、售后服务保障；</w:t>
      </w:r>
    </w:p>
    <w:p w14:paraId="687005FF">
      <w:pPr>
        <w:kinsoku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2.如若中标，将根据招标文件的要求、投标文件及承诺条件，全面签约并履行合同规定的责任和义务；</w:t>
      </w:r>
    </w:p>
    <w:p w14:paraId="6C52420E">
      <w:pPr>
        <w:spacing w:line="360" w:lineRule="auto"/>
        <w:ind w:left="719" w:leftChars="228" w:hanging="240" w:hangingChars="100"/>
        <w:outlineLvl w:val="9"/>
        <w:rPr>
          <w:rFonts w:hint="eastAsia" w:ascii="宋体" w:hAnsi="宋体" w:eastAsia="宋体" w:cs="宋体"/>
          <w:color w:val="auto"/>
          <w:sz w:val="24"/>
        </w:rPr>
      </w:pPr>
      <w:r>
        <w:rPr>
          <w:rFonts w:hint="eastAsia" w:ascii="宋体" w:hAnsi="宋体" w:eastAsia="宋体" w:cs="宋体"/>
          <w:color w:val="auto"/>
          <w:sz w:val="24"/>
        </w:rPr>
        <w:t>3.我方提交的投标文件共</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份，其中正本</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份，副本</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份，及电子版投标文件（U盘）</w:t>
      </w:r>
    </w:p>
    <w:p w14:paraId="584B3BFC">
      <w:pPr>
        <w:spacing w:line="360" w:lineRule="auto"/>
        <w:outlineLvl w:val="9"/>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p>
    <w:p w14:paraId="39BA27F4">
      <w:pPr>
        <w:kinsoku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4.我方已详细阅读和核实全部招标文件内容，完全理解并同意放弃提出含糊不清和误解问题的权力；</w:t>
      </w:r>
    </w:p>
    <w:p w14:paraId="7DC37E16">
      <w:pPr>
        <w:kinsoku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5.同意提供贵方要求的与本次招标有关的任何证明资料；</w:t>
      </w:r>
    </w:p>
    <w:p w14:paraId="4A616A47">
      <w:pPr>
        <w:kinsoku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6.我方的投标文件在开标大会之日计算有效为</w:t>
      </w:r>
      <w:r>
        <w:rPr>
          <w:rFonts w:hint="eastAsia" w:ascii="宋体" w:hAnsi="宋体" w:eastAsia="宋体" w:cs="宋体"/>
          <w:color w:val="auto"/>
          <w:sz w:val="24"/>
          <w:u w:val="single"/>
        </w:rPr>
        <w:t xml:space="preserve">   </w:t>
      </w:r>
      <w:r>
        <w:rPr>
          <w:rFonts w:hint="eastAsia" w:ascii="宋体" w:hAnsi="宋体" w:eastAsia="宋体" w:cs="宋体"/>
          <w:color w:val="auto"/>
          <w:sz w:val="24"/>
        </w:rPr>
        <w:t>天；</w:t>
      </w:r>
    </w:p>
    <w:p w14:paraId="455DA800">
      <w:pPr>
        <w:kinsoku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7.所有关于本次投标的函电，请按下列地址、方式联系：</w:t>
      </w:r>
    </w:p>
    <w:p w14:paraId="0555A07B">
      <w:pPr>
        <w:kinsoku w:val="0"/>
        <w:spacing w:line="360" w:lineRule="auto"/>
        <w:ind w:firstLine="840"/>
        <w:outlineLvl w:val="9"/>
        <w:rPr>
          <w:rFonts w:hint="eastAsia" w:ascii="宋体" w:hAnsi="宋体" w:eastAsia="宋体" w:cs="宋体"/>
          <w:color w:val="auto"/>
          <w:sz w:val="24"/>
        </w:rPr>
      </w:pPr>
    </w:p>
    <w:p w14:paraId="15D1BDD1">
      <w:pPr>
        <w:kinsoku w:val="0"/>
        <w:spacing w:line="360" w:lineRule="auto"/>
        <w:ind w:firstLine="840"/>
        <w:outlineLvl w:val="9"/>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26A2B466">
      <w:pPr>
        <w:kinsoku w:val="0"/>
        <w:spacing w:line="360" w:lineRule="auto"/>
        <w:ind w:firstLine="840"/>
        <w:outlineLvl w:val="9"/>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w:t>
      </w:r>
    </w:p>
    <w:p w14:paraId="08AC6EA9">
      <w:pPr>
        <w:kinsoku w:val="0"/>
        <w:spacing w:line="360" w:lineRule="auto"/>
        <w:ind w:firstLine="840"/>
        <w:outlineLvl w:val="9"/>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w:t>
      </w:r>
    </w:p>
    <w:p w14:paraId="5AE74585">
      <w:pPr>
        <w:kinsoku w:val="0"/>
        <w:spacing w:line="360" w:lineRule="auto"/>
        <w:ind w:firstLine="840"/>
        <w:outlineLvl w:val="9"/>
        <w:rPr>
          <w:rFonts w:hint="eastAsia" w:ascii="宋体" w:hAnsi="宋体" w:eastAsia="宋体" w:cs="宋体"/>
          <w:color w:val="auto"/>
          <w:sz w:val="24"/>
          <w:u w:val="single"/>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w:t>
      </w:r>
    </w:p>
    <w:p w14:paraId="77DC54A7">
      <w:pPr>
        <w:kinsoku w:val="0"/>
        <w:spacing w:line="360" w:lineRule="auto"/>
        <w:ind w:firstLine="808" w:firstLineChars="337"/>
        <w:outlineLvl w:val="9"/>
        <w:rPr>
          <w:rFonts w:hint="eastAsia" w:ascii="宋体" w:hAnsi="宋体" w:eastAsia="宋体" w:cs="宋体"/>
          <w:color w:val="auto"/>
          <w:sz w:val="24"/>
        </w:rPr>
      </w:pPr>
      <w:r>
        <w:rPr>
          <w:rFonts w:hint="eastAsia" w:ascii="宋体" w:hAnsi="宋体" w:eastAsia="宋体" w:cs="宋体"/>
          <w:color w:val="auto"/>
          <w:sz w:val="24"/>
        </w:rPr>
        <w:t>投标人：</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34E28F63">
      <w:pPr>
        <w:kinsoku w:val="0"/>
        <w:spacing w:line="360" w:lineRule="auto"/>
        <w:ind w:firstLine="808" w:firstLineChars="337"/>
        <w:outlineLvl w:val="9"/>
        <w:rPr>
          <w:rFonts w:hint="eastAsia" w:ascii="宋体" w:hAnsi="宋体" w:eastAsia="宋体" w:cs="宋体"/>
          <w:color w:val="auto"/>
          <w:sz w:val="24"/>
          <w:u w:val="single"/>
        </w:rPr>
      </w:pPr>
      <w:r>
        <w:rPr>
          <w:rFonts w:hint="eastAsia" w:ascii="宋体" w:hAnsi="宋体" w:eastAsia="宋体" w:cs="宋体"/>
          <w:color w:val="auto"/>
          <w:sz w:val="24"/>
        </w:rPr>
        <w:t>法定代表人/</w:t>
      </w:r>
      <w:r>
        <w:rPr>
          <w:rFonts w:hint="eastAsia" w:ascii="宋体" w:hAnsi="宋体" w:cs="宋体"/>
          <w:color w:val="auto"/>
          <w:sz w:val="24"/>
          <w:lang w:val="en-US" w:eastAsia="zh-CN"/>
        </w:rPr>
        <w:t>负责人/</w:t>
      </w:r>
      <w:r>
        <w:rPr>
          <w:rFonts w:hint="eastAsia" w:ascii="宋体" w:hAnsi="宋体" w:eastAsia="宋体" w:cs="宋体"/>
          <w:color w:val="auto"/>
          <w:sz w:val="24"/>
        </w:rPr>
        <w:t>被授权人（签字或盖章）：</w:t>
      </w:r>
      <w:r>
        <w:rPr>
          <w:rFonts w:hint="eastAsia" w:ascii="宋体" w:hAnsi="宋体" w:eastAsia="宋体" w:cs="宋体"/>
          <w:color w:val="auto"/>
          <w:sz w:val="24"/>
          <w:u w:val="single"/>
        </w:rPr>
        <w:t xml:space="preserve">                </w:t>
      </w:r>
    </w:p>
    <w:p w14:paraId="2697544D">
      <w:pPr>
        <w:kinsoku w:val="0"/>
        <w:spacing w:line="360" w:lineRule="auto"/>
        <w:outlineLvl w:val="9"/>
        <w:rPr>
          <w:rFonts w:hint="eastAsia" w:ascii="宋体" w:hAnsi="宋体" w:eastAsia="宋体" w:cs="宋体"/>
          <w:color w:val="auto"/>
          <w:sz w:val="24"/>
          <w:u w:val="single"/>
        </w:rPr>
      </w:pPr>
    </w:p>
    <w:p w14:paraId="567881AD">
      <w:pPr>
        <w:kinsoku w:val="0"/>
        <w:spacing w:line="360" w:lineRule="auto"/>
        <w:ind w:firstLine="570"/>
        <w:outlineLvl w:val="9"/>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1F7B58B7">
      <w:pPr>
        <w:spacing w:line="360" w:lineRule="auto"/>
        <w:outlineLvl w:val="9"/>
        <w:rPr>
          <w:rFonts w:hint="eastAsia" w:ascii="宋体" w:hAnsi="宋体" w:eastAsia="宋体" w:cs="宋体"/>
          <w:color w:val="auto"/>
          <w:sz w:val="24"/>
        </w:rPr>
        <w:sectPr>
          <w:pgSz w:w="11906" w:h="16838"/>
          <w:pgMar w:top="1559" w:right="1134" w:bottom="1020" w:left="1321" w:header="851" w:footer="397" w:gutter="0"/>
          <w:pgNumType w:fmt="decimal"/>
          <w:cols w:space="720" w:num="1"/>
          <w:docGrid w:type="lines" w:linePitch="315" w:charSpace="0"/>
        </w:sectPr>
      </w:pPr>
    </w:p>
    <w:p w14:paraId="573E063F">
      <w:pPr>
        <w:numPr>
          <w:ilvl w:val="0"/>
          <w:numId w:val="8"/>
        </w:numPr>
        <w:spacing w:line="360" w:lineRule="auto"/>
        <w:jc w:val="center"/>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t>开标一览表（报价表）</w:t>
      </w:r>
    </w:p>
    <w:p w14:paraId="6C745433">
      <w:pPr>
        <w:numPr>
          <w:ilvl w:val="0"/>
          <w:numId w:val="0"/>
        </w:numPr>
        <w:spacing w:line="360" w:lineRule="auto"/>
        <w:jc w:val="both"/>
        <w:outlineLvl w:val="9"/>
        <w:rPr>
          <w:rFonts w:hint="eastAsia" w:ascii="宋体" w:hAnsi="宋体" w:eastAsia="宋体" w:cs="宋体"/>
          <w:b/>
          <w:color w:val="auto"/>
          <w:sz w:val="32"/>
          <w:szCs w:val="32"/>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19E13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18120242">
            <w:pPr>
              <w:spacing w:line="360" w:lineRule="auto"/>
              <w:ind w:left="1320" w:hanging="1320" w:hangingChars="500"/>
              <w:jc w:val="center"/>
              <w:outlineLvl w:val="9"/>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7065" w:type="dxa"/>
            <w:vAlign w:val="center"/>
          </w:tcPr>
          <w:p w14:paraId="7308EFC2">
            <w:pPr>
              <w:spacing w:line="360" w:lineRule="auto"/>
              <w:outlineLvl w:val="9"/>
              <w:rPr>
                <w:rFonts w:hint="eastAsia" w:ascii="宋体" w:hAnsi="宋体" w:eastAsia="宋体" w:cs="宋体"/>
                <w:color w:val="auto"/>
                <w:sz w:val="24"/>
              </w:rPr>
            </w:pPr>
          </w:p>
        </w:tc>
      </w:tr>
      <w:tr w14:paraId="3C4E5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07D216D4">
            <w:pPr>
              <w:spacing w:line="360" w:lineRule="auto"/>
              <w:ind w:left="1320" w:hanging="1320" w:hangingChars="500"/>
              <w:jc w:val="center"/>
              <w:outlineLvl w:val="9"/>
              <w:rPr>
                <w:rFonts w:hint="eastAsia" w:ascii="宋体" w:hAnsi="宋体" w:eastAsia="宋体" w:cs="宋体"/>
                <w:color w:val="auto"/>
                <w:spacing w:val="12"/>
                <w:sz w:val="24"/>
              </w:rPr>
            </w:pPr>
            <w:r>
              <w:rPr>
                <w:rFonts w:hint="eastAsia" w:ascii="宋体" w:hAnsi="宋体" w:eastAsia="宋体" w:cs="宋体"/>
                <w:color w:val="auto"/>
                <w:spacing w:val="12"/>
                <w:sz w:val="24"/>
              </w:rPr>
              <w:t>项目编号</w:t>
            </w:r>
          </w:p>
        </w:tc>
        <w:tc>
          <w:tcPr>
            <w:tcW w:w="7065" w:type="dxa"/>
            <w:vAlign w:val="center"/>
          </w:tcPr>
          <w:p w14:paraId="3634D3A5">
            <w:pPr>
              <w:spacing w:line="360" w:lineRule="auto"/>
              <w:outlineLvl w:val="9"/>
              <w:rPr>
                <w:rFonts w:hint="eastAsia" w:ascii="宋体" w:hAnsi="宋体" w:eastAsia="宋体" w:cs="宋体"/>
                <w:color w:val="auto"/>
                <w:sz w:val="24"/>
              </w:rPr>
            </w:pPr>
          </w:p>
        </w:tc>
      </w:tr>
      <w:tr w14:paraId="2A86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54DE6399">
            <w:pPr>
              <w:spacing w:line="360" w:lineRule="auto"/>
              <w:jc w:val="center"/>
              <w:outlineLvl w:val="9"/>
              <w:rPr>
                <w:rFonts w:hint="eastAsia" w:ascii="宋体" w:hAnsi="宋体" w:eastAsia="宋体" w:cs="宋体"/>
                <w:color w:val="auto"/>
                <w:spacing w:val="12"/>
                <w:sz w:val="24"/>
              </w:rPr>
            </w:pPr>
            <w:r>
              <w:rPr>
                <w:rFonts w:hint="eastAsia" w:ascii="宋体" w:hAnsi="宋体" w:eastAsia="宋体" w:cs="宋体"/>
                <w:color w:val="auto"/>
                <w:spacing w:val="12"/>
                <w:sz w:val="24"/>
              </w:rPr>
              <w:t>报价(小写元)</w:t>
            </w:r>
          </w:p>
        </w:tc>
        <w:tc>
          <w:tcPr>
            <w:tcW w:w="7065" w:type="dxa"/>
            <w:vAlign w:val="center"/>
          </w:tcPr>
          <w:p w14:paraId="3BC10911">
            <w:pPr>
              <w:spacing w:line="360" w:lineRule="auto"/>
              <w:outlineLvl w:val="9"/>
              <w:rPr>
                <w:rFonts w:hint="eastAsia" w:ascii="宋体" w:hAnsi="宋体" w:eastAsia="宋体" w:cs="宋体"/>
                <w:color w:val="auto"/>
                <w:spacing w:val="12"/>
                <w:sz w:val="24"/>
              </w:rPr>
            </w:pPr>
          </w:p>
        </w:tc>
      </w:tr>
      <w:tr w14:paraId="49CDF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694E2B11">
            <w:pPr>
              <w:spacing w:line="360" w:lineRule="auto"/>
              <w:jc w:val="center"/>
              <w:outlineLvl w:val="9"/>
              <w:rPr>
                <w:rFonts w:hint="eastAsia" w:ascii="宋体" w:hAnsi="宋体" w:eastAsia="宋体" w:cs="宋体"/>
                <w:color w:val="auto"/>
                <w:spacing w:val="12"/>
                <w:sz w:val="24"/>
              </w:rPr>
            </w:pPr>
            <w:r>
              <w:rPr>
                <w:rFonts w:hint="eastAsia" w:ascii="宋体" w:hAnsi="宋体" w:eastAsia="宋体" w:cs="宋体"/>
                <w:color w:val="auto"/>
                <w:spacing w:val="12"/>
                <w:sz w:val="24"/>
              </w:rPr>
              <w:t>报价(大写元)</w:t>
            </w:r>
          </w:p>
        </w:tc>
        <w:tc>
          <w:tcPr>
            <w:tcW w:w="7065" w:type="dxa"/>
            <w:vAlign w:val="center"/>
          </w:tcPr>
          <w:p w14:paraId="51FE8478">
            <w:pPr>
              <w:spacing w:line="360" w:lineRule="auto"/>
              <w:outlineLvl w:val="9"/>
              <w:rPr>
                <w:rFonts w:hint="eastAsia" w:ascii="宋体" w:hAnsi="宋体" w:eastAsia="宋体" w:cs="宋体"/>
                <w:color w:val="auto"/>
                <w:spacing w:val="12"/>
                <w:sz w:val="24"/>
              </w:rPr>
            </w:pPr>
          </w:p>
        </w:tc>
      </w:tr>
      <w:tr w14:paraId="3206A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59F38A35">
            <w:pPr>
              <w:spacing w:line="360" w:lineRule="auto"/>
              <w:ind w:firstLine="264" w:firstLineChars="100"/>
              <w:jc w:val="center"/>
              <w:outlineLvl w:val="9"/>
              <w:rPr>
                <w:rFonts w:hint="default" w:ascii="宋体" w:hAnsi="宋体" w:eastAsia="宋体" w:cs="宋体"/>
                <w:color w:val="auto"/>
                <w:spacing w:val="12"/>
                <w:sz w:val="24"/>
                <w:lang w:val="en-US" w:eastAsia="zh-CN"/>
              </w:rPr>
            </w:pPr>
            <w:r>
              <w:rPr>
                <w:rFonts w:hint="eastAsia" w:ascii="宋体" w:hAnsi="宋体" w:eastAsia="宋体" w:cs="宋体"/>
                <w:color w:val="auto"/>
                <w:spacing w:val="12"/>
                <w:sz w:val="24"/>
                <w:lang w:eastAsia="zh-CN"/>
              </w:rPr>
              <w:t>服务</w:t>
            </w:r>
            <w:r>
              <w:rPr>
                <w:rFonts w:hint="eastAsia" w:ascii="宋体" w:hAnsi="宋体" w:cs="宋体"/>
                <w:color w:val="auto"/>
                <w:spacing w:val="12"/>
                <w:sz w:val="24"/>
                <w:lang w:val="en-US" w:eastAsia="zh-CN"/>
              </w:rPr>
              <w:t>期限</w:t>
            </w:r>
          </w:p>
        </w:tc>
        <w:tc>
          <w:tcPr>
            <w:tcW w:w="7065" w:type="dxa"/>
            <w:vAlign w:val="center"/>
          </w:tcPr>
          <w:p w14:paraId="7D5DC5A2">
            <w:pPr>
              <w:spacing w:line="360" w:lineRule="auto"/>
              <w:outlineLvl w:val="9"/>
              <w:rPr>
                <w:rFonts w:hint="eastAsia" w:ascii="宋体" w:hAnsi="宋体" w:eastAsia="宋体" w:cs="宋体"/>
                <w:color w:val="auto"/>
                <w:spacing w:val="12"/>
                <w:sz w:val="24"/>
              </w:rPr>
            </w:pPr>
          </w:p>
        </w:tc>
      </w:tr>
      <w:tr w14:paraId="61662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007434A7">
            <w:pPr>
              <w:spacing w:line="360" w:lineRule="auto"/>
              <w:ind w:firstLine="264" w:firstLineChars="100"/>
              <w:jc w:val="center"/>
              <w:outlineLvl w:val="9"/>
              <w:rPr>
                <w:rFonts w:hint="eastAsia" w:ascii="宋体" w:hAnsi="宋体" w:eastAsia="宋体" w:cs="宋体"/>
                <w:color w:val="auto"/>
                <w:spacing w:val="12"/>
                <w:sz w:val="24"/>
                <w:lang w:eastAsia="zh-CN"/>
              </w:rPr>
            </w:pPr>
            <w:r>
              <w:rPr>
                <w:rFonts w:hint="eastAsia" w:ascii="宋体" w:hAnsi="宋体" w:eastAsia="宋体" w:cs="宋体"/>
                <w:color w:val="auto"/>
                <w:spacing w:val="12"/>
                <w:sz w:val="24"/>
                <w:lang w:eastAsia="zh-CN"/>
              </w:rPr>
              <w:t>质量目标</w:t>
            </w:r>
          </w:p>
        </w:tc>
        <w:tc>
          <w:tcPr>
            <w:tcW w:w="7065" w:type="dxa"/>
            <w:vAlign w:val="center"/>
          </w:tcPr>
          <w:p w14:paraId="2E04D042">
            <w:pPr>
              <w:spacing w:line="360" w:lineRule="auto"/>
              <w:outlineLvl w:val="9"/>
              <w:rPr>
                <w:rFonts w:hint="eastAsia" w:ascii="宋体" w:hAnsi="宋体" w:eastAsia="宋体" w:cs="宋体"/>
                <w:color w:val="auto"/>
                <w:spacing w:val="12"/>
                <w:sz w:val="24"/>
              </w:rPr>
            </w:pPr>
          </w:p>
        </w:tc>
      </w:tr>
      <w:tr w14:paraId="4D561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textDirection w:val="tbRlV"/>
            <w:vAlign w:val="center"/>
          </w:tcPr>
          <w:p w14:paraId="0A60F7F5">
            <w:pPr>
              <w:spacing w:before="558" w:beforeLines="179" w:after="517" w:afterLines="166" w:line="360" w:lineRule="auto"/>
              <w:ind w:right="113"/>
              <w:jc w:val="center"/>
              <w:outlineLvl w:val="9"/>
              <w:rPr>
                <w:rFonts w:hint="eastAsia" w:ascii="宋体" w:hAnsi="宋体" w:eastAsia="宋体" w:cs="宋体"/>
                <w:color w:val="auto"/>
                <w:spacing w:val="12"/>
                <w:sz w:val="24"/>
              </w:rPr>
            </w:pPr>
            <w:r>
              <w:rPr>
                <w:rFonts w:hint="eastAsia" w:ascii="宋体" w:hAnsi="宋体" w:eastAsia="宋体" w:cs="宋体"/>
                <w:color w:val="auto"/>
                <w:sz w:val="24"/>
              </w:rPr>
              <w:t>说   明</w:t>
            </w:r>
          </w:p>
        </w:tc>
        <w:tc>
          <w:tcPr>
            <w:tcW w:w="7065" w:type="dxa"/>
          </w:tcPr>
          <w:p w14:paraId="6CD4DA4D">
            <w:pPr>
              <w:pStyle w:val="11"/>
              <w:ind w:left="5250"/>
              <w:outlineLvl w:val="9"/>
              <w:rPr>
                <w:rFonts w:hint="eastAsia" w:ascii="宋体" w:hAnsi="宋体" w:eastAsia="宋体" w:cs="宋体"/>
                <w:bCs/>
                <w:color w:val="auto"/>
                <w:spacing w:val="12"/>
              </w:rPr>
            </w:pPr>
          </w:p>
          <w:p w14:paraId="0E0B06A3">
            <w:pPr>
              <w:spacing w:line="360" w:lineRule="auto"/>
              <w:outlineLvl w:val="9"/>
              <w:rPr>
                <w:rFonts w:hint="eastAsia" w:ascii="宋体" w:hAnsi="宋体" w:eastAsia="宋体" w:cs="宋体"/>
                <w:color w:val="auto"/>
                <w:spacing w:val="12"/>
                <w:sz w:val="24"/>
              </w:rPr>
            </w:pPr>
          </w:p>
          <w:p w14:paraId="2D09BB2D">
            <w:pPr>
              <w:spacing w:line="360" w:lineRule="auto"/>
              <w:outlineLvl w:val="9"/>
              <w:rPr>
                <w:rFonts w:hint="eastAsia" w:ascii="宋体" w:hAnsi="宋体" w:eastAsia="宋体" w:cs="宋体"/>
                <w:color w:val="auto"/>
                <w:spacing w:val="12"/>
                <w:sz w:val="24"/>
              </w:rPr>
            </w:pPr>
          </w:p>
        </w:tc>
      </w:tr>
    </w:tbl>
    <w:p w14:paraId="1CCCF258">
      <w:pPr>
        <w:snapToGrid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 xml:space="preserve">投标人（公章）：                </w:t>
      </w:r>
    </w:p>
    <w:p w14:paraId="19D8EF85">
      <w:pPr>
        <w:snapToGrid w:val="0"/>
        <w:spacing w:line="360" w:lineRule="auto"/>
        <w:ind w:firstLine="480" w:firstLineChars="200"/>
        <w:outlineLvl w:val="9"/>
        <w:rPr>
          <w:rFonts w:hint="eastAsia" w:ascii="宋体" w:hAnsi="宋体" w:eastAsia="宋体" w:cs="宋体"/>
          <w:b/>
          <w:bCs/>
          <w:color w:val="auto"/>
          <w:sz w:val="24"/>
        </w:rPr>
      </w:pPr>
      <w:r>
        <w:rPr>
          <w:rFonts w:hint="eastAsia" w:ascii="宋体" w:hAnsi="宋体" w:eastAsia="宋体" w:cs="宋体"/>
          <w:color w:val="auto"/>
          <w:sz w:val="24"/>
        </w:rPr>
        <w:t>法定代表人/</w:t>
      </w:r>
      <w:r>
        <w:rPr>
          <w:rFonts w:hint="eastAsia" w:ascii="宋体" w:hAnsi="宋体" w:cs="宋体"/>
          <w:color w:val="auto"/>
          <w:sz w:val="24"/>
          <w:lang w:val="en-US" w:eastAsia="zh-CN"/>
        </w:rPr>
        <w:t>负责人/</w:t>
      </w:r>
      <w:r>
        <w:rPr>
          <w:rFonts w:hint="eastAsia" w:ascii="宋体" w:hAnsi="宋体" w:eastAsia="宋体" w:cs="宋体"/>
          <w:color w:val="auto"/>
          <w:sz w:val="24"/>
        </w:rPr>
        <w:t>被授权人（签字或盖章）：</w:t>
      </w:r>
    </w:p>
    <w:p w14:paraId="6A849D6F">
      <w:pPr>
        <w:snapToGrid w:val="0"/>
        <w:spacing w:line="360" w:lineRule="auto"/>
        <w:ind w:firstLine="723" w:firstLineChars="300"/>
        <w:outlineLvl w:val="9"/>
        <w:rPr>
          <w:rFonts w:hint="eastAsia" w:ascii="宋体" w:hAnsi="宋体" w:eastAsia="宋体" w:cs="宋体"/>
          <w:b/>
          <w:bCs/>
          <w:color w:val="auto"/>
          <w:sz w:val="24"/>
        </w:rPr>
      </w:pPr>
      <w:r>
        <w:rPr>
          <w:rFonts w:hint="eastAsia" w:ascii="宋体" w:hAnsi="宋体" w:eastAsia="宋体" w:cs="宋体"/>
          <w:b/>
          <w:bCs/>
          <w:color w:val="auto"/>
          <w:sz w:val="24"/>
        </w:rPr>
        <w:t>注：</w:t>
      </w:r>
    </w:p>
    <w:p w14:paraId="0D749A95">
      <w:pPr>
        <w:numPr>
          <w:ilvl w:val="0"/>
          <w:numId w:val="9"/>
        </w:numPr>
        <w:snapToGrid w:val="0"/>
        <w:spacing w:line="360" w:lineRule="auto"/>
        <w:ind w:firstLine="660" w:firstLineChars="300"/>
        <w:outlineLvl w:val="9"/>
        <w:rPr>
          <w:rFonts w:hint="eastAsia" w:ascii="宋体" w:hAnsi="宋体" w:eastAsia="宋体" w:cs="宋体"/>
          <w:color w:val="auto"/>
          <w:sz w:val="22"/>
        </w:rPr>
      </w:pPr>
      <w:r>
        <w:rPr>
          <w:rFonts w:hint="eastAsia" w:ascii="宋体" w:hAnsi="宋体" w:eastAsia="宋体" w:cs="宋体"/>
          <w:color w:val="auto"/>
          <w:sz w:val="22"/>
        </w:rPr>
        <w:t>本表价应保证投标文件的正、副本中仍有此表，且一致。</w:t>
      </w:r>
    </w:p>
    <w:p w14:paraId="595BDF57">
      <w:pPr>
        <w:numPr>
          <w:ilvl w:val="0"/>
          <w:numId w:val="9"/>
        </w:numPr>
        <w:snapToGrid w:val="0"/>
        <w:spacing w:line="360" w:lineRule="auto"/>
        <w:ind w:firstLine="660" w:firstLineChars="300"/>
        <w:outlineLvl w:val="9"/>
        <w:rPr>
          <w:rFonts w:hint="eastAsia" w:ascii="宋体" w:hAnsi="宋体" w:eastAsia="宋体" w:cs="宋体"/>
          <w:color w:val="auto"/>
          <w:sz w:val="22"/>
        </w:rPr>
      </w:pPr>
      <w:r>
        <w:rPr>
          <w:rFonts w:hint="eastAsia" w:ascii="宋体" w:hAnsi="宋体" w:eastAsia="宋体" w:cs="宋体"/>
          <w:color w:val="auto"/>
          <w:sz w:val="22"/>
        </w:rPr>
        <w:t>此表中任何信息与投标文件其他处不一致时以此表为准。</w:t>
      </w:r>
    </w:p>
    <w:p w14:paraId="485F16BC">
      <w:pPr>
        <w:numPr>
          <w:ilvl w:val="0"/>
          <w:numId w:val="9"/>
        </w:numPr>
        <w:snapToGrid w:val="0"/>
        <w:spacing w:line="360" w:lineRule="auto"/>
        <w:ind w:firstLine="660" w:firstLineChars="300"/>
        <w:outlineLvl w:val="9"/>
        <w:rPr>
          <w:rFonts w:hint="eastAsia" w:ascii="宋体" w:hAnsi="宋体" w:eastAsia="宋体" w:cs="宋体"/>
          <w:color w:val="auto"/>
          <w:sz w:val="22"/>
        </w:rPr>
      </w:pPr>
      <w:r>
        <w:rPr>
          <w:rFonts w:hint="eastAsia" w:ascii="宋体" w:hAnsi="宋体" w:eastAsia="宋体" w:cs="宋体"/>
          <w:color w:val="auto"/>
          <w:sz w:val="22"/>
        </w:rPr>
        <w:t>此表为规范格式，严格按此表格填列，不填列或不按此表格填列，按无效标对待。</w:t>
      </w:r>
    </w:p>
    <w:p w14:paraId="31D0F13B">
      <w:pPr>
        <w:numPr>
          <w:ilvl w:val="0"/>
          <w:numId w:val="9"/>
        </w:numPr>
        <w:snapToGrid w:val="0"/>
        <w:spacing w:line="360" w:lineRule="auto"/>
        <w:ind w:firstLine="660" w:firstLineChars="300"/>
        <w:outlineLvl w:val="9"/>
        <w:rPr>
          <w:rFonts w:hint="eastAsia" w:ascii="宋体" w:hAnsi="宋体" w:eastAsia="宋体" w:cs="宋体"/>
          <w:color w:val="auto"/>
          <w:sz w:val="22"/>
        </w:rPr>
      </w:pPr>
      <w:r>
        <w:rPr>
          <w:rFonts w:hint="eastAsia" w:ascii="宋体" w:hAnsi="宋体" w:eastAsia="宋体" w:cs="宋体"/>
          <w:color w:val="auto"/>
          <w:sz w:val="22"/>
        </w:rPr>
        <w:t>分项报价表附后。</w:t>
      </w:r>
    </w:p>
    <w:p w14:paraId="66F6A6A8">
      <w:pPr>
        <w:pStyle w:val="10"/>
        <w:snapToGrid w:val="0"/>
        <w:spacing w:line="360" w:lineRule="auto"/>
        <w:outlineLvl w:val="9"/>
        <w:rPr>
          <w:rFonts w:hint="eastAsia" w:ascii="宋体" w:hAnsi="宋体" w:eastAsia="宋体" w:cs="宋体"/>
          <w:color w:val="auto"/>
          <w:szCs w:val="24"/>
        </w:rPr>
      </w:pPr>
      <w:r>
        <w:rPr>
          <w:rFonts w:hint="eastAsia" w:ascii="宋体" w:hAnsi="宋体" w:eastAsia="宋体" w:cs="宋体"/>
          <w:b/>
          <w:color w:val="auto"/>
          <w:sz w:val="32"/>
          <w:szCs w:val="32"/>
        </w:rPr>
        <w:br w:type="page"/>
      </w:r>
      <w:r>
        <w:rPr>
          <w:rFonts w:hint="eastAsia" w:ascii="宋体" w:hAnsi="宋体" w:eastAsia="宋体" w:cs="宋体"/>
          <w:color w:val="auto"/>
          <w:sz w:val="24"/>
          <w:szCs w:val="32"/>
        </w:rPr>
        <w:t>附表1</w:t>
      </w:r>
    </w:p>
    <w:p w14:paraId="45503905">
      <w:pPr>
        <w:pStyle w:val="10"/>
        <w:spacing w:line="360" w:lineRule="auto"/>
        <w:jc w:val="center"/>
        <w:outlineLvl w:val="9"/>
        <w:rPr>
          <w:rFonts w:hint="eastAsia" w:ascii="宋体" w:hAnsi="宋体" w:eastAsia="宋体" w:cs="宋体"/>
          <w:b/>
          <w:color w:val="auto"/>
          <w:sz w:val="32"/>
        </w:rPr>
      </w:pPr>
      <w:r>
        <w:rPr>
          <w:rFonts w:hint="eastAsia" w:ascii="宋体" w:hAnsi="宋体" w:eastAsia="宋体" w:cs="宋体"/>
          <w:b/>
          <w:color w:val="auto"/>
          <w:sz w:val="32"/>
        </w:rPr>
        <w:t>分项报价表</w:t>
      </w:r>
    </w:p>
    <w:p w14:paraId="3DC4AA73">
      <w:pPr>
        <w:kinsoku w:val="0"/>
        <w:spacing w:line="360" w:lineRule="auto"/>
        <w:outlineLvl w:val="9"/>
        <w:rPr>
          <w:rFonts w:hint="eastAsia" w:ascii="宋体" w:hAnsi="宋体" w:eastAsia="宋体" w:cs="宋体"/>
          <w:color w:val="auto"/>
          <w:sz w:val="24"/>
        </w:rPr>
      </w:pPr>
      <w:r>
        <w:rPr>
          <w:rFonts w:hint="eastAsia" w:ascii="宋体" w:hAnsi="宋体" w:eastAsia="宋体" w:cs="宋体"/>
          <w:color w:val="auto"/>
          <w:sz w:val="24"/>
        </w:rPr>
        <w:t>项目名称：</w:t>
      </w:r>
    </w:p>
    <w:p w14:paraId="2B11B47B">
      <w:pPr>
        <w:kinsoku w:val="0"/>
        <w:spacing w:line="360" w:lineRule="auto"/>
        <w:outlineLvl w:val="9"/>
        <w:rPr>
          <w:rFonts w:hint="eastAsia" w:ascii="宋体" w:hAnsi="宋体" w:eastAsia="宋体" w:cs="宋体"/>
          <w:color w:val="auto"/>
          <w:sz w:val="24"/>
        </w:rPr>
      </w:pPr>
      <w:r>
        <w:rPr>
          <w:rFonts w:hint="eastAsia" w:ascii="宋体" w:hAnsi="宋体" w:eastAsia="宋体" w:cs="宋体"/>
          <w:color w:val="auto"/>
          <w:sz w:val="24"/>
        </w:rPr>
        <w:t>项目编号：</w:t>
      </w:r>
    </w:p>
    <w:tbl>
      <w:tblPr>
        <w:tblStyle w:val="19"/>
        <w:tblpPr w:vertAnchor="text" w:horzAnchor="margin" w:tblpY="26"/>
        <w:tblW w:w="4997" w:type="pct"/>
        <w:tblInd w:w="0" w:type="dxa"/>
        <w:tblLayout w:type="autofit"/>
        <w:tblCellMar>
          <w:top w:w="0" w:type="dxa"/>
          <w:left w:w="0" w:type="dxa"/>
          <w:bottom w:w="0" w:type="dxa"/>
          <w:right w:w="0" w:type="dxa"/>
        </w:tblCellMar>
      </w:tblPr>
      <w:tblGrid>
        <w:gridCol w:w="678"/>
        <w:gridCol w:w="1833"/>
        <w:gridCol w:w="896"/>
        <w:gridCol w:w="599"/>
        <w:gridCol w:w="1373"/>
        <w:gridCol w:w="1473"/>
        <w:gridCol w:w="1505"/>
      </w:tblGrid>
      <w:tr w14:paraId="582EA02F">
        <w:tblPrEx>
          <w:tblCellMar>
            <w:top w:w="0" w:type="dxa"/>
            <w:left w:w="0" w:type="dxa"/>
            <w:bottom w:w="0" w:type="dxa"/>
            <w:right w:w="0" w:type="dxa"/>
          </w:tblCellMar>
        </w:tblPrEx>
        <w:trPr>
          <w:trHeight w:val="340" w:hRule="atLeast"/>
        </w:trPr>
        <w:tc>
          <w:tcPr>
            <w:tcW w:w="406" w:type="pct"/>
            <w:tcBorders>
              <w:top w:val="double" w:color="000000" w:sz="4"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4C01E23C">
            <w:pPr>
              <w:jc w:val="center"/>
              <w:outlineLvl w:val="9"/>
              <w:rPr>
                <w:rFonts w:hint="eastAsia" w:ascii="宋体" w:hAnsi="宋体" w:eastAsia="宋体" w:cs="宋体"/>
                <w:b/>
                <w:color w:val="auto"/>
                <w:szCs w:val="21"/>
              </w:rPr>
            </w:pPr>
            <w:r>
              <w:rPr>
                <w:rFonts w:hint="eastAsia" w:ascii="宋体" w:hAnsi="宋体" w:eastAsia="宋体" w:cs="宋体"/>
                <w:b/>
                <w:color w:val="auto"/>
                <w:szCs w:val="21"/>
              </w:rPr>
              <w:t>序号</w:t>
            </w:r>
          </w:p>
        </w:tc>
        <w:tc>
          <w:tcPr>
            <w:tcW w:w="1097" w:type="pct"/>
            <w:tcBorders>
              <w:top w:val="double" w:color="000000" w:sz="4"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2ADEEF8B">
            <w:pPr>
              <w:jc w:val="center"/>
              <w:outlineLvl w:val="9"/>
              <w:rPr>
                <w:rFonts w:hint="eastAsia" w:ascii="宋体" w:hAnsi="宋体" w:eastAsia="宋体" w:cs="宋体"/>
                <w:b/>
                <w:color w:val="auto"/>
                <w:szCs w:val="21"/>
                <w:lang w:eastAsia="zh-CN"/>
              </w:rPr>
            </w:pPr>
            <w:r>
              <w:rPr>
                <w:rFonts w:hint="eastAsia" w:ascii="宋体" w:hAnsi="宋体" w:eastAsia="宋体" w:cs="宋体"/>
                <w:b/>
                <w:color w:val="auto"/>
                <w:szCs w:val="21"/>
                <w:lang w:val="en-US" w:eastAsia="zh-CN"/>
              </w:rPr>
              <w:t>服务内容</w:t>
            </w:r>
          </w:p>
        </w:tc>
        <w:tc>
          <w:tcPr>
            <w:tcW w:w="536" w:type="pct"/>
            <w:tcBorders>
              <w:top w:val="double" w:color="000000" w:sz="4"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4DC46A45">
            <w:pPr>
              <w:jc w:val="center"/>
              <w:outlineLvl w:val="9"/>
              <w:rPr>
                <w:rFonts w:hint="eastAsia" w:ascii="宋体" w:hAnsi="宋体" w:eastAsia="宋体" w:cs="宋体"/>
                <w:b/>
                <w:color w:val="auto"/>
                <w:szCs w:val="21"/>
              </w:rPr>
            </w:pPr>
            <w:r>
              <w:rPr>
                <w:rFonts w:hint="eastAsia" w:ascii="宋体" w:hAnsi="宋体" w:eastAsia="宋体" w:cs="宋体"/>
                <w:b/>
                <w:color w:val="auto"/>
                <w:szCs w:val="21"/>
              </w:rPr>
              <w:t>数量</w:t>
            </w:r>
          </w:p>
        </w:tc>
        <w:tc>
          <w:tcPr>
            <w:tcW w:w="358" w:type="pct"/>
            <w:tcBorders>
              <w:top w:val="double" w:color="000000" w:sz="4" w:space="0"/>
              <w:left w:val="single" w:color="auto" w:sz="4" w:space="0"/>
              <w:bottom w:val="single" w:color="000000" w:sz="6" w:space="0"/>
              <w:right w:val="single" w:color="auto" w:sz="4" w:space="0"/>
            </w:tcBorders>
            <w:vAlign w:val="center"/>
          </w:tcPr>
          <w:p w14:paraId="58314B73">
            <w:pPr>
              <w:jc w:val="center"/>
              <w:outlineLvl w:val="9"/>
              <w:rPr>
                <w:rFonts w:hint="eastAsia" w:ascii="宋体" w:hAnsi="宋体" w:eastAsia="宋体" w:cs="宋体"/>
                <w:b/>
                <w:color w:val="auto"/>
                <w:szCs w:val="21"/>
              </w:rPr>
            </w:pPr>
            <w:r>
              <w:rPr>
                <w:rFonts w:hint="eastAsia" w:ascii="宋体" w:hAnsi="宋体" w:eastAsia="宋体" w:cs="宋体"/>
                <w:b/>
                <w:color w:val="auto"/>
                <w:szCs w:val="21"/>
              </w:rPr>
              <w:t>单位</w:t>
            </w:r>
          </w:p>
        </w:tc>
        <w:tc>
          <w:tcPr>
            <w:tcW w:w="821" w:type="pct"/>
            <w:tcBorders>
              <w:top w:val="double" w:color="000000" w:sz="4" w:space="0"/>
              <w:left w:val="single" w:color="auto" w:sz="4" w:space="0"/>
              <w:bottom w:val="single" w:color="000000" w:sz="6" w:space="0"/>
              <w:right w:val="single" w:color="000000" w:sz="6" w:space="0"/>
            </w:tcBorders>
            <w:vAlign w:val="center"/>
          </w:tcPr>
          <w:p w14:paraId="19D31094">
            <w:pPr>
              <w:jc w:val="center"/>
              <w:outlineLvl w:val="9"/>
              <w:rPr>
                <w:rFonts w:hint="eastAsia" w:ascii="宋体" w:hAnsi="宋体" w:eastAsia="宋体" w:cs="宋体"/>
                <w:b/>
                <w:color w:val="auto"/>
                <w:szCs w:val="21"/>
              </w:rPr>
            </w:pPr>
            <w:r>
              <w:rPr>
                <w:rFonts w:hint="eastAsia" w:ascii="宋体" w:hAnsi="宋体" w:eastAsia="宋体" w:cs="宋体"/>
                <w:b/>
                <w:color w:val="auto"/>
                <w:szCs w:val="21"/>
              </w:rPr>
              <w:t>单价</w:t>
            </w:r>
          </w:p>
          <w:p w14:paraId="72E2297F">
            <w:pPr>
              <w:jc w:val="center"/>
              <w:outlineLvl w:val="9"/>
              <w:rPr>
                <w:rFonts w:hint="eastAsia" w:ascii="宋体" w:hAnsi="宋体" w:eastAsia="宋体" w:cs="宋体"/>
                <w:b/>
                <w:color w:val="auto"/>
                <w:szCs w:val="21"/>
              </w:rPr>
            </w:pPr>
            <w:r>
              <w:rPr>
                <w:rFonts w:hint="eastAsia" w:ascii="宋体" w:hAnsi="宋体" w:eastAsia="宋体" w:cs="宋体"/>
                <w:b/>
                <w:color w:val="auto"/>
                <w:szCs w:val="21"/>
              </w:rPr>
              <w:t>(人民币元)</w:t>
            </w:r>
          </w:p>
        </w:tc>
        <w:tc>
          <w:tcPr>
            <w:tcW w:w="881" w:type="pct"/>
            <w:tcBorders>
              <w:top w:val="double" w:color="000000" w:sz="4"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58ED7F0A">
            <w:pPr>
              <w:jc w:val="center"/>
              <w:outlineLvl w:val="9"/>
              <w:rPr>
                <w:rFonts w:hint="eastAsia" w:ascii="宋体" w:hAnsi="宋体" w:eastAsia="宋体" w:cs="宋体"/>
                <w:b/>
                <w:color w:val="auto"/>
                <w:szCs w:val="21"/>
                <w:lang w:val="en-US" w:eastAsia="zh-CN"/>
              </w:rPr>
            </w:pPr>
            <w:r>
              <w:rPr>
                <w:rFonts w:hint="eastAsia" w:ascii="宋体" w:hAnsi="宋体" w:eastAsia="宋体" w:cs="宋体"/>
                <w:b/>
                <w:color w:val="auto"/>
                <w:szCs w:val="21"/>
                <w:lang w:val="en-US" w:eastAsia="zh-CN"/>
              </w:rPr>
              <w:t>小计</w:t>
            </w:r>
          </w:p>
          <w:p w14:paraId="68D55D5E">
            <w:pPr>
              <w:jc w:val="center"/>
              <w:outlineLvl w:val="9"/>
              <w:rPr>
                <w:rFonts w:hint="eastAsia" w:ascii="宋体" w:hAnsi="宋体" w:eastAsia="宋体" w:cs="宋体"/>
                <w:b/>
                <w:color w:val="auto"/>
                <w:szCs w:val="21"/>
              </w:rPr>
            </w:pPr>
            <w:r>
              <w:rPr>
                <w:rFonts w:hint="eastAsia" w:ascii="宋体" w:hAnsi="宋体" w:eastAsia="宋体" w:cs="宋体"/>
                <w:b/>
                <w:color w:val="auto"/>
                <w:szCs w:val="21"/>
              </w:rPr>
              <w:t>（人民币元）</w:t>
            </w:r>
          </w:p>
        </w:tc>
        <w:tc>
          <w:tcPr>
            <w:tcW w:w="898" w:type="pct"/>
            <w:tcBorders>
              <w:top w:val="double" w:color="000000" w:sz="4"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7C4C11A6">
            <w:pPr>
              <w:jc w:val="center"/>
              <w:outlineLvl w:val="9"/>
              <w:rPr>
                <w:rFonts w:hint="eastAsia" w:ascii="宋体" w:hAnsi="宋体" w:eastAsia="宋体" w:cs="宋体"/>
                <w:b/>
                <w:color w:val="auto"/>
                <w:szCs w:val="21"/>
              </w:rPr>
            </w:pPr>
            <w:r>
              <w:rPr>
                <w:rFonts w:hint="eastAsia" w:ascii="宋体" w:hAnsi="宋体" w:eastAsia="宋体" w:cs="宋体"/>
                <w:b/>
                <w:color w:val="auto"/>
                <w:szCs w:val="21"/>
              </w:rPr>
              <w:t>备注</w:t>
            </w:r>
          </w:p>
        </w:tc>
      </w:tr>
      <w:tr w14:paraId="4440A95E">
        <w:tblPrEx>
          <w:tblCellMar>
            <w:top w:w="0" w:type="dxa"/>
            <w:left w:w="0" w:type="dxa"/>
            <w:bottom w:w="0" w:type="dxa"/>
            <w:right w:w="0" w:type="dxa"/>
          </w:tblCellMar>
        </w:tblPrEx>
        <w:trPr>
          <w:trHeight w:val="418" w:hRule="atLeast"/>
        </w:trPr>
        <w:tc>
          <w:tcPr>
            <w:tcW w:w="406"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6BA22056">
            <w:pPr>
              <w:jc w:val="center"/>
              <w:outlineLvl w:val="9"/>
              <w:rPr>
                <w:rFonts w:hint="eastAsia" w:ascii="宋体" w:hAnsi="宋体" w:eastAsia="宋体" w:cs="宋体"/>
                <w:color w:val="auto"/>
                <w:szCs w:val="21"/>
              </w:rPr>
            </w:pPr>
            <w:r>
              <w:rPr>
                <w:rFonts w:hint="eastAsia" w:ascii="宋体" w:hAnsi="宋体" w:eastAsia="宋体" w:cs="宋体"/>
                <w:color w:val="auto"/>
                <w:szCs w:val="21"/>
              </w:rPr>
              <w:t>1</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21625AB0">
            <w:pPr>
              <w:jc w:val="center"/>
              <w:outlineLvl w:val="9"/>
              <w:rPr>
                <w:rFonts w:hint="eastAsia" w:ascii="宋体" w:hAnsi="宋体" w:eastAsia="宋体" w:cs="宋体"/>
                <w:color w:val="auto"/>
                <w:szCs w:val="21"/>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1B1403D8">
            <w:pPr>
              <w:jc w:val="center"/>
              <w:outlineLvl w:val="9"/>
              <w:rPr>
                <w:rFonts w:hint="eastAsia" w:ascii="宋体" w:hAnsi="宋体" w:eastAsia="宋体" w:cs="宋体"/>
                <w:color w:val="auto"/>
                <w:szCs w:val="21"/>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4581F94D">
            <w:pPr>
              <w:jc w:val="center"/>
              <w:outlineLvl w:val="9"/>
              <w:rPr>
                <w:rFonts w:hint="eastAsia" w:ascii="宋体" w:hAnsi="宋体" w:eastAsia="宋体" w:cs="宋体"/>
                <w:color w:val="auto"/>
                <w:szCs w:val="21"/>
                <w:lang w:val="en-US" w:eastAsia="zh-CN"/>
              </w:rPr>
            </w:pPr>
          </w:p>
        </w:tc>
        <w:tc>
          <w:tcPr>
            <w:tcW w:w="821" w:type="pct"/>
            <w:tcBorders>
              <w:top w:val="single" w:color="000000" w:sz="6" w:space="0"/>
              <w:left w:val="single" w:color="auto" w:sz="4" w:space="0"/>
              <w:bottom w:val="single" w:color="000000" w:sz="6" w:space="0"/>
              <w:right w:val="single" w:color="000000" w:sz="6" w:space="0"/>
            </w:tcBorders>
            <w:vAlign w:val="center"/>
          </w:tcPr>
          <w:p w14:paraId="1F14144C">
            <w:pPr>
              <w:jc w:val="center"/>
              <w:outlineLvl w:val="9"/>
              <w:rPr>
                <w:rFonts w:hint="eastAsia" w:ascii="宋体" w:hAnsi="宋体" w:eastAsia="宋体" w:cs="宋体"/>
                <w:color w:val="auto"/>
                <w:szCs w:val="21"/>
              </w:rPr>
            </w:pPr>
          </w:p>
        </w:tc>
        <w:tc>
          <w:tcPr>
            <w:tcW w:w="881" w:type="pct"/>
            <w:tcBorders>
              <w:top w:val="single" w:color="000000" w:sz="6" w:space="0"/>
              <w:left w:val="single" w:color="000000" w:sz="6" w:space="0"/>
              <w:bottom w:val="single" w:color="auto" w:sz="4" w:space="0"/>
              <w:right w:val="single" w:color="000000" w:sz="4" w:space="0"/>
            </w:tcBorders>
            <w:tcMar>
              <w:top w:w="28" w:type="dxa"/>
              <w:left w:w="28" w:type="dxa"/>
              <w:bottom w:w="28" w:type="dxa"/>
              <w:right w:w="28" w:type="dxa"/>
            </w:tcMar>
            <w:vAlign w:val="center"/>
          </w:tcPr>
          <w:p w14:paraId="524F5E80">
            <w:pPr>
              <w:jc w:val="center"/>
              <w:outlineLvl w:val="9"/>
              <w:rPr>
                <w:rFonts w:hint="eastAsia" w:ascii="宋体" w:hAnsi="宋体" w:eastAsia="宋体" w:cs="宋体"/>
                <w:color w:val="auto"/>
                <w:szCs w:val="21"/>
              </w:rPr>
            </w:pPr>
          </w:p>
        </w:tc>
        <w:tc>
          <w:tcPr>
            <w:tcW w:w="898" w:type="pct"/>
            <w:tcBorders>
              <w:top w:val="single" w:color="000000" w:sz="6"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3A7D20EB">
            <w:pPr>
              <w:jc w:val="center"/>
              <w:outlineLvl w:val="9"/>
              <w:rPr>
                <w:rFonts w:hint="eastAsia" w:ascii="宋体" w:hAnsi="宋体" w:eastAsia="宋体" w:cs="宋体"/>
                <w:color w:val="auto"/>
                <w:szCs w:val="21"/>
              </w:rPr>
            </w:pPr>
          </w:p>
        </w:tc>
      </w:tr>
      <w:tr w14:paraId="230EA5B6">
        <w:tblPrEx>
          <w:tblCellMar>
            <w:top w:w="0" w:type="dxa"/>
            <w:left w:w="0" w:type="dxa"/>
            <w:bottom w:w="0" w:type="dxa"/>
            <w:right w:w="0" w:type="dxa"/>
          </w:tblCellMar>
        </w:tblPrEx>
        <w:trPr>
          <w:trHeight w:val="391" w:hRule="atLeast"/>
        </w:trPr>
        <w:tc>
          <w:tcPr>
            <w:tcW w:w="406"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67298119">
            <w:pPr>
              <w:jc w:val="center"/>
              <w:outlineLvl w:val="9"/>
              <w:rPr>
                <w:rFonts w:hint="eastAsia" w:ascii="宋体" w:hAnsi="宋体" w:eastAsia="宋体" w:cs="宋体"/>
                <w:color w:val="auto"/>
                <w:szCs w:val="21"/>
              </w:rPr>
            </w:pPr>
            <w:r>
              <w:rPr>
                <w:rFonts w:hint="eastAsia" w:ascii="宋体" w:hAnsi="宋体" w:eastAsia="宋体" w:cs="宋体"/>
                <w:color w:val="auto"/>
                <w:szCs w:val="21"/>
              </w:rPr>
              <w:t>2</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7B820611">
            <w:pPr>
              <w:jc w:val="center"/>
              <w:outlineLvl w:val="9"/>
              <w:rPr>
                <w:rFonts w:hint="eastAsia" w:ascii="宋体" w:hAnsi="宋体" w:eastAsia="宋体" w:cs="宋体"/>
                <w:color w:val="auto"/>
                <w:szCs w:val="21"/>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42A2607B">
            <w:pPr>
              <w:jc w:val="center"/>
              <w:outlineLvl w:val="9"/>
              <w:rPr>
                <w:rFonts w:hint="eastAsia" w:ascii="宋体" w:hAnsi="宋体" w:eastAsia="宋体" w:cs="宋体"/>
                <w:color w:val="auto"/>
                <w:szCs w:val="21"/>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71E7C021">
            <w:pPr>
              <w:jc w:val="center"/>
              <w:outlineLvl w:val="9"/>
              <w:rPr>
                <w:rFonts w:hint="eastAsia" w:ascii="宋体" w:hAnsi="宋体" w:eastAsia="宋体" w:cs="宋体"/>
                <w:color w:val="auto"/>
                <w:szCs w:val="21"/>
                <w:lang w:val="en-US" w:eastAsia="zh-CN"/>
              </w:rPr>
            </w:pPr>
          </w:p>
        </w:tc>
        <w:tc>
          <w:tcPr>
            <w:tcW w:w="821" w:type="pct"/>
            <w:tcBorders>
              <w:top w:val="single" w:color="000000" w:sz="6" w:space="0"/>
              <w:left w:val="single" w:color="auto" w:sz="4" w:space="0"/>
              <w:bottom w:val="single" w:color="000000" w:sz="6" w:space="0"/>
              <w:right w:val="single" w:color="000000" w:sz="6" w:space="0"/>
            </w:tcBorders>
            <w:vAlign w:val="center"/>
          </w:tcPr>
          <w:p w14:paraId="429E9694">
            <w:pPr>
              <w:jc w:val="center"/>
              <w:outlineLvl w:val="9"/>
              <w:rPr>
                <w:rFonts w:hint="eastAsia" w:ascii="宋体" w:hAnsi="宋体" w:eastAsia="宋体" w:cs="宋体"/>
                <w:color w:val="auto"/>
                <w:szCs w:val="21"/>
              </w:rPr>
            </w:pPr>
          </w:p>
        </w:tc>
        <w:tc>
          <w:tcPr>
            <w:tcW w:w="881" w:type="pct"/>
            <w:tcBorders>
              <w:top w:val="single" w:color="auto" w:sz="4" w:space="0"/>
              <w:left w:val="single" w:color="000000" w:sz="6" w:space="0"/>
              <w:bottom w:val="single" w:color="auto" w:sz="4" w:space="0"/>
              <w:right w:val="single" w:color="000000" w:sz="4" w:space="0"/>
            </w:tcBorders>
            <w:tcMar>
              <w:top w:w="28" w:type="dxa"/>
              <w:left w:w="28" w:type="dxa"/>
              <w:bottom w:w="28" w:type="dxa"/>
              <w:right w:w="28" w:type="dxa"/>
            </w:tcMar>
            <w:vAlign w:val="center"/>
          </w:tcPr>
          <w:p w14:paraId="0DBA0F6F">
            <w:pPr>
              <w:jc w:val="center"/>
              <w:outlineLvl w:val="9"/>
              <w:rPr>
                <w:rFonts w:hint="eastAsia" w:ascii="宋体" w:hAnsi="宋体" w:eastAsia="宋体" w:cs="宋体"/>
                <w:color w:val="auto"/>
                <w:szCs w:val="21"/>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107981AC">
            <w:pPr>
              <w:jc w:val="center"/>
              <w:outlineLvl w:val="9"/>
              <w:rPr>
                <w:rFonts w:hint="eastAsia" w:ascii="宋体" w:hAnsi="宋体" w:eastAsia="宋体" w:cs="宋体"/>
                <w:color w:val="auto"/>
                <w:szCs w:val="21"/>
              </w:rPr>
            </w:pPr>
          </w:p>
        </w:tc>
      </w:tr>
      <w:tr w14:paraId="191A917D">
        <w:tblPrEx>
          <w:tblCellMar>
            <w:top w:w="0" w:type="dxa"/>
            <w:left w:w="0" w:type="dxa"/>
            <w:bottom w:w="0" w:type="dxa"/>
            <w:right w:w="0" w:type="dxa"/>
          </w:tblCellMar>
        </w:tblPrEx>
        <w:trPr>
          <w:trHeight w:val="410" w:hRule="atLeast"/>
        </w:trPr>
        <w:tc>
          <w:tcPr>
            <w:tcW w:w="406"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0F58E9DE">
            <w:pPr>
              <w:jc w:val="center"/>
              <w:outlineLvl w:val="9"/>
              <w:rPr>
                <w:rFonts w:hint="eastAsia" w:ascii="宋体" w:hAnsi="宋体" w:eastAsia="宋体" w:cs="宋体"/>
                <w:color w:val="auto"/>
                <w:szCs w:val="21"/>
              </w:rPr>
            </w:pPr>
            <w:r>
              <w:rPr>
                <w:rFonts w:hint="eastAsia" w:ascii="宋体" w:hAnsi="宋体" w:eastAsia="宋体" w:cs="宋体"/>
                <w:color w:val="auto"/>
                <w:szCs w:val="21"/>
              </w:rPr>
              <w:t>3</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4CA8439D">
            <w:pPr>
              <w:jc w:val="center"/>
              <w:outlineLvl w:val="9"/>
              <w:rPr>
                <w:rFonts w:hint="eastAsia" w:ascii="宋体" w:hAnsi="宋体" w:eastAsia="宋体" w:cs="宋体"/>
                <w:color w:val="auto"/>
                <w:szCs w:val="21"/>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50EC4093">
            <w:pPr>
              <w:jc w:val="center"/>
              <w:outlineLvl w:val="9"/>
              <w:rPr>
                <w:rFonts w:hint="eastAsia" w:ascii="宋体" w:hAnsi="宋体" w:eastAsia="宋体" w:cs="宋体"/>
                <w:color w:val="auto"/>
                <w:szCs w:val="21"/>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2A36FC4C">
            <w:pPr>
              <w:jc w:val="center"/>
              <w:outlineLvl w:val="9"/>
              <w:rPr>
                <w:rFonts w:hint="eastAsia" w:ascii="宋体" w:hAnsi="宋体" w:eastAsia="宋体" w:cs="宋体"/>
                <w:color w:val="auto"/>
                <w:szCs w:val="21"/>
                <w:lang w:val="en-US" w:eastAsia="zh-CN"/>
              </w:rPr>
            </w:pPr>
          </w:p>
        </w:tc>
        <w:tc>
          <w:tcPr>
            <w:tcW w:w="821" w:type="pct"/>
            <w:tcBorders>
              <w:top w:val="single" w:color="000000" w:sz="6" w:space="0"/>
              <w:left w:val="single" w:color="auto" w:sz="4" w:space="0"/>
              <w:bottom w:val="single" w:color="000000" w:sz="6" w:space="0"/>
              <w:right w:val="single" w:color="000000" w:sz="6" w:space="0"/>
            </w:tcBorders>
            <w:vAlign w:val="center"/>
          </w:tcPr>
          <w:p w14:paraId="078D2544">
            <w:pPr>
              <w:jc w:val="center"/>
              <w:outlineLvl w:val="9"/>
              <w:rPr>
                <w:rFonts w:hint="eastAsia" w:ascii="宋体" w:hAnsi="宋体" w:eastAsia="宋体" w:cs="宋体"/>
                <w:color w:val="auto"/>
                <w:szCs w:val="21"/>
              </w:rPr>
            </w:pPr>
          </w:p>
        </w:tc>
        <w:tc>
          <w:tcPr>
            <w:tcW w:w="881" w:type="pct"/>
            <w:tcBorders>
              <w:top w:val="single" w:color="auto" w:sz="4"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5A5D3F30">
            <w:pPr>
              <w:jc w:val="center"/>
              <w:outlineLvl w:val="9"/>
              <w:rPr>
                <w:rFonts w:hint="eastAsia" w:ascii="宋体" w:hAnsi="宋体" w:eastAsia="宋体" w:cs="宋体"/>
                <w:color w:val="auto"/>
                <w:szCs w:val="21"/>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7367D01F">
            <w:pPr>
              <w:jc w:val="center"/>
              <w:outlineLvl w:val="9"/>
              <w:rPr>
                <w:rFonts w:hint="eastAsia" w:ascii="宋体" w:hAnsi="宋体" w:eastAsia="宋体" w:cs="宋体"/>
                <w:color w:val="auto"/>
                <w:szCs w:val="21"/>
              </w:rPr>
            </w:pPr>
          </w:p>
        </w:tc>
      </w:tr>
      <w:tr w14:paraId="1044A36F">
        <w:tblPrEx>
          <w:tblCellMar>
            <w:top w:w="0" w:type="dxa"/>
            <w:left w:w="0" w:type="dxa"/>
            <w:bottom w:w="0" w:type="dxa"/>
            <w:right w:w="0" w:type="dxa"/>
          </w:tblCellMar>
        </w:tblPrEx>
        <w:trPr>
          <w:trHeight w:val="340" w:hRule="atLeast"/>
        </w:trPr>
        <w:tc>
          <w:tcPr>
            <w:tcW w:w="406"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6B11B0D7">
            <w:pPr>
              <w:jc w:val="center"/>
              <w:outlineLvl w:val="9"/>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4</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2DBDAFD5">
            <w:pPr>
              <w:jc w:val="center"/>
              <w:outlineLvl w:val="9"/>
              <w:rPr>
                <w:rFonts w:hint="eastAsia" w:ascii="宋体" w:hAnsi="宋体" w:eastAsia="宋体" w:cs="宋体"/>
                <w:color w:val="auto"/>
                <w:szCs w:val="21"/>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22539AFF">
            <w:pPr>
              <w:jc w:val="center"/>
              <w:outlineLvl w:val="9"/>
              <w:rPr>
                <w:rFonts w:hint="eastAsia" w:ascii="宋体" w:hAnsi="宋体" w:eastAsia="宋体" w:cs="宋体"/>
                <w:color w:val="auto"/>
                <w:szCs w:val="21"/>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31DF9048">
            <w:pPr>
              <w:jc w:val="center"/>
              <w:outlineLvl w:val="9"/>
              <w:rPr>
                <w:rFonts w:hint="eastAsia" w:ascii="宋体" w:hAnsi="宋体" w:eastAsia="宋体" w:cs="宋体"/>
                <w:color w:val="auto"/>
                <w:szCs w:val="21"/>
                <w:lang w:val="en-US" w:eastAsia="zh-CN"/>
              </w:rPr>
            </w:pPr>
          </w:p>
        </w:tc>
        <w:tc>
          <w:tcPr>
            <w:tcW w:w="821" w:type="pct"/>
            <w:tcBorders>
              <w:top w:val="single" w:color="000000" w:sz="6" w:space="0"/>
              <w:left w:val="single" w:color="auto" w:sz="4" w:space="0"/>
              <w:bottom w:val="single" w:color="000000" w:sz="6" w:space="0"/>
              <w:right w:val="single" w:color="000000" w:sz="6" w:space="0"/>
            </w:tcBorders>
            <w:vAlign w:val="center"/>
          </w:tcPr>
          <w:p w14:paraId="2AC4E228">
            <w:pPr>
              <w:jc w:val="center"/>
              <w:outlineLvl w:val="9"/>
              <w:rPr>
                <w:rFonts w:hint="eastAsia" w:ascii="宋体" w:hAnsi="宋体" w:eastAsia="宋体" w:cs="宋体"/>
                <w:color w:val="auto"/>
                <w:szCs w:val="21"/>
              </w:rPr>
            </w:pPr>
          </w:p>
        </w:tc>
        <w:tc>
          <w:tcPr>
            <w:tcW w:w="881" w:type="pct"/>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71D5636C">
            <w:pPr>
              <w:jc w:val="center"/>
              <w:outlineLvl w:val="9"/>
              <w:rPr>
                <w:rFonts w:hint="eastAsia" w:ascii="宋体" w:hAnsi="宋体" w:eastAsia="宋体" w:cs="宋体"/>
                <w:color w:val="auto"/>
                <w:szCs w:val="21"/>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2A25D5F3">
            <w:pPr>
              <w:jc w:val="center"/>
              <w:outlineLvl w:val="9"/>
              <w:rPr>
                <w:rFonts w:hint="eastAsia" w:ascii="宋体" w:hAnsi="宋体" w:eastAsia="宋体" w:cs="宋体"/>
                <w:color w:val="auto"/>
                <w:szCs w:val="21"/>
              </w:rPr>
            </w:pPr>
          </w:p>
        </w:tc>
      </w:tr>
      <w:tr w14:paraId="65FB28F8">
        <w:tblPrEx>
          <w:tblCellMar>
            <w:top w:w="0" w:type="dxa"/>
            <w:left w:w="0" w:type="dxa"/>
            <w:bottom w:w="0" w:type="dxa"/>
            <w:right w:w="0" w:type="dxa"/>
          </w:tblCellMar>
        </w:tblPrEx>
        <w:trPr>
          <w:trHeight w:val="340" w:hRule="atLeast"/>
        </w:trPr>
        <w:tc>
          <w:tcPr>
            <w:tcW w:w="406"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5F4D0C47">
            <w:pPr>
              <w:jc w:val="center"/>
              <w:outlineLvl w:val="9"/>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5</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0F55DFC4">
            <w:pPr>
              <w:jc w:val="center"/>
              <w:outlineLvl w:val="9"/>
              <w:rPr>
                <w:rFonts w:hint="eastAsia" w:ascii="宋体" w:hAnsi="宋体" w:eastAsia="宋体" w:cs="宋体"/>
                <w:color w:val="auto"/>
                <w:szCs w:val="21"/>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49E3A10F">
            <w:pPr>
              <w:jc w:val="center"/>
              <w:outlineLvl w:val="9"/>
              <w:rPr>
                <w:rFonts w:hint="eastAsia" w:ascii="宋体" w:hAnsi="宋体" w:eastAsia="宋体" w:cs="宋体"/>
                <w:color w:val="auto"/>
                <w:szCs w:val="21"/>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353DB9EF">
            <w:pPr>
              <w:jc w:val="center"/>
              <w:outlineLvl w:val="9"/>
              <w:rPr>
                <w:rFonts w:hint="eastAsia" w:ascii="宋体" w:hAnsi="宋体" w:eastAsia="宋体" w:cs="宋体"/>
                <w:color w:val="auto"/>
                <w:szCs w:val="21"/>
                <w:lang w:val="en-US" w:eastAsia="zh-CN"/>
              </w:rPr>
            </w:pPr>
          </w:p>
        </w:tc>
        <w:tc>
          <w:tcPr>
            <w:tcW w:w="821" w:type="pct"/>
            <w:tcBorders>
              <w:top w:val="single" w:color="000000" w:sz="6" w:space="0"/>
              <w:left w:val="single" w:color="auto" w:sz="4" w:space="0"/>
              <w:bottom w:val="single" w:color="000000" w:sz="6" w:space="0"/>
              <w:right w:val="single" w:color="000000" w:sz="6" w:space="0"/>
            </w:tcBorders>
            <w:vAlign w:val="center"/>
          </w:tcPr>
          <w:p w14:paraId="2E95BB10">
            <w:pPr>
              <w:jc w:val="center"/>
              <w:outlineLvl w:val="9"/>
              <w:rPr>
                <w:rFonts w:hint="eastAsia" w:ascii="宋体" w:hAnsi="宋体" w:eastAsia="宋体" w:cs="宋体"/>
                <w:color w:val="auto"/>
                <w:szCs w:val="21"/>
              </w:rPr>
            </w:pPr>
          </w:p>
        </w:tc>
        <w:tc>
          <w:tcPr>
            <w:tcW w:w="881" w:type="pct"/>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2BE74698">
            <w:pPr>
              <w:jc w:val="center"/>
              <w:outlineLvl w:val="9"/>
              <w:rPr>
                <w:rFonts w:hint="eastAsia" w:ascii="宋体" w:hAnsi="宋体" w:eastAsia="宋体" w:cs="宋体"/>
                <w:color w:val="auto"/>
                <w:szCs w:val="21"/>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210B776A">
            <w:pPr>
              <w:jc w:val="center"/>
              <w:outlineLvl w:val="9"/>
              <w:rPr>
                <w:rFonts w:hint="eastAsia" w:ascii="宋体" w:hAnsi="宋体" w:eastAsia="宋体" w:cs="宋体"/>
                <w:color w:val="auto"/>
                <w:szCs w:val="21"/>
              </w:rPr>
            </w:pPr>
          </w:p>
        </w:tc>
      </w:tr>
      <w:tr w14:paraId="5D636F3E">
        <w:tblPrEx>
          <w:tblCellMar>
            <w:top w:w="0" w:type="dxa"/>
            <w:left w:w="0" w:type="dxa"/>
            <w:bottom w:w="0" w:type="dxa"/>
            <w:right w:w="0" w:type="dxa"/>
          </w:tblCellMar>
        </w:tblPrEx>
        <w:trPr>
          <w:trHeight w:val="340" w:hRule="atLeast"/>
        </w:trPr>
        <w:tc>
          <w:tcPr>
            <w:tcW w:w="406"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47D76F1A">
            <w:pPr>
              <w:jc w:val="center"/>
              <w:outlineLvl w:val="9"/>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6</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7EE994B8">
            <w:pPr>
              <w:jc w:val="center"/>
              <w:outlineLvl w:val="9"/>
              <w:rPr>
                <w:rFonts w:hint="eastAsia" w:ascii="宋体" w:hAnsi="宋体" w:eastAsia="宋体" w:cs="宋体"/>
                <w:color w:val="auto"/>
                <w:szCs w:val="21"/>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65BD5C65">
            <w:pPr>
              <w:jc w:val="center"/>
              <w:outlineLvl w:val="9"/>
              <w:rPr>
                <w:rFonts w:hint="eastAsia" w:ascii="宋体" w:hAnsi="宋体" w:eastAsia="宋体" w:cs="宋体"/>
                <w:color w:val="auto"/>
                <w:szCs w:val="21"/>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4AB7701E">
            <w:pPr>
              <w:jc w:val="center"/>
              <w:outlineLvl w:val="9"/>
              <w:rPr>
                <w:rFonts w:hint="eastAsia" w:ascii="宋体" w:hAnsi="宋体" w:eastAsia="宋体" w:cs="宋体"/>
                <w:color w:val="auto"/>
                <w:szCs w:val="21"/>
                <w:lang w:val="en-US" w:eastAsia="zh-CN"/>
              </w:rPr>
            </w:pPr>
          </w:p>
        </w:tc>
        <w:tc>
          <w:tcPr>
            <w:tcW w:w="821" w:type="pct"/>
            <w:tcBorders>
              <w:top w:val="single" w:color="000000" w:sz="6" w:space="0"/>
              <w:left w:val="single" w:color="auto" w:sz="4" w:space="0"/>
              <w:bottom w:val="single" w:color="000000" w:sz="6" w:space="0"/>
              <w:right w:val="single" w:color="000000" w:sz="6" w:space="0"/>
            </w:tcBorders>
            <w:vAlign w:val="center"/>
          </w:tcPr>
          <w:p w14:paraId="14AD97E9">
            <w:pPr>
              <w:jc w:val="center"/>
              <w:outlineLvl w:val="9"/>
              <w:rPr>
                <w:rFonts w:hint="eastAsia" w:ascii="宋体" w:hAnsi="宋体" w:eastAsia="宋体" w:cs="宋体"/>
                <w:color w:val="auto"/>
                <w:szCs w:val="21"/>
              </w:rPr>
            </w:pPr>
          </w:p>
        </w:tc>
        <w:tc>
          <w:tcPr>
            <w:tcW w:w="881" w:type="pct"/>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09369444">
            <w:pPr>
              <w:jc w:val="center"/>
              <w:outlineLvl w:val="9"/>
              <w:rPr>
                <w:rFonts w:hint="eastAsia" w:ascii="宋体" w:hAnsi="宋体" w:eastAsia="宋体" w:cs="宋体"/>
                <w:color w:val="auto"/>
                <w:szCs w:val="21"/>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1D46D8C3">
            <w:pPr>
              <w:jc w:val="center"/>
              <w:outlineLvl w:val="9"/>
              <w:rPr>
                <w:rFonts w:hint="eastAsia" w:ascii="宋体" w:hAnsi="宋体" w:eastAsia="宋体" w:cs="宋体"/>
                <w:color w:val="auto"/>
                <w:szCs w:val="21"/>
              </w:rPr>
            </w:pPr>
          </w:p>
        </w:tc>
      </w:tr>
      <w:tr w14:paraId="29A43490">
        <w:tblPrEx>
          <w:tblCellMar>
            <w:top w:w="0" w:type="dxa"/>
            <w:left w:w="0" w:type="dxa"/>
            <w:bottom w:w="0" w:type="dxa"/>
            <w:right w:w="0" w:type="dxa"/>
          </w:tblCellMar>
        </w:tblPrEx>
        <w:trPr>
          <w:trHeight w:val="340" w:hRule="atLeast"/>
        </w:trPr>
        <w:tc>
          <w:tcPr>
            <w:tcW w:w="406"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07A7A02D">
            <w:pPr>
              <w:jc w:val="center"/>
              <w:outlineLvl w:val="9"/>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7</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107D892A">
            <w:pPr>
              <w:jc w:val="center"/>
              <w:outlineLvl w:val="9"/>
              <w:rPr>
                <w:rFonts w:hint="eastAsia" w:ascii="宋体" w:hAnsi="宋体" w:eastAsia="宋体" w:cs="宋体"/>
                <w:color w:val="auto"/>
                <w:szCs w:val="21"/>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14645429">
            <w:pPr>
              <w:jc w:val="center"/>
              <w:outlineLvl w:val="9"/>
              <w:rPr>
                <w:rFonts w:hint="eastAsia" w:ascii="宋体" w:hAnsi="宋体" w:eastAsia="宋体" w:cs="宋体"/>
                <w:color w:val="auto"/>
                <w:szCs w:val="21"/>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481FE7AC">
            <w:pPr>
              <w:jc w:val="center"/>
              <w:outlineLvl w:val="9"/>
              <w:rPr>
                <w:rFonts w:hint="eastAsia" w:ascii="宋体" w:hAnsi="宋体" w:eastAsia="宋体" w:cs="宋体"/>
                <w:color w:val="auto"/>
                <w:szCs w:val="21"/>
                <w:lang w:val="en-US" w:eastAsia="zh-CN"/>
              </w:rPr>
            </w:pPr>
          </w:p>
        </w:tc>
        <w:tc>
          <w:tcPr>
            <w:tcW w:w="821" w:type="pct"/>
            <w:tcBorders>
              <w:top w:val="single" w:color="000000" w:sz="6" w:space="0"/>
              <w:left w:val="single" w:color="auto" w:sz="4" w:space="0"/>
              <w:bottom w:val="single" w:color="000000" w:sz="6" w:space="0"/>
              <w:right w:val="single" w:color="000000" w:sz="6" w:space="0"/>
            </w:tcBorders>
            <w:vAlign w:val="center"/>
          </w:tcPr>
          <w:p w14:paraId="3D7EAC45">
            <w:pPr>
              <w:jc w:val="center"/>
              <w:outlineLvl w:val="9"/>
              <w:rPr>
                <w:rFonts w:hint="eastAsia" w:ascii="宋体" w:hAnsi="宋体" w:eastAsia="宋体" w:cs="宋体"/>
                <w:color w:val="auto"/>
                <w:szCs w:val="21"/>
              </w:rPr>
            </w:pPr>
          </w:p>
        </w:tc>
        <w:tc>
          <w:tcPr>
            <w:tcW w:w="881" w:type="pct"/>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32FECBC9">
            <w:pPr>
              <w:jc w:val="center"/>
              <w:outlineLvl w:val="9"/>
              <w:rPr>
                <w:rFonts w:hint="eastAsia" w:ascii="宋体" w:hAnsi="宋体" w:eastAsia="宋体" w:cs="宋体"/>
                <w:color w:val="auto"/>
                <w:szCs w:val="21"/>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7258589E">
            <w:pPr>
              <w:jc w:val="center"/>
              <w:outlineLvl w:val="9"/>
              <w:rPr>
                <w:rFonts w:hint="eastAsia" w:ascii="宋体" w:hAnsi="宋体" w:eastAsia="宋体" w:cs="宋体"/>
                <w:color w:val="auto"/>
                <w:szCs w:val="21"/>
              </w:rPr>
            </w:pPr>
          </w:p>
        </w:tc>
      </w:tr>
      <w:tr w14:paraId="4D34EA4A">
        <w:tblPrEx>
          <w:tblCellMar>
            <w:top w:w="0" w:type="dxa"/>
            <w:left w:w="0" w:type="dxa"/>
            <w:bottom w:w="0" w:type="dxa"/>
            <w:right w:w="0" w:type="dxa"/>
          </w:tblCellMar>
        </w:tblPrEx>
        <w:trPr>
          <w:trHeight w:val="340" w:hRule="atLeast"/>
        </w:trPr>
        <w:tc>
          <w:tcPr>
            <w:tcW w:w="406"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00A22053">
            <w:pPr>
              <w:jc w:val="center"/>
              <w:outlineLvl w:val="9"/>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8</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31E10429">
            <w:pPr>
              <w:jc w:val="center"/>
              <w:outlineLvl w:val="9"/>
              <w:rPr>
                <w:rFonts w:hint="eastAsia" w:ascii="宋体" w:hAnsi="宋体" w:eastAsia="宋体" w:cs="宋体"/>
                <w:color w:val="auto"/>
                <w:szCs w:val="21"/>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58A21EDA">
            <w:pPr>
              <w:jc w:val="center"/>
              <w:outlineLvl w:val="9"/>
              <w:rPr>
                <w:rFonts w:hint="eastAsia" w:ascii="宋体" w:hAnsi="宋体" w:eastAsia="宋体" w:cs="宋体"/>
                <w:color w:val="auto"/>
                <w:szCs w:val="21"/>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1A8EC6B0">
            <w:pPr>
              <w:jc w:val="center"/>
              <w:outlineLvl w:val="9"/>
              <w:rPr>
                <w:rFonts w:hint="eastAsia" w:ascii="宋体" w:hAnsi="宋体" w:eastAsia="宋体" w:cs="宋体"/>
                <w:color w:val="auto"/>
                <w:szCs w:val="21"/>
                <w:lang w:val="en-US" w:eastAsia="zh-CN"/>
              </w:rPr>
            </w:pPr>
          </w:p>
        </w:tc>
        <w:tc>
          <w:tcPr>
            <w:tcW w:w="821" w:type="pct"/>
            <w:tcBorders>
              <w:top w:val="single" w:color="000000" w:sz="6" w:space="0"/>
              <w:left w:val="single" w:color="auto" w:sz="4" w:space="0"/>
              <w:bottom w:val="single" w:color="000000" w:sz="6" w:space="0"/>
              <w:right w:val="single" w:color="000000" w:sz="6" w:space="0"/>
            </w:tcBorders>
            <w:vAlign w:val="center"/>
          </w:tcPr>
          <w:p w14:paraId="3A227CC1">
            <w:pPr>
              <w:jc w:val="center"/>
              <w:outlineLvl w:val="9"/>
              <w:rPr>
                <w:rFonts w:hint="eastAsia" w:ascii="宋体" w:hAnsi="宋体" w:eastAsia="宋体" w:cs="宋体"/>
                <w:color w:val="auto"/>
                <w:szCs w:val="21"/>
              </w:rPr>
            </w:pPr>
          </w:p>
        </w:tc>
        <w:tc>
          <w:tcPr>
            <w:tcW w:w="881" w:type="pct"/>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6F529DA0">
            <w:pPr>
              <w:jc w:val="center"/>
              <w:outlineLvl w:val="9"/>
              <w:rPr>
                <w:rFonts w:hint="eastAsia" w:ascii="宋体" w:hAnsi="宋体" w:eastAsia="宋体" w:cs="宋体"/>
                <w:color w:val="auto"/>
                <w:szCs w:val="21"/>
              </w:rPr>
            </w:pPr>
          </w:p>
        </w:tc>
        <w:tc>
          <w:tcPr>
            <w:tcW w:w="898" w:type="pct"/>
            <w:tcBorders>
              <w:top w:val="single" w:color="auto" w:sz="4" w:space="0"/>
              <w:left w:val="single" w:color="000000" w:sz="6" w:space="0"/>
              <w:bottom w:val="single" w:color="auto" w:sz="4" w:space="0"/>
              <w:right w:val="double" w:color="000000" w:sz="4" w:space="0"/>
            </w:tcBorders>
            <w:tcMar>
              <w:top w:w="28" w:type="dxa"/>
              <w:left w:w="28" w:type="dxa"/>
              <w:bottom w:w="28" w:type="dxa"/>
              <w:right w:w="28" w:type="dxa"/>
            </w:tcMar>
            <w:vAlign w:val="center"/>
          </w:tcPr>
          <w:p w14:paraId="1DF4849B">
            <w:pPr>
              <w:jc w:val="center"/>
              <w:outlineLvl w:val="9"/>
              <w:rPr>
                <w:rFonts w:hint="eastAsia" w:ascii="宋体" w:hAnsi="宋体" w:eastAsia="宋体" w:cs="宋体"/>
                <w:color w:val="auto"/>
                <w:szCs w:val="21"/>
              </w:rPr>
            </w:pPr>
          </w:p>
        </w:tc>
      </w:tr>
      <w:tr w14:paraId="2C3D4DFA">
        <w:tblPrEx>
          <w:tblCellMar>
            <w:top w:w="0" w:type="dxa"/>
            <w:left w:w="0" w:type="dxa"/>
            <w:bottom w:w="0" w:type="dxa"/>
            <w:right w:w="0" w:type="dxa"/>
          </w:tblCellMar>
        </w:tblPrEx>
        <w:trPr>
          <w:trHeight w:val="340" w:hRule="atLeast"/>
        </w:trPr>
        <w:tc>
          <w:tcPr>
            <w:tcW w:w="406"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1A08FBFB">
            <w:pPr>
              <w:jc w:val="center"/>
              <w:outlineLvl w:val="9"/>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w:t>
            </w:r>
          </w:p>
        </w:tc>
        <w:tc>
          <w:tcPr>
            <w:tcW w:w="1097" w:type="pct"/>
            <w:tcBorders>
              <w:top w:val="single" w:color="000000" w:sz="6" w:space="0"/>
              <w:left w:val="single" w:color="000000" w:sz="6" w:space="0"/>
              <w:bottom w:val="single" w:color="000000" w:sz="6" w:space="0"/>
              <w:right w:val="single" w:color="000000" w:sz="6" w:space="0"/>
            </w:tcBorders>
            <w:tcMar>
              <w:top w:w="28" w:type="dxa"/>
              <w:left w:w="28" w:type="dxa"/>
              <w:bottom w:w="28" w:type="dxa"/>
              <w:right w:w="28" w:type="dxa"/>
            </w:tcMar>
            <w:vAlign w:val="center"/>
          </w:tcPr>
          <w:p w14:paraId="1DD7AC61">
            <w:pPr>
              <w:jc w:val="center"/>
              <w:outlineLvl w:val="9"/>
              <w:rPr>
                <w:rFonts w:hint="eastAsia" w:ascii="宋体" w:hAnsi="宋体" w:eastAsia="宋体" w:cs="宋体"/>
                <w:color w:val="auto"/>
                <w:szCs w:val="21"/>
                <w:lang w:val="en-US" w:eastAsia="zh-CN"/>
              </w:rPr>
            </w:pPr>
          </w:p>
        </w:tc>
        <w:tc>
          <w:tcPr>
            <w:tcW w:w="536" w:type="pct"/>
            <w:tcBorders>
              <w:top w:val="single" w:color="000000" w:sz="6" w:space="0"/>
              <w:left w:val="single" w:color="000000" w:sz="6" w:space="0"/>
              <w:bottom w:val="single" w:color="000000" w:sz="6" w:space="0"/>
              <w:right w:val="single" w:color="auto" w:sz="4" w:space="0"/>
            </w:tcBorders>
            <w:tcMar>
              <w:top w:w="28" w:type="dxa"/>
              <w:left w:w="28" w:type="dxa"/>
              <w:bottom w:w="28" w:type="dxa"/>
              <w:right w:w="28" w:type="dxa"/>
            </w:tcMar>
            <w:vAlign w:val="center"/>
          </w:tcPr>
          <w:p w14:paraId="5A01DD3E">
            <w:pPr>
              <w:jc w:val="center"/>
              <w:outlineLvl w:val="9"/>
              <w:rPr>
                <w:rFonts w:hint="eastAsia" w:ascii="宋体" w:hAnsi="宋体" w:eastAsia="宋体" w:cs="宋体"/>
                <w:color w:val="auto"/>
                <w:szCs w:val="21"/>
                <w:lang w:val="en-US" w:eastAsia="zh-CN"/>
              </w:rPr>
            </w:pPr>
          </w:p>
        </w:tc>
        <w:tc>
          <w:tcPr>
            <w:tcW w:w="358" w:type="pct"/>
            <w:tcBorders>
              <w:top w:val="single" w:color="000000" w:sz="6" w:space="0"/>
              <w:left w:val="single" w:color="auto" w:sz="4" w:space="0"/>
              <w:bottom w:val="single" w:color="000000" w:sz="6" w:space="0"/>
              <w:right w:val="single" w:color="auto" w:sz="4" w:space="0"/>
            </w:tcBorders>
            <w:vAlign w:val="center"/>
          </w:tcPr>
          <w:p w14:paraId="5B66B03C">
            <w:pPr>
              <w:jc w:val="center"/>
              <w:outlineLvl w:val="9"/>
              <w:rPr>
                <w:rFonts w:hint="eastAsia" w:ascii="宋体" w:hAnsi="宋体" w:eastAsia="宋体" w:cs="宋体"/>
                <w:color w:val="auto"/>
                <w:szCs w:val="21"/>
                <w:lang w:val="en-US" w:eastAsia="zh-CN"/>
              </w:rPr>
            </w:pPr>
          </w:p>
        </w:tc>
        <w:tc>
          <w:tcPr>
            <w:tcW w:w="821" w:type="pct"/>
            <w:tcBorders>
              <w:top w:val="single" w:color="000000" w:sz="6" w:space="0"/>
              <w:left w:val="single" w:color="auto" w:sz="4" w:space="0"/>
              <w:bottom w:val="single" w:color="000000" w:sz="6" w:space="0"/>
              <w:right w:val="single" w:color="000000" w:sz="6" w:space="0"/>
            </w:tcBorders>
            <w:vAlign w:val="center"/>
          </w:tcPr>
          <w:p w14:paraId="7181D888">
            <w:pPr>
              <w:jc w:val="center"/>
              <w:outlineLvl w:val="9"/>
              <w:rPr>
                <w:rFonts w:hint="eastAsia" w:ascii="宋体" w:hAnsi="宋体" w:eastAsia="宋体" w:cs="宋体"/>
                <w:color w:val="auto"/>
                <w:szCs w:val="21"/>
              </w:rPr>
            </w:pPr>
          </w:p>
        </w:tc>
        <w:tc>
          <w:tcPr>
            <w:tcW w:w="881" w:type="pct"/>
            <w:tcBorders>
              <w:top w:val="single" w:color="000000" w:sz="6" w:space="0"/>
              <w:left w:val="single" w:color="000000" w:sz="6" w:space="0"/>
              <w:bottom w:val="single" w:color="000000" w:sz="6" w:space="0"/>
              <w:right w:val="single" w:color="000000" w:sz="4" w:space="0"/>
            </w:tcBorders>
            <w:tcMar>
              <w:top w:w="28" w:type="dxa"/>
              <w:left w:w="28" w:type="dxa"/>
              <w:bottom w:w="28" w:type="dxa"/>
              <w:right w:w="28" w:type="dxa"/>
            </w:tcMar>
            <w:vAlign w:val="center"/>
          </w:tcPr>
          <w:p w14:paraId="62AE57BF">
            <w:pPr>
              <w:jc w:val="center"/>
              <w:outlineLvl w:val="9"/>
              <w:rPr>
                <w:rFonts w:hint="eastAsia" w:ascii="宋体" w:hAnsi="宋体" w:eastAsia="宋体" w:cs="宋体"/>
                <w:color w:val="auto"/>
                <w:szCs w:val="21"/>
              </w:rPr>
            </w:pPr>
          </w:p>
        </w:tc>
        <w:tc>
          <w:tcPr>
            <w:tcW w:w="898" w:type="pct"/>
            <w:tcBorders>
              <w:top w:val="single" w:color="auto" w:sz="4"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0E7F58B0">
            <w:pPr>
              <w:jc w:val="center"/>
              <w:outlineLvl w:val="9"/>
              <w:rPr>
                <w:rFonts w:hint="eastAsia" w:ascii="宋体" w:hAnsi="宋体" w:eastAsia="宋体" w:cs="宋体"/>
                <w:color w:val="auto"/>
                <w:szCs w:val="21"/>
              </w:rPr>
            </w:pPr>
          </w:p>
        </w:tc>
      </w:tr>
      <w:tr w14:paraId="00C4B583">
        <w:tblPrEx>
          <w:tblCellMar>
            <w:top w:w="0" w:type="dxa"/>
            <w:left w:w="0" w:type="dxa"/>
            <w:bottom w:w="0" w:type="dxa"/>
            <w:right w:w="0" w:type="dxa"/>
          </w:tblCellMar>
        </w:tblPrEx>
        <w:trPr>
          <w:trHeight w:val="340" w:hRule="atLeast"/>
        </w:trPr>
        <w:tc>
          <w:tcPr>
            <w:tcW w:w="406" w:type="pct"/>
            <w:tcBorders>
              <w:top w:val="single" w:color="000000" w:sz="6" w:space="0"/>
              <w:left w:val="double" w:color="000000" w:sz="4" w:space="0"/>
              <w:bottom w:val="single" w:color="000000" w:sz="6" w:space="0"/>
              <w:right w:val="single" w:color="000000" w:sz="6" w:space="0"/>
            </w:tcBorders>
            <w:tcMar>
              <w:top w:w="28" w:type="dxa"/>
              <w:left w:w="28" w:type="dxa"/>
              <w:bottom w:w="28" w:type="dxa"/>
              <w:right w:w="28" w:type="dxa"/>
            </w:tcMar>
            <w:vAlign w:val="center"/>
          </w:tcPr>
          <w:p w14:paraId="3A4CF202">
            <w:pPr>
              <w:jc w:val="center"/>
              <w:outlineLvl w:val="9"/>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总计</w:t>
            </w:r>
          </w:p>
        </w:tc>
        <w:tc>
          <w:tcPr>
            <w:tcW w:w="4593" w:type="pct"/>
            <w:gridSpan w:val="6"/>
            <w:tcBorders>
              <w:top w:val="single" w:color="000000" w:sz="6" w:space="0"/>
              <w:left w:val="single" w:color="000000" w:sz="6" w:space="0"/>
              <w:bottom w:val="single" w:color="000000" w:sz="6" w:space="0"/>
              <w:right w:val="double" w:color="000000" w:sz="4" w:space="0"/>
            </w:tcBorders>
            <w:tcMar>
              <w:top w:w="28" w:type="dxa"/>
              <w:left w:w="28" w:type="dxa"/>
              <w:bottom w:w="28" w:type="dxa"/>
              <w:right w:w="28" w:type="dxa"/>
            </w:tcMar>
            <w:vAlign w:val="center"/>
          </w:tcPr>
          <w:p w14:paraId="7008030F">
            <w:pPr>
              <w:jc w:val="center"/>
              <w:outlineLvl w:val="9"/>
              <w:rPr>
                <w:rFonts w:hint="eastAsia" w:ascii="宋体" w:hAnsi="宋体" w:eastAsia="宋体" w:cs="宋体"/>
                <w:color w:val="auto"/>
                <w:szCs w:val="21"/>
              </w:rPr>
            </w:pPr>
            <w:r>
              <w:rPr>
                <w:rFonts w:hint="eastAsia" w:ascii="宋体" w:hAnsi="宋体" w:eastAsia="宋体" w:cs="宋体"/>
                <w:color w:val="auto"/>
                <w:szCs w:val="21"/>
              </w:rPr>
              <w:t>大写:                   小写：</w:t>
            </w:r>
          </w:p>
        </w:tc>
      </w:tr>
    </w:tbl>
    <w:p w14:paraId="4B0B91EA">
      <w:pPr>
        <w:spacing w:line="360" w:lineRule="auto"/>
        <w:ind w:right="420"/>
        <w:outlineLvl w:val="9"/>
        <w:rPr>
          <w:rFonts w:hint="eastAsia" w:ascii="宋体" w:hAnsi="宋体" w:eastAsia="宋体" w:cs="宋体"/>
          <w:iCs/>
          <w:color w:val="auto"/>
          <w:szCs w:val="21"/>
        </w:rPr>
      </w:pPr>
      <w:r>
        <w:rPr>
          <w:rFonts w:hint="eastAsia" w:ascii="宋体" w:hAnsi="宋体" w:eastAsia="宋体" w:cs="宋体"/>
          <w:color w:val="auto"/>
          <w:szCs w:val="21"/>
        </w:rPr>
        <w:t>说明：表格由供应商根据招标文件第三部分计算报价</w:t>
      </w:r>
    </w:p>
    <w:p w14:paraId="5055AFA9">
      <w:pPr>
        <w:spacing w:line="360" w:lineRule="auto"/>
        <w:outlineLvl w:val="9"/>
        <w:rPr>
          <w:rFonts w:hint="eastAsia" w:ascii="宋体" w:hAnsi="宋体" w:eastAsia="宋体" w:cs="宋体"/>
          <w:iCs/>
          <w:color w:val="auto"/>
          <w:szCs w:val="21"/>
        </w:rPr>
      </w:pPr>
    </w:p>
    <w:p w14:paraId="1A4203B0">
      <w:pPr>
        <w:spacing w:line="360" w:lineRule="auto"/>
        <w:outlineLvl w:val="9"/>
        <w:rPr>
          <w:rFonts w:hint="eastAsia" w:ascii="宋体" w:hAnsi="宋体" w:eastAsia="宋体" w:cs="宋体"/>
          <w:iCs/>
          <w:color w:val="auto"/>
          <w:szCs w:val="21"/>
        </w:rPr>
      </w:pPr>
      <w:r>
        <w:rPr>
          <w:rFonts w:hint="eastAsia" w:ascii="宋体" w:hAnsi="宋体" w:eastAsia="宋体" w:cs="宋体"/>
          <w:iCs/>
          <w:color w:val="auto"/>
          <w:szCs w:val="21"/>
        </w:rPr>
        <w:t>注:</w:t>
      </w:r>
    </w:p>
    <w:p w14:paraId="64772210">
      <w:pPr>
        <w:spacing w:line="360" w:lineRule="auto"/>
        <w:ind w:firstLine="420" w:firstLineChars="200"/>
        <w:outlineLvl w:val="9"/>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1.分项报价表中的“总价”与“开标一览表”中的“投标总报价”一致,各子项分别报价。</w:t>
      </w:r>
    </w:p>
    <w:p w14:paraId="25AC9C76">
      <w:pPr>
        <w:spacing w:line="360" w:lineRule="auto"/>
        <w:ind w:firstLine="420" w:firstLineChars="200"/>
        <w:outlineLvl w:val="9"/>
        <w:rPr>
          <w:rFonts w:hint="eastAsia" w:ascii="宋体" w:hAnsi="宋体" w:eastAsia="宋体" w:cs="宋体"/>
          <w:color w:val="auto"/>
          <w:szCs w:val="21"/>
          <w:u w:val="single"/>
        </w:rPr>
      </w:pPr>
      <w:r>
        <w:rPr>
          <w:rFonts w:hint="eastAsia" w:ascii="宋体" w:hAnsi="宋体" w:eastAsia="宋体" w:cs="宋体"/>
          <w:color w:val="auto"/>
          <w:szCs w:val="21"/>
        </w:rPr>
        <w:t>1. 如果按单价计算的结果与总价不一致，以单价为准修正总价；</w:t>
      </w:r>
    </w:p>
    <w:p w14:paraId="60A340DE">
      <w:pPr>
        <w:spacing w:line="360" w:lineRule="auto"/>
        <w:ind w:firstLine="420" w:firstLineChars="0"/>
        <w:outlineLvl w:val="9"/>
        <w:rPr>
          <w:rFonts w:hint="eastAsia" w:ascii="宋体" w:hAnsi="宋体" w:eastAsia="宋体" w:cs="宋体"/>
          <w:color w:val="auto"/>
          <w:szCs w:val="21"/>
        </w:rPr>
      </w:pPr>
      <w:r>
        <w:rPr>
          <w:rFonts w:hint="eastAsia" w:ascii="宋体" w:hAnsi="宋体" w:eastAsia="宋体" w:cs="宋体"/>
          <w:color w:val="auto"/>
          <w:szCs w:val="21"/>
        </w:rPr>
        <w:t>2. 如果不提供详细分项报价，视为其投标文件没有实质性响应招标文件；</w:t>
      </w:r>
    </w:p>
    <w:p w14:paraId="34CEABED">
      <w:pPr>
        <w:spacing w:line="360" w:lineRule="auto"/>
        <w:ind w:firstLine="420" w:firstLineChars="0"/>
        <w:outlineLvl w:val="9"/>
        <w:rPr>
          <w:rFonts w:hint="eastAsia" w:ascii="宋体" w:hAnsi="宋体" w:eastAsia="宋体" w:cs="宋体"/>
          <w:color w:val="auto"/>
          <w:szCs w:val="21"/>
        </w:rPr>
      </w:pPr>
      <w:r>
        <w:rPr>
          <w:rFonts w:hint="eastAsia" w:ascii="宋体" w:hAnsi="宋体" w:eastAsia="宋体" w:cs="宋体"/>
          <w:color w:val="auto"/>
          <w:szCs w:val="21"/>
        </w:rPr>
        <w:t>3. 根据实际情况对具体项目进行说明。</w:t>
      </w:r>
    </w:p>
    <w:p w14:paraId="13A90093">
      <w:pPr>
        <w:spacing w:line="360" w:lineRule="auto"/>
        <w:ind w:firstLine="420" w:firstLineChars="0"/>
        <w:outlineLvl w:val="9"/>
        <w:rPr>
          <w:rFonts w:hint="eastAsia" w:ascii="宋体" w:hAnsi="宋体" w:eastAsia="宋体" w:cs="宋体"/>
          <w:color w:val="auto"/>
          <w:szCs w:val="21"/>
        </w:rPr>
      </w:pPr>
    </w:p>
    <w:p w14:paraId="2CB61BC7">
      <w:pPr>
        <w:spacing w:line="360" w:lineRule="auto"/>
        <w:ind w:firstLine="420" w:firstLineChars="0"/>
        <w:outlineLvl w:val="9"/>
        <w:rPr>
          <w:rFonts w:hint="eastAsia" w:ascii="宋体" w:hAnsi="宋体" w:eastAsia="宋体" w:cs="宋体"/>
          <w:color w:val="auto"/>
          <w:sz w:val="24"/>
        </w:rPr>
      </w:pPr>
      <w:r>
        <w:rPr>
          <w:rFonts w:hint="eastAsia" w:ascii="宋体" w:hAnsi="宋体" w:eastAsia="宋体" w:cs="宋体"/>
          <w:color w:val="auto"/>
          <w:sz w:val="24"/>
        </w:rPr>
        <w:t>投标人（公章）：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40F416D5">
      <w:pPr>
        <w:spacing w:line="360" w:lineRule="auto"/>
        <w:ind w:firstLine="420" w:firstLineChars="0"/>
        <w:outlineLvl w:val="9"/>
        <w:rPr>
          <w:rFonts w:hint="eastAsia" w:ascii="宋体" w:hAnsi="宋体" w:eastAsia="宋体" w:cs="宋体"/>
          <w:color w:val="auto"/>
          <w:szCs w:val="21"/>
        </w:rPr>
      </w:pPr>
      <w:r>
        <w:rPr>
          <w:rFonts w:hint="eastAsia" w:ascii="宋体" w:hAnsi="宋体" w:eastAsia="宋体" w:cs="宋体"/>
          <w:color w:val="auto"/>
          <w:sz w:val="24"/>
        </w:rPr>
        <w:t>法定代表人</w:t>
      </w:r>
      <w:r>
        <w:rPr>
          <w:rFonts w:hint="eastAsia" w:ascii="宋体" w:hAnsi="宋体" w:eastAsia="宋体" w:cs="宋体"/>
          <w:color w:val="auto"/>
          <w:sz w:val="24"/>
          <w:lang w:val="en-US" w:eastAsia="zh-CN"/>
        </w:rPr>
        <w:t>/负责人</w:t>
      </w:r>
      <w:r>
        <w:rPr>
          <w:rFonts w:hint="eastAsia" w:ascii="宋体" w:hAnsi="宋体" w:eastAsia="宋体" w:cs="宋体"/>
          <w:color w:val="auto"/>
          <w:sz w:val="24"/>
        </w:rPr>
        <w:t>/被授权人（签字或盖章）：</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44D73BD3">
      <w:pPr>
        <w:pStyle w:val="10"/>
        <w:outlineLvl w:val="9"/>
        <w:rPr>
          <w:rFonts w:hint="eastAsia" w:ascii="宋体" w:hAnsi="宋体" w:eastAsia="宋体" w:cs="宋体"/>
          <w:color w:val="auto"/>
          <w:sz w:val="24"/>
          <w:szCs w:val="24"/>
        </w:rPr>
      </w:pPr>
      <w:r>
        <w:rPr>
          <w:rFonts w:hint="eastAsia" w:ascii="宋体" w:hAnsi="宋体" w:eastAsia="宋体" w:cs="宋体"/>
          <w:color w:val="auto"/>
        </w:rPr>
        <w:br w:type="page"/>
      </w:r>
      <w:r>
        <w:rPr>
          <w:rFonts w:hint="eastAsia" w:ascii="宋体" w:hAnsi="宋体" w:eastAsia="宋体" w:cs="宋体"/>
          <w:color w:val="auto"/>
          <w:sz w:val="24"/>
          <w:szCs w:val="24"/>
        </w:rPr>
        <w:t>附表2</w:t>
      </w:r>
    </w:p>
    <w:p w14:paraId="13D92D1B">
      <w:pPr>
        <w:pStyle w:val="10"/>
        <w:jc w:val="center"/>
        <w:outlineLvl w:val="9"/>
        <w:rPr>
          <w:rFonts w:hint="eastAsia" w:ascii="宋体" w:hAnsi="宋体" w:eastAsia="宋体" w:cs="宋体"/>
          <w:b/>
          <w:color w:val="auto"/>
          <w:sz w:val="32"/>
        </w:rPr>
      </w:pPr>
      <w:r>
        <w:rPr>
          <w:rFonts w:hint="eastAsia" w:ascii="宋体" w:hAnsi="宋体" w:eastAsia="宋体" w:cs="宋体"/>
          <w:b/>
          <w:color w:val="auto"/>
          <w:sz w:val="32"/>
        </w:rPr>
        <w:t>技术规格响应偏离表</w:t>
      </w:r>
    </w:p>
    <w:p w14:paraId="23630049">
      <w:pPr>
        <w:kinsoku w:val="0"/>
        <w:spacing w:line="500" w:lineRule="exact"/>
        <w:ind w:firstLine="120" w:firstLineChars="50"/>
        <w:outlineLvl w:val="9"/>
        <w:rPr>
          <w:rFonts w:hint="eastAsia" w:ascii="宋体" w:hAnsi="宋体" w:eastAsia="宋体" w:cs="宋体"/>
          <w:color w:val="auto"/>
          <w:sz w:val="24"/>
        </w:rPr>
      </w:pPr>
      <w:r>
        <w:rPr>
          <w:rFonts w:hint="eastAsia" w:ascii="宋体" w:hAnsi="宋体" w:eastAsia="宋体" w:cs="宋体"/>
          <w:color w:val="auto"/>
          <w:sz w:val="24"/>
        </w:rPr>
        <w:t>项目名称：</w:t>
      </w:r>
    </w:p>
    <w:p w14:paraId="6D412232">
      <w:pPr>
        <w:kinsoku w:val="0"/>
        <w:spacing w:line="500" w:lineRule="exact"/>
        <w:ind w:firstLine="120" w:firstLineChars="50"/>
        <w:outlineLvl w:val="9"/>
        <w:rPr>
          <w:rFonts w:hint="eastAsia" w:ascii="宋体" w:hAnsi="宋体" w:eastAsia="宋体" w:cs="宋体"/>
          <w:color w:val="auto"/>
          <w:sz w:val="24"/>
        </w:rPr>
      </w:pPr>
      <w:r>
        <w:rPr>
          <w:rFonts w:hint="eastAsia" w:ascii="宋体" w:hAnsi="宋体" w:eastAsia="宋体" w:cs="宋体"/>
          <w:color w:val="auto"/>
          <w:sz w:val="24"/>
        </w:rPr>
        <w:t xml:space="preserve">项目编号：                                            </w:t>
      </w:r>
    </w:p>
    <w:tbl>
      <w:tblPr>
        <w:tblStyle w:val="19"/>
        <w:tblW w:w="919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986"/>
        <w:gridCol w:w="1897"/>
        <w:gridCol w:w="2659"/>
        <w:gridCol w:w="1689"/>
        <w:gridCol w:w="1319"/>
      </w:tblGrid>
      <w:tr w14:paraId="4D943E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40138D87">
            <w:pPr>
              <w:spacing w:line="360" w:lineRule="exact"/>
              <w:jc w:val="center"/>
              <w:outlineLvl w:val="9"/>
              <w:rPr>
                <w:rFonts w:hint="eastAsia" w:ascii="宋体" w:hAnsi="宋体" w:eastAsia="宋体" w:cs="宋体"/>
                <w:b/>
                <w:color w:val="auto"/>
                <w:szCs w:val="21"/>
              </w:rPr>
            </w:pPr>
            <w:r>
              <w:rPr>
                <w:rFonts w:hint="eastAsia" w:ascii="宋体" w:hAnsi="宋体" w:eastAsia="宋体" w:cs="宋体"/>
                <w:b/>
                <w:color w:val="auto"/>
                <w:szCs w:val="21"/>
              </w:rPr>
              <w:t>序号</w:t>
            </w:r>
          </w:p>
        </w:tc>
        <w:tc>
          <w:tcPr>
            <w:tcW w:w="986" w:type="dxa"/>
            <w:tcMar>
              <w:top w:w="57" w:type="dxa"/>
              <w:left w:w="28" w:type="dxa"/>
              <w:bottom w:w="57" w:type="dxa"/>
              <w:right w:w="28" w:type="dxa"/>
            </w:tcMar>
            <w:vAlign w:val="center"/>
          </w:tcPr>
          <w:p w14:paraId="4108A5A6">
            <w:pPr>
              <w:spacing w:line="360" w:lineRule="exact"/>
              <w:jc w:val="center"/>
              <w:outlineLvl w:val="9"/>
              <w:rPr>
                <w:rFonts w:hint="eastAsia" w:ascii="宋体" w:hAnsi="宋体" w:eastAsia="宋体" w:cs="宋体"/>
                <w:b/>
                <w:color w:val="auto"/>
                <w:szCs w:val="21"/>
              </w:rPr>
            </w:pPr>
            <w:r>
              <w:rPr>
                <w:rFonts w:hint="eastAsia" w:ascii="宋体" w:hAnsi="宋体" w:eastAsia="宋体" w:cs="宋体"/>
                <w:b/>
                <w:color w:val="auto"/>
                <w:szCs w:val="21"/>
              </w:rPr>
              <w:t>名称</w:t>
            </w:r>
          </w:p>
        </w:tc>
        <w:tc>
          <w:tcPr>
            <w:tcW w:w="1897" w:type="dxa"/>
            <w:vAlign w:val="center"/>
          </w:tcPr>
          <w:p w14:paraId="665C438F">
            <w:pPr>
              <w:spacing w:line="360" w:lineRule="exact"/>
              <w:jc w:val="center"/>
              <w:outlineLvl w:val="9"/>
              <w:rPr>
                <w:rFonts w:hint="eastAsia" w:ascii="宋体" w:hAnsi="宋体" w:eastAsia="宋体" w:cs="宋体"/>
                <w:b/>
                <w:color w:val="auto"/>
                <w:szCs w:val="21"/>
              </w:rPr>
            </w:pPr>
            <w:r>
              <w:rPr>
                <w:rFonts w:hint="eastAsia" w:ascii="宋体" w:hAnsi="宋体" w:eastAsia="宋体" w:cs="宋体"/>
                <w:b/>
                <w:color w:val="auto"/>
                <w:szCs w:val="21"/>
              </w:rPr>
              <w:t>招标文件</w:t>
            </w:r>
          </w:p>
          <w:p w14:paraId="0A9846BA">
            <w:pPr>
              <w:spacing w:line="360" w:lineRule="exact"/>
              <w:jc w:val="center"/>
              <w:outlineLvl w:val="9"/>
              <w:rPr>
                <w:rFonts w:hint="eastAsia" w:ascii="宋体" w:hAnsi="宋体" w:eastAsia="宋体" w:cs="宋体"/>
                <w:b/>
                <w:color w:val="auto"/>
                <w:szCs w:val="21"/>
              </w:rPr>
            </w:pPr>
            <w:r>
              <w:rPr>
                <w:rFonts w:hint="eastAsia" w:ascii="宋体" w:hAnsi="宋体" w:eastAsia="宋体" w:cs="宋体"/>
                <w:b/>
                <w:color w:val="auto"/>
                <w:szCs w:val="21"/>
              </w:rPr>
              <w:t>技术需求</w:t>
            </w:r>
          </w:p>
        </w:tc>
        <w:tc>
          <w:tcPr>
            <w:tcW w:w="2659" w:type="dxa"/>
            <w:tcMar>
              <w:top w:w="57" w:type="dxa"/>
              <w:left w:w="28" w:type="dxa"/>
              <w:bottom w:w="57" w:type="dxa"/>
              <w:right w:w="28" w:type="dxa"/>
            </w:tcMar>
            <w:vAlign w:val="center"/>
          </w:tcPr>
          <w:p w14:paraId="7DF2B6BC">
            <w:pPr>
              <w:spacing w:line="360" w:lineRule="exact"/>
              <w:jc w:val="center"/>
              <w:outlineLvl w:val="9"/>
              <w:rPr>
                <w:rFonts w:hint="eastAsia" w:ascii="宋体" w:hAnsi="宋体" w:eastAsia="宋体" w:cs="宋体"/>
                <w:b/>
                <w:color w:val="auto"/>
                <w:szCs w:val="21"/>
              </w:rPr>
            </w:pPr>
            <w:r>
              <w:rPr>
                <w:rFonts w:hint="eastAsia" w:ascii="宋体" w:hAnsi="宋体" w:eastAsia="宋体" w:cs="宋体"/>
                <w:b/>
                <w:color w:val="auto"/>
                <w:szCs w:val="21"/>
              </w:rPr>
              <w:t>投标文件响应技术指标</w:t>
            </w:r>
          </w:p>
        </w:tc>
        <w:tc>
          <w:tcPr>
            <w:tcW w:w="1689" w:type="dxa"/>
            <w:tcMar>
              <w:top w:w="57" w:type="dxa"/>
              <w:left w:w="28" w:type="dxa"/>
              <w:bottom w:w="57" w:type="dxa"/>
              <w:right w:w="28" w:type="dxa"/>
            </w:tcMar>
            <w:vAlign w:val="center"/>
          </w:tcPr>
          <w:p w14:paraId="666D0E8E">
            <w:pPr>
              <w:spacing w:line="360" w:lineRule="exact"/>
              <w:jc w:val="center"/>
              <w:outlineLvl w:val="9"/>
              <w:rPr>
                <w:rFonts w:hint="eastAsia" w:ascii="宋体" w:hAnsi="宋体" w:eastAsia="宋体" w:cs="宋体"/>
                <w:b/>
                <w:color w:val="auto"/>
                <w:szCs w:val="21"/>
              </w:rPr>
            </w:pPr>
            <w:r>
              <w:rPr>
                <w:rFonts w:hint="eastAsia" w:ascii="宋体" w:hAnsi="宋体" w:eastAsia="宋体" w:cs="宋体"/>
                <w:b/>
                <w:color w:val="auto"/>
                <w:szCs w:val="21"/>
              </w:rPr>
              <w:t>偏离情况</w:t>
            </w:r>
          </w:p>
        </w:tc>
        <w:tc>
          <w:tcPr>
            <w:tcW w:w="1319" w:type="dxa"/>
            <w:tcMar>
              <w:top w:w="57" w:type="dxa"/>
              <w:left w:w="28" w:type="dxa"/>
              <w:bottom w:w="57" w:type="dxa"/>
              <w:right w:w="28" w:type="dxa"/>
            </w:tcMar>
            <w:vAlign w:val="center"/>
          </w:tcPr>
          <w:p w14:paraId="52BFE54F">
            <w:pPr>
              <w:spacing w:line="360" w:lineRule="exact"/>
              <w:jc w:val="center"/>
              <w:outlineLvl w:val="9"/>
              <w:rPr>
                <w:rFonts w:hint="eastAsia" w:ascii="宋体" w:hAnsi="宋体" w:eastAsia="宋体" w:cs="宋体"/>
                <w:b/>
                <w:color w:val="auto"/>
                <w:szCs w:val="21"/>
              </w:rPr>
            </w:pPr>
            <w:r>
              <w:rPr>
                <w:rFonts w:hint="eastAsia" w:ascii="宋体" w:hAnsi="宋体" w:eastAsia="宋体" w:cs="宋体"/>
                <w:b/>
                <w:color w:val="auto"/>
                <w:szCs w:val="21"/>
              </w:rPr>
              <w:t>偏离说明</w:t>
            </w:r>
          </w:p>
        </w:tc>
      </w:tr>
      <w:tr w14:paraId="55EC93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48" w:type="dxa"/>
            <w:tcBorders>
              <w:bottom w:val="single" w:color="auto" w:sz="4" w:space="0"/>
            </w:tcBorders>
            <w:tcMar>
              <w:top w:w="57" w:type="dxa"/>
              <w:left w:w="28" w:type="dxa"/>
              <w:bottom w:w="57" w:type="dxa"/>
              <w:right w:w="28" w:type="dxa"/>
            </w:tcMar>
            <w:vAlign w:val="center"/>
          </w:tcPr>
          <w:p w14:paraId="7C4402A3">
            <w:pPr>
              <w:spacing w:line="480" w:lineRule="exact"/>
              <w:ind w:left="210" w:leftChars="100"/>
              <w:outlineLvl w:val="9"/>
              <w:rPr>
                <w:rFonts w:hint="eastAsia" w:ascii="宋体" w:hAnsi="宋体" w:eastAsia="宋体" w:cs="宋体"/>
                <w:color w:val="auto"/>
                <w:sz w:val="28"/>
                <w:szCs w:val="28"/>
              </w:rPr>
            </w:pPr>
          </w:p>
        </w:tc>
        <w:tc>
          <w:tcPr>
            <w:tcW w:w="986" w:type="dxa"/>
            <w:tcBorders>
              <w:bottom w:val="single" w:color="auto" w:sz="4" w:space="0"/>
            </w:tcBorders>
            <w:tcMar>
              <w:top w:w="57" w:type="dxa"/>
              <w:left w:w="28" w:type="dxa"/>
              <w:bottom w:w="57" w:type="dxa"/>
              <w:right w:w="28" w:type="dxa"/>
            </w:tcMar>
            <w:vAlign w:val="center"/>
          </w:tcPr>
          <w:p w14:paraId="05B904DF">
            <w:pPr>
              <w:spacing w:line="480" w:lineRule="exact"/>
              <w:ind w:left="210" w:leftChars="100"/>
              <w:outlineLvl w:val="9"/>
              <w:rPr>
                <w:rFonts w:hint="eastAsia" w:ascii="宋体" w:hAnsi="宋体" w:eastAsia="宋体" w:cs="宋体"/>
                <w:color w:val="auto"/>
                <w:sz w:val="28"/>
                <w:szCs w:val="28"/>
              </w:rPr>
            </w:pPr>
          </w:p>
        </w:tc>
        <w:tc>
          <w:tcPr>
            <w:tcW w:w="1897" w:type="dxa"/>
            <w:tcBorders>
              <w:bottom w:val="single" w:color="auto" w:sz="4" w:space="0"/>
            </w:tcBorders>
            <w:vAlign w:val="center"/>
          </w:tcPr>
          <w:p w14:paraId="10F24949">
            <w:pPr>
              <w:spacing w:line="480" w:lineRule="exact"/>
              <w:ind w:left="210" w:leftChars="100"/>
              <w:outlineLvl w:val="9"/>
              <w:rPr>
                <w:rFonts w:hint="eastAsia" w:ascii="宋体" w:hAnsi="宋体" w:eastAsia="宋体" w:cs="宋体"/>
                <w:color w:val="auto"/>
                <w:sz w:val="28"/>
                <w:szCs w:val="28"/>
              </w:rPr>
            </w:pPr>
          </w:p>
        </w:tc>
        <w:tc>
          <w:tcPr>
            <w:tcW w:w="2659" w:type="dxa"/>
            <w:tcBorders>
              <w:bottom w:val="single" w:color="auto" w:sz="4" w:space="0"/>
            </w:tcBorders>
            <w:tcMar>
              <w:top w:w="57" w:type="dxa"/>
              <w:left w:w="28" w:type="dxa"/>
              <w:bottom w:w="57" w:type="dxa"/>
              <w:right w:w="28" w:type="dxa"/>
            </w:tcMar>
            <w:vAlign w:val="center"/>
          </w:tcPr>
          <w:p w14:paraId="72719C98">
            <w:pPr>
              <w:spacing w:line="480" w:lineRule="exact"/>
              <w:ind w:left="210" w:leftChars="100"/>
              <w:outlineLvl w:val="9"/>
              <w:rPr>
                <w:rFonts w:hint="eastAsia" w:ascii="宋体" w:hAnsi="宋体" w:eastAsia="宋体" w:cs="宋体"/>
                <w:color w:val="auto"/>
                <w:sz w:val="28"/>
                <w:szCs w:val="28"/>
              </w:rPr>
            </w:pPr>
          </w:p>
        </w:tc>
        <w:tc>
          <w:tcPr>
            <w:tcW w:w="1689" w:type="dxa"/>
            <w:tcBorders>
              <w:bottom w:val="single" w:color="auto" w:sz="4" w:space="0"/>
            </w:tcBorders>
            <w:tcMar>
              <w:top w:w="57" w:type="dxa"/>
              <w:left w:w="28" w:type="dxa"/>
              <w:bottom w:w="57" w:type="dxa"/>
              <w:right w:w="28" w:type="dxa"/>
            </w:tcMar>
            <w:vAlign w:val="center"/>
          </w:tcPr>
          <w:p w14:paraId="14B8746C">
            <w:pPr>
              <w:spacing w:line="480" w:lineRule="exact"/>
              <w:outlineLvl w:val="9"/>
              <w:rPr>
                <w:rFonts w:hint="eastAsia" w:ascii="宋体" w:hAnsi="宋体" w:eastAsia="宋体" w:cs="宋体"/>
                <w:color w:val="auto"/>
                <w:sz w:val="28"/>
                <w:szCs w:val="28"/>
              </w:rPr>
            </w:pPr>
          </w:p>
        </w:tc>
        <w:tc>
          <w:tcPr>
            <w:tcW w:w="1319" w:type="dxa"/>
            <w:tcBorders>
              <w:bottom w:val="single" w:color="auto" w:sz="4" w:space="0"/>
            </w:tcBorders>
            <w:tcMar>
              <w:top w:w="57" w:type="dxa"/>
              <w:left w:w="28" w:type="dxa"/>
              <w:bottom w:w="57" w:type="dxa"/>
              <w:right w:w="28" w:type="dxa"/>
            </w:tcMar>
            <w:vAlign w:val="center"/>
          </w:tcPr>
          <w:p w14:paraId="326C3E57">
            <w:pPr>
              <w:spacing w:line="480" w:lineRule="exact"/>
              <w:ind w:left="210" w:leftChars="100"/>
              <w:outlineLvl w:val="9"/>
              <w:rPr>
                <w:rFonts w:hint="eastAsia" w:ascii="宋体" w:hAnsi="宋体" w:eastAsia="宋体" w:cs="宋体"/>
                <w:color w:val="auto"/>
                <w:sz w:val="28"/>
                <w:szCs w:val="28"/>
              </w:rPr>
            </w:pPr>
          </w:p>
        </w:tc>
      </w:tr>
      <w:tr w14:paraId="2CE921A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6F344C8C">
            <w:pPr>
              <w:spacing w:line="480" w:lineRule="exact"/>
              <w:ind w:left="210" w:leftChars="100"/>
              <w:outlineLvl w:val="9"/>
              <w:rPr>
                <w:rFonts w:hint="eastAsia" w:ascii="宋体" w:hAnsi="宋体" w:eastAsia="宋体" w:cs="宋体"/>
                <w:color w:val="auto"/>
                <w:sz w:val="28"/>
                <w:szCs w:val="28"/>
              </w:rPr>
            </w:pPr>
          </w:p>
        </w:tc>
        <w:tc>
          <w:tcPr>
            <w:tcW w:w="986" w:type="dxa"/>
            <w:tcMar>
              <w:top w:w="57" w:type="dxa"/>
              <w:left w:w="28" w:type="dxa"/>
              <w:bottom w:w="57" w:type="dxa"/>
              <w:right w:w="28" w:type="dxa"/>
            </w:tcMar>
            <w:vAlign w:val="center"/>
          </w:tcPr>
          <w:p w14:paraId="6D5C8698">
            <w:pPr>
              <w:spacing w:line="480" w:lineRule="exact"/>
              <w:ind w:left="210" w:leftChars="100"/>
              <w:outlineLvl w:val="9"/>
              <w:rPr>
                <w:rFonts w:hint="eastAsia" w:ascii="宋体" w:hAnsi="宋体" w:eastAsia="宋体" w:cs="宋体"/>
                <w:color w:val="auto"/>
                <w:sz w:val="28"/>
                <w:szCs w:val="28"/>
              </w:rPr>
            </w:pPr>
          </w:p>
        </w:tc>
        <w:tc>
          <w:tcPr>
            <w:tcW w:w="1897" w:type="dxa"/>
            <w:vAlign w:val="center"/>
          </w:tcPr>
          <w:p w14:paraId="304A5E33">
            <w:pPr>
              <w:spacing w:line="480" w:lineRule="exact"/>
              <w:ind w:left="210" w:leftChars="100"/>
              <w:outlineLvl w:val="9"/>
              <w:rPr>
                <w:rFonts w:hint="eastAsia" w:ascii="宋体" w:hAnsi="宋体" w:eastAsia="宋体" w:cs="宋体"/>
                <w:color w:val="auto"/>
                <w:sz w:val="28"/>
                <w:szCs w:val="28"/>
              </w:rPr>
            </w:pPr>
          </w:p>
        </w:tc>
        <w:tc>
          <w:tcPr>
            <w:tcW w:w="2659" w:type="dxa"/>
            <w:tcMar>
              <w:top w:w="57" w:type="dxa"/>
              <w:left w:w="28" w:type="dxa"/>
              <w:bottom w:w="57" w:type="dxa"/>
              <w:right w:w="28" w:type="dxa"/>
            </w:tcMar>
            <w:vAlign w:val="center"/>
          </w:tcPr>
          <w:p w14:paraId="5C7D57C1">
            <w:pPr>
              <w:spacing w:line="480" w:lineRule="exact"/>
              <w:ind w:left="210" w:leftChars="100"/>
              <w:outlineLvl w:val="9"/>
              <w:rPr>
                <w:rFonts w:hint="eastAsia" w:ascii="宋体" w:hAnsi="宋体" w:eastAsia="宋体" w:cs="宋体"/>
                <w:color w:val="auto"/>
                <w:sz w:val="28"/>
                <w:szCs w:val="28"/>
              </w:rPr>
            </w:pPr>
          </w:p>
        </w:tc>
        <w:tc>
          <w:tcPr>
            <w:tcW w:w="1689" w:type="dxa"/>
            <w:tcMar>
              <w:top w:w="57" w:type="dxa"/>
              <w:left w:w="28" w:type="dxa"/>
              <w:bottom w:w="57" w:type="dxa"/>
              <w:right w:w="28" w:type="dxa"/>
            </w:tcMar>
            <w:vAlign w:val="center"/>
          </w:tcPr>
          <w:p w14:paraId="7FF23837">
            <w:pPr>
              <w:spacing w:line="480" w:lineRule="exact"/>
              <w:outlineLvl w:val="9"/>
              <w:rPr>
                <w:rFonts w:hint="eastAsia" w:ascii="宋体" w:hAnsi="宋体" w:eastAsia="宋体" w:cs="宋体"/>
                <w:color w:val="auto"/>
                <w:sz w:val="28"/>
                <w:szCs w:val="28"/>
              </w:rPr>
            </w:pPr>
          </w:p>
        </w:tc>
        <w:tc>
          <w:tcPr>
            <w:tcW w:w="1319" w:type="dxa"/>
            <w:tcMar>
              <w:top w:w="57" w:type="dxa"/>
              <w:left w:w="28" w:type="dxa"/>
              <w:bottom w:w="57" w:type="dxa"/>
              <w:right w:w="28" w:type="dxa"/>
            </w:tcMar>
            <w:vAlign w:val="center"/>
          </w:tcPr>
          <w:p w14:paraId="65E169E8">
            <w:pPr>
              <w:spacing w:line="480" w:lineRule="exact"/>
              <w:ind w:left="210" w:leftChars="100"/>
              <w:outlineLvl w:val="9"/>
              <w:rPr>
                <w:rFonts w:hint="eastAsia" w:ascii="宋体" w:hAnsi="宋体" w:eastAsia="宋体" w:cs="宋体"/>
                <w:color w:val="auto"/>
                <w:sz w:val="28"/>
                <w:szCs w:val="28"/>
              </w:rPr>
            </w:pPr>
          </w:p>
        </w:tc>
      </w:tr>
      <w:tr w14:paraId="7ABBB77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57433052">
            <w:pPr>
              <w:spacing w:line="480" w:lineRule="exact"/>
              <w:ind w:left="210" w:leftChars="100"/>
              <w:outlineLvl w:val="9"/>
              <w:rPr>
                <w:rFonts w:hint="eastAsia" w:ascii="宋体" w:hAnsi="宋体" w:eastAsia="宋体" w:cs="宋体"/>
                <w:color w:val="auto"/>
                <w:sz w:val="28"/>
                <w:szCs w:val="28"/>
              </w:rPr>
            </w:pPr>
          </w:p>
        </w:tc>
        <w:tc>
          <w:tcPr>
            <w:tcW w:w="986" w:type="dxa"/>
            <w:tcMar>
              <w:top w:w="57" w:type="dxa"/>
              <w:left w:w="28" w:type="dxa"/>
              <w:bottom w:w="57" w:type="dxa"/>
              <w:right w:w="28" w:type="dxa"/>
            </w:tcMar>
            <w:vAlign w:val="center"/>
          </w:tcPr>
          <w:p w14:paraId="1A3D43F8">
            <w:pPr>
              <w:spacing w:line="480" w:lineRule="exact"/>
              <w:ind w:left="210" w:leftChars="100"/>
              <w:outlineLvl w:val="9"/>
              <w:rPr>
                <w:rFonts w:hint="eastAsia" w:ascii="宋体" w:hAnsi="宋体" w:eastAsia="宋体" w:cs="宋体"/>
                <w:color w:val="auto"/>
                <w:sz w:val="28"/>
                <w:szCs w:val="28"/>
              </w:rPr>
            </w:pPr>
          </w:p>
        </w:tc>
        <w:tc>
          <w:tcPr>
            <w:tcW w:w="1897" w:type="dxa"/>
            <w:vAlign w:val="center"/>
          </w:tcPr>
          <w:p w14:paraId="5BC3406C">
            <w:pPr>
              <w:spacing w:line="480" w:lineRule="exact"/>
              <w:ind w:left="210" w:leftChars="100"/>
              <w:outlineLvl w:val="9"/>
              <w:rPr>
                <w:rFonts w:hint="eastAsia" w:ascii="宋体" w:hAnsi="宋体" w:eastAsia="宋体" w:cs="宋体"/>
                <w:color w:val="auto"/>
                <w:sz w:val="28"/>
                <w:szCs w:val="28"/>
              </w:rPr>
            </w:pPr>
          </w:p>
        </w:tc>
        <w:tc>
          <w:tcPr>
            <w:tcW w:w="2659" w:type="dxa"/>
            <w:tcMar>
              <w:top w:w="57" w:type="dxa"/>
              <w:left w:w="28" w:type="dxa"/>
              <w:bottom w:w="57" w:type="dxa"/>
              <w:right w:w="28" w:type="dxa"/>
            </w:tcMar>
            <w:vAlign w:val="center"/>
          </w:tcPr>
          <w:p w14:paraId="4299EA3E">
            <w:pPr>
              <w:spacing w:line="480" w:lineRule="exact"/>
              <w:ind w:left="210" w:leftChars="100"/>
              <w:outlineLvl w:val="9"/>
              <w:rPr>
                <w:rFonts w:hint="eastAsia" w:ascii="宋体" w:hAnsi="宋体" w:eastAsia="宋体" w:cs="宋体"/>
                <w:color w:val="auto"/>
                <w:sz w:val="28"/>
                <w:szCs w:val="28"/>
              </w:rPr>
            </w:pPr>
          </w:p>
        </w:tc>
        <w:tc>
          <w:tcPr>
            <w:tcW w:w="1689" w:type="dxa"/>
            <w:tcMar>
              <w:top w:w="57" w:type="dxa"/>
              <w:left w:w="28" w:type="dxa"/>
              <w:bottom w:w="57" w:type="dxa"/>
              <w:right w:w="28" w:type="dxa"/>
            </w:tcMar>
            <w:vAlign w:val="center"/>
          </w:tcPr>
          <w:p w14:paraId="30A0C6EF">
            <w:pPr>
              <w:spacing w:line="480" w:lineRule="exact"/>
              <w:outlineLvl w:val="9"/>
              <w:rPr>
                <w:rFonts w:hint="eastAsia" w:ascii="宋体" w:hAnsi="宋体" w:eastAsia="宋体" w:cs="宋体"/>
                <w:color w:val="auto"/>
                <w:sz w:val="28"/>
                <w:szCs w:val="28"/>
              </w:rPr>
            </w:pPr>
          </w:p>
        </w:tc>
        <w:tc>
          <w:tcPr>
            <w:tcW w:w="1319" w:type="dxa"/>
            <w:tcMar>
              <w:top w:w="57" w:type="dxa"/>
              <w:left w:w="28" w:type="dxa"/>
              <w:bottom w:w="57" w:type="dxa"/>
              <w:right w:w="28" w:type="dxa"/>
            </w:tcMar>
            <w:vAlign w:val="center"/>
          </w:tcPr>
          <w:p w14:paraId="0409B36E">
            <w:pPr>
              <w:spacing w:line="480" w:lineRule="exact"/>
              <w:ind w:left="210" w:leftChars="100"/>
              <w:outlineLvl w:val="9"/>
              <w:rPr>
                <w:rFonts w:hint="eastAsia" w:ascii="宋体" w:hAnsi="宋体" w:eastAsia="宋体" w:cs="宋体"/>
                <w:color w:val="auto"/>
                <w:sz w:val="28"/>
                <w:szCs w:val="28"/>
              </w:rPr>
            </w:pPr>
          </w:p>
        </w:tc>
      </w:tr>
      <w:tr w14:paraId="144F8AC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27BFE765">
            <w:pPr>
              <w:spacing w:line="480" w:lineRule="exact"/>
              <w:ind w:left="210" w:leftChars="100"/>
              <w:outlineLvl w:val="9"/>
              <w:rPr>
                <w:rFonts w:hint="eastAsia" w:ascii="宋体" w:hAnsi="宋体" w:eastAsia="宋体" w:cs="宋体"/>
                <w:color w:val="auto"/>
                <w:sz w:val="28"/>
                <w:szCs w:val="28"/>
              </w:rPr>
            </w:pPr>
          </w:p>
        </w:tc>
        <w:tc>
          <w:tcPr>
            <w:tcW w:w="986" w:type="dxa"/>
            <w:tcMar>
              <w:top w:w="57" w:type="dxa"/>
              <w:left w:w="28" w:type="dxa"/>
              <w:bottom w:w="57" w:type="dxa"/>
              <w:right w:w="28" w:type="dxa"/>
            </w:tcMar>
            <w:vAlign w:val="center"/>
          </w:tcPr>
          <w:p w14:paraId="02BF8821">
            <w:pPr>
              <w:spacing w:line="480" w:lineRule="exact"/>
              <w:ind w:left="210" w:leftChars="100"/>
              <w:outlineLvl w:val="9"/>
              <w:rPr>
                <w:rFonts w:hint="eastAsia" w:ascii="宋体" w:hAnsi="宋体" w:eastAsia="宋体" w:cs="宋体"/>
                <w:color w:val="auto"/>
                <w:sz w:val="28"/>
                <w:szCs w:val="28"/>
              </w:rPr>
            </w:pPr>
          </w:p>
        </w:tc>
        <w:tc>
          <w:tcPr>
            <w:tcW w:w="1897" w:type="dxa"/>
            <w:vAlign w:val="center"/>
          </w:tcPr>
          <w:p w14:paraId="5F7CF16D">
            <w:pPr>
              <w:spacing w:line="480" w:lineRule="exact"/>
              <w:ind w:left="210" w:leftChars="100"/>
              <w:outlineLvl w:val="9"/>
              <w:rPr>
                <w:rFonts w:hint="eastAsia" w:ascii="宋体" w:hAnsi="宋体" w:eastAsia="宋体" w:cs="宋体"/>
                <w:color w:val="auto"/>
                <w:sz w:val="28"/>
                <w:szCs w:val="28"/>
              </w:rPr>
            </w:pPr>
          </w:p>
        </w:tc>
        <w:tc>
          <w:tcPr>
            <w:tcW w:w="2659" w:type="dxa"/>
            <w:tcMar>
              <w:top w:w="57" w:type="dxa"/>
              <w:left w:w="28" w:type="dxa"/>
              <w:bottom w:w="57" w:type="dxa"/>
              <w:right w:w="28" w:type="dxa"/>
            </w:tcMar>
            <w:vAlign w:val="center"/>
          </w:tcPr>
          <w:p w14:paraId="1B0481DA">
            <w:pPr>
              <w:spacing w:line="480" w:lineRule="exact"/>
              <w:ind w:left="210" w:leftChars="100"/>
              <w:outlineLvl w:val="9"/>
              <w:rPr>
                <w:rFonts w:hint="eastAsia" w:ascii="宋体" w:hAnsi="宋体" w:eastAsia="宋体" w:cs="宋体"/>
                <w:color w:val="auto"/>
                <w:sz w:val="28"/>
                <w:szCs w:val="28"/>
              </w:rPr>
            </w:pPr>
          </w:p>
        </w:tc>
        <w:tc>
          <w:tcPr>
            <w:tcW w:w="1689" w:type="dxa"/>
            <w:tcMar>
              <w:top w:w="57" w:type="dxa"/>
              <w:left w:w="28" w:type="dxa"/>
              <w:bottom w:w="57" w:type="dxa"/>
              <w:right w:w="28" w:type="dxa"/>
            </w:tcMar>
            <w:vAlign w:val="center"/>
          </w:tcPr>
          <w:p w14:paraId="6F89C704">
            <w:pPr>
              <w:spacing w:line="480" w:lineRule="exact"/>
              <w:outlineLvl w:val="9"/>
              <w:rPr>
                <w:rFonts w:hint="eastAsia" w:ascii="宋体" w:hAnsi="宋体" w:eastAsia="宋体" w:cs="宋体"/>
                <w:color w:val="auto"/>
                <w:sz w:val="28"/>
                <w:szCs w:val="28"/>
              </w:rPr>
            </w:pPr>
          </w:p>
        </w:tc>
        <w:tc>
          <w:tcPr>
            <w:tcW w:w="1319" w:type="dxa"/>
            <w:tcMar>
              <w:top w:w="57" w:type="dxa"/>
              <w:left w:w="28" w:type="dxa"/>
              <w:bottom w:w="57" w:type="dxa"/>
              <w:right w:w="28" w:type="dxa"/>
            </w:tcMar>
            <w:vAlign w:val="center"/>
          </w:tcPr>
          <w:p w14:paraId="212126E9">
            <w:pPr>
              <w:spacing w:line="480" w:lineRule="exact"/>
              <w:ind w:left="210" w:leftChars="100"/>
              <w:outlineLvl w:val="9"/>
              <w:rPr>
                <w:rFonts w:hint="eastAsia" w:ascii="宋体" w:hAnsi="宋体" w:eastAsia="宋体" w:cs="宋体"/>
                <w:color w:val="auto"/>
                <w:sz w:val="28"/>
                <w:szCs w:val="28"/>
              </w:rPr>
            </w:pPr>
          </w:p>
        </w:tc>
      </w:tr>
      <w:tr w14:paraId="3743258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Mar>
              <w:top w:w="57" w:type="dxa"/>
              <w:left w:w="28" w:type="dxa"/>
              <w:bottom w:w="57" w:type="dxa"/>
              <w:right w:w="28" w:type="dxa"/>
            </w:tcMar>
            <w:vAlign w:val="center"/>
          </w:tcPr>
          <w:p w14:paraId="604341DA">
            <w:pPr>
              <w:spacing w:line="480" w:lineRule="exact"/>
              <w:ind w:left="210" w:leftChars="100"/>
              <w:outlineLvl w:val="9"/>
              <w:rPr>
                <w:rFonts w:hint="eastAsia" w:ascii="宋体" w:hAnsi="宋体" w:eastAsia="宋体" w:cs="宋体"/>
                <w:color w:val="auto"/>
                <w:sz w:val="28"/>
                <w:szCs w:val="28"/>
              </w:rPr>
            </w:pPr>
          </w:p>
        </w:tc>
        <w:tc>
          <w:tcPr>
            <w:tcW w:w="986" w:type="dxa"/>
            <w:tcMar>
              <w:top w:w="57" w:type="dxa"/>
              <w:left w:w="28" w:type="dxa"/>
              <w:bottom w:w="57" w:type="dxa"/>
              <w:right w:w="28" w:type="dxa"/>
            </w:tcMar>
            <w:vAlign w:val="center"/>
          </w:tcPr>
          <w:p w14:paraId="713D9561">
            <w:pPr>
              <w:spacing w:line="480" w:lineRule="exact"/>
              <w:ind w:left="210" w:leftChars="100"/>
              <w:outlineLvl w:val="9"/>
              <w:rPr>
                <w:rFonts w:hint="eastAsia" w:ascii="宋体" w:hAnsi="宋体" w:eastAsia="宋体" w:cs="宋体"/>
                <w:color w:val="auto"/>
                <w:sz w:val="28"/>
                <w:szCs w:val="28"/>
              </w:rPr>
            </w:pPr>
          </w:p>
        </w:tc>
        <w:tc>
          <w:tcPr>
            <w:tcW w:w="1897" w:type="dxa"/>
            <w:vAlign w:val="center"/>
          </w:tcPr>
          <w:p w14:paraId="5FFFF298">
            <w:pPr>
              <w:spacing w:line="480" w:lineRule="exact"/>
              <w:ind w:left="210" w:leftChars="100"/>
              <w:outlineLvl w:val="9"/>
              <w:rPr>
                <w:rFonts w:hint="eastAsia" w:ascii="宋体" w:hAnsi="宋体" w:eastAsia="宋体" w:cs="宋体"/>
                <w:color w:val="auto"/>
                <w:sz w:val="28"/>
                <w:szCs w:val="28"/>
              </w:rPr>
            </w:pPr>
          </w:p>
        </w:tc>
        <w:tc>
          <w:tcPr>
            <w:tcW w:w="2659" w:type="dxa"/>
            <w:tcMar>
              <w:top w:w="57" w:type="dxa"/>
              <w:left w:w="28" w:type="dxa"/>
              <w:bottom w:w="57" w:type="dxa"/>
              <w:right w:w="28" w:type="dxa"/>
            </w:tcMar>
            <w:vAlign w:val="center"/>
          </w:tcPr>
          <w:p w14:paraId="3A93AF91">
            <w:pPr>
              <w:spacing w:line="480" w:lineRule="exact"/>
              <w:ind w:left="210" w:leftChars="100"/>
              <w:outlineLvl w:val="9"/>
              <w:rPr>
                <w:rFonts w:hint="eastAsia" w:ascii="宋体" w:hAnsi="宋体" w:eastAsia="宋体" w:cs="宋体"/>
                <w:color w:val="auto"/>
                <w:sz w:val="28"/>
                <w:szCs w:val="28"/>
              </w:rPr>
            </w:pPr>
          </w:p>
        </w:tc>
        <w:tc>
          <w:tcPr>
            <w:tcW w:w="1689" w:type="dxa"/>
            <w:tcMar>
              <w:top w:w="57" w:type="dxa"/>
              <w:left w:w="28" w:type="dxa"/>
              <w:bottom w:w="57" w:type="dxa"/>
              <w:right w:w="28" w:type="dxa"/>
            </w:tcMar>
            <w:vAlign w:val="center"/>
          </w:tcPr>
          <w:p w14:paraId="1AE39BE3">
            <w:pPr>
              <w:spacing w:line="480" w:lineRule="exact"/>
              <w:outlineLvl w:val="9"/>
              <w:rPr>
                <w:rFonts w:hint="eastAsia" w:ascii="宋体" w:hAnsi="宋体" w:eastAsia="宋体" w:cs="宋体"/>
                <w:color w:val="auto"/>
                <w:sz w:val="28"/>
                <w:szCs w:val="28"/>
              </w:rPr>
            </w:pPr>
          </w:p>
        </w:tc>
        <w:tc>
          <w:tcPr>
            <w:tcW w:w="1319" w:type="dxa"/>
            <w:tcMar>
              <w:top w:w="57" w:type="dxa"/>
              <w:left w:w="28" w:type="dxa"/>
              <w:bottom w:w="57" w:type="dxa"/>
              <w:right w:w="28" w:type="dxa"/>
            </w:tcMar>
            <w:vAlign w:val="center"/>
          </w:tcPr>
          <w:p w14:paraId="1FE9342D">
            <w:pPr>
              <w:spacing w:line="480" w:lineRule="exact"/>
              <w:ind w:left="210" w:leftChars="100"/>
              <w:outlineLvl w:val="9"/>
              <w:rPr>
                <w:rFonts w:hint="eastAsia" w:ascii="宋体" w:hAnsi="宋体" w:eastAsia="宋体" w:cs="宋体"/>
                <w:color w:val="auto"/>
                <w:sz w:val="28"/>
                <w:szCs w:val="28"/>
              </w:rPr>
            </w:pPr>
          </w:p>
        </w:tc>
      </w:tr>
    </w:tbl>
    <w:p w14:paraId="14F6C145">
      <w:pPr>
        <w:autoSpaceDE w:val="0"/>
        <w:autoSpaceDN w:val="0"/>
        <w:adjustRightInd w:val="0"/>
        <w:spacing w:line="360" w:lineRule="auto"/>
        <w:ind w:firstLine="420" w:firstLineChars="200"/>
        <w:outlineLvl w:val="9"/>
        <w:rPr>
          <w:rFonts w:hint="eastAsia" w:ascii="宋体" w:hAnsi="宋体" w:eastAsia="宋体" w:cs="宋体"/>
          <w:color w:val="auto"/>
          <w:sz w:val="24"/>
        </w:rPr>
      </w:pPr>
      <w:r>
        <w:rPr>
          <w:rFonts w:hint="eastAsia" w:ascii="宋体" w:hAnsi="宋体" w:eastAsia="宋体" w:cs="宋体"/>
          <w:color w:val="auto"/>
          <w:szCs w:val="21"/>
        </w:rPr>
        <w:t>注：</w:t>
      </w:r>
      <w:r>
        <w:rPr>
          <w:rFonts w:hint="eastAsia" w:ascii="宋体" w:hAnsi="宋体" w:eastAsia="宋体" w:cs="宋体"/>
          <w:color w:val="auto"/>
          <w:sz w:val="24"/>
        </w:rPr>
        <w:t>请按项目的实际技术参数，逐条对应招标文件的“招标内容及技术要求”，认真填写本表。偏离情况填写：优于、等于，偏离说明对偏离情况做出详细说明。</w:t>
      </w:r>
    </w:p>
    <w:p w14:paraId="417A7232">
      <w:pPr>
        <w:spacing w:line="480" w:lineRule="exact"/>
        <w:outlineLvl w:val="9"/>
        <w:rPr>
          <w:rFonts w:hint="eastAsia" w:ascii="宋体" w:hAnsi="宋体" w:eastAsia="宋体" w:cs="宋体"/>
          <w:color w:val="auto"/>
          <w:szCs w:val="21"/>
        </w:rPr>
      </w:pPr>
    </w:p>
    <w:p w14:paraId="752849CC">
      <w:pPr>
        <w:spacing w:line="480" w:lineRule="exact"/>
        <w:outlineLvl w:val="9"/>
        <w:rPr>
          <w:rFonts w:hint="eastAsia" w:ascii="宋体" w:hAnsi="宋体" w:eastAsia="宋体" w:cs="宋体"/>
          <w:color w:val="auto"/>
          <w:szCs w:val="21"/>
        </w:rPr>
      </w:pPr>
    </w:p>
    <w:p w14:paraId="73B3062D">
      <w:pPr>
        <w:spacing w:line="360" w:lineRule="atLeast"/>
        <w:outlineLvl w:val="9"/>
        <w:rPr>
          <w:rFonts w:hint="eastAsia" w:ascii="宋体" w:hAnsi="宋体" w:eastAsia="宋体" w:cs="宋体"/>
          <w:color w:val="auto"/>
          <w:sz w:val="24"/>
        </w:rPr>
      </w:pPr>
      <w:r>
        <w:rPr>
          <w:rFonts w:hint="eastAsia" w:ascii="宋体" w:hAnsi="宋体" w:eastAsia="宋体" w:cs="宋体"/>
          <w:color w:val="auto"/>
          <w:sz w:val="24"/>
        </w:rPr>
        <w:t xml:space="preserve">投标单位（公章）：                 </w:t>
      </w:r>
    </w:p>
    <w:p w14:paraId="6AAC200D">
      <w:pPr>
        <w:spacing w:line="360" w:lineRule="atLeast"/>
        <w:outlineLvl w:val="9"/>
        <w:rPr>
          <w:rFonts w:hint="eastAsia" w:ascii="宋体" w:hAnsi="宋体" w:eastAsia="宋体" w:cs="宋体"/>
          <w:b/>
          <w:color w:val="auto"/>
          <w:sz w:val="32"/>
          <w:szCs w:val="32"/>
        </w:rPr>
      </w:pPr>
      <w:r>
        <w:rPr>
          <w:rFonts w:hint="eastAsia" w:ascii="宋体" w:hAnsi="宋体" w:eastAsia="宋体" w:cs="宋体"/>
          <w:color w:val="auto"/>
          <w:sz w:val="24"/>
        </w:rPr>
        <w:br w:type="textWrapping"/>
      </w:r>
      <w:r>
        <w:rPr>
          <w:rFonts w:hint="eastAsia" w:ascii="宋体" w:hAnsi="宋体" w:eastAsia="宋体" w:cs="宋体"/>
          <w:color w:val="auto"/>
          <w:sz w:val="24"/>
        </w:rPr>
        <w:t>法定代表人/</w:t>
      </w:r>
      <w:r>
        <w:rPr>
          <w:rFonts w:hint="eastAsia" w:ascii="宋体" w:hAnsi="宋体" w:cs="宋体"/>
          <w:color w:val="auto"/>
          <w:sz w:val="24"/>
          <w:lang w:val="en-US" w:eastAsia="zh-CN"/>
        </w:rPr>
        <w:t>负责人/</w:t>
      </w:r>
      <w:r>
        <w:rPr>
          <w:rFonts w:hint="eastAsia" w:ascii="宋体" w:hAnsi="宋体" w:eastAsia="宋体" w:cs="宋体"/>
          <w:color w:val="auto"/>
          <w:sz w:val="24"/>
        </w:rPr>
        <w:t>被授权人（签字或盖章）：</w:t>
      </w:r>
    </w:p>
    <w:p w14:paraId="6BB07115">
      <w:pPr>
        <w:outlineLvl w:val="9"/>
        <w:rPr>
          <w:rFonts w:hint="eastAsia" w:ascii="宋体" w:hAnsi="宋体" w:eastAsia="宋体" w:cs="宋体"/>
          <w:color w:val="auto"/>
        </w:rPr>
      </w:pPr>
      <w:r>
        <w:rPr>
          <w:rFonts w:hint="eastAsia" w:ascii="宋体" w:hAnsi="宋体" w:eastAsia="宋体" w:cs="宋体"/>
          <w:color w:val="auto"/>
        </w:rPr>
        <w:br w:type="page"/>
      </w:r>
    </w:p>
    <w:p w14:paraId="2DF8CB87">
      <w:pPr>
        <w:spacing w:line="360" w:lineRule="auto"/>
        <w:outlineLvl w:val="9"/>
        <w:rPr>
          <w:rFonts w:hint="eastAsia" w:ascii="宋体" w:hAnsi="宋体" w:eastAsia="宋体" w:cs="宋体"/>
          <w:color w:val="auto"/>
          <w:lang w:eastAsia="zh-CN"/>
        </w:rPr>
      </w:pPr>
      <w:r>
        <w:rPr>
          <w:rFonts w:hint="eastAsia" w:ascii="宋体" w:hAnsi="宋体" w:eastAsia="宋体" w:cs="宋体"/>
          <w:color w:val="auto"/>
          <w:szCs w:val="24"/>
        </w:rPr>
        <w:t>附表</w:t>
      </w:r>
      <w:r>
        <w:rPr>
          <w:rFonts w:hint="eastAsia" w:ascii="宋体" w:hAnsi="宋体" w:eastAsia="宋体" w:cs="宋体"/>
          <w:color w:val="auto"/>
          <w:szCs w:val="24"/>
          <w:lang w:val="en-US" w:eastAsia="zh-CN"/>
        </w:rPr>
        <w:t>3</w:t>
      </w:r>
    </w:p>
    <w:p w14:paraId="741CFFE0">
      <w:pPr>
        <w:spacing w:line="360" w:lineRule="auto"/>
        <w:jc w:val="center"/>
        <w:outlineLvl w:val="9"/>
        <w:rPr>
          <w:rFonts w:hint="eastAsia" w:ascii="宋体" w:hAnsi="宋体" w:eastAsia="宋体" w:cs="宋体"/>
          <w:color w:val="auto"/>
        </w:rPr>
      </w:pPr>
      <w:r>
        <w:rPr>
          <w:rFonts w:hint="eastAsia" w:ascii="宋体" w:hAnsi="宋体" w:eastAsia="宋体" w:cs="宋体"/>
          <w:b/>
          <w:color w:val="auto"/>
          <w:sz w:val="32"/>
          <w:szCs w:val="32"/>
        </w:rPr>
        <w:t>合同条款及商务响应表</w:t>
      </w:r>
    </w:p>
    <w:p w14:paraId="7E8978A3">
      <w:pPr>
        <w:outlineLvl w:val="9"/>
        <w:rPr>
          <w:rFonts w:hint="eastAsia" w:ascii="宋体" w:hAnsi="宋体" w:eastAsia="宋体" w:cs="宋体"/>
          <w:bCs w:val="0"/>
          <w:color w:val="auto"/>
          <w:szCs w:val="20"/>
        </w:rPr>
      </w:pPr>
      <w:r>
        <w:rPr>
          <w:rFonts w:hint="eastAsia" w:ascii="宋体" w:hAnsi="宋体" w:eastAsia="宋体" w:cs="宋体"/>
          <w:bCs w:val="0"/>
          <w:color w:val="auto"/>
          <w:szCs w:val="20"/>
        </w:rPr>
        <w:t xml:space="preserve"> </w:t>
      </w:r>
    </w:p>
    <w:p w14:paraId="1F59C4BB">
      <w:pPr>
        <w:kinsoku w:val="0"/>
        <w:spacing w:line="360" w:lineRule="auto"/>
        <w:outlineLvl w:val="9"/>
        <w:rPr>
          <w:rFonts w:hint="eastAsia" w:ascii="宋体" w:hAnsi="宋体" w:eastAsia="宋体" w:cs="宋体"/>
          <w:color w:val="auto"/>
          <w:sz w:val="24"/>
        </w:rPr>
      </w:pPr>
      <w:r>
        <w:rPr>
          <w:rFonts w:hint="eastAsia" w:ascii="宋体" w:hAnsi="宋体" w:eastAsia="宋体" w:cs="宋体"/>
          <w:color w:val="auto"/>
          <w:sz w:val="24"/>
        </w:rPr>
        <w:t>项目名称：</w:t>
      </w:r>
    </w:p>
    <w:p w14:paraId="026A30D0">
      <w:pPr>
        <w:kinsoku w:val="0"/>
        <w:spacing w:line="360" w:lineRule="auto"/>
        <w:outlineLvl w:val="9"/>
        <w:rPr>
          <w:rFonts w:hint="eastAsia" w:ascii="宋体" w:hAnsi="宋体" w:eastAsia="宋体" w:cs="宋体"/>
          <w:color w:val="auto"/>
          <w:sz w:val="24"/>
        </w:rPr>
      </w:pPr>
      <w:r>
        <w:rPr>
          <w:rFonts w:hint="eastAsia" w:ascii="宋体" w:hAnsi="宋体" w:eastAsia="宋体" w:cs="宋体"/>
          <w:color w:val="auto"/>
          <w:sz w:val="24"/>
        </w:rPr>
        <w:t>项目编号：</w:t>
      </w:r>
    </w:p>
    <w:tbl>
      <w:tblPr>
        <w:tblStyle w:val="1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03"/>
        <w:gridCol w:w="1900"/>
        <w:gridCol w:w="2824"/>
        <w:gridCol w:w="2689"/>
        <w:gridCol w:w="1291"/>
      </w:tblGrid>
      <w:tr w14:paraId="2BCFBB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72" w:hRule="atLeast"/>
          <w:jc w:val="center"/>
        </w:trPr>
        <w:tc>
          <w:tcPr>
            <w:tcW w:w="803" w:type="dxa"/>
            <w:vAlign w:val="center"/>
          </w:tcPr>
          <w:p w14:paraId="354A97FB">
            <w:pPr>
              <w:spacing w:line="360" w:lineRule="auto"/>
              <w:jc w:val="center"/>
              <w:outlineLvl w:val="9"/>
              <w:rPr>
                <w:rFonts w:hint="eastAsia" w:ascii="宋体" w:hAnsi="宋体" w:eastAsia="宋体" w:cs="宋体"/>
                <w:b/>
                <w:bCs/>
                <w:color w:val="auto"/>
                <w:sz w:val="24"/>
              </w:rPr>
            </w:pPr>
            <w:r>
              <w:rPr>
                <w:rFonts w:hint="eastAsia" w:ascii="宋体" w:hAnsi="宋体" w:eastAsia="宋体" w:cs="宋体"/>
                <w:b/>
                <w:bCs/>
                <w:color w:val="auto"/>
                <w:sz w:val="24"/>
              </w:rPr>
              <w:t>序号</w:t>
            </w:r>
          </w:p>
        </w:tc>
        <w:tc>
          <w:tcPr>
            <w:tcW w:w="1900" w:type="dxa"/>
            <w:vAlign w:val="center"/>
          </w:tcPr>
          <w:p w14:paraId="6E90A86F">
            <w:pPr>
              <w:spacing w:line="360" w:lineRule="auto"/>
              <w:jc w:val="center"/>
              <w:outlineLvl w:val="9"/>
              <w:rPr>
                <w:rFonts w:hint="eastAsia" w:ascii="宋体" w:hAnsi="宋体" w:eastAsia="宋体" w:cs="宋体"/>
                <w:b/>
                <w:bCs/>
                <w:color w:val="auto"/>
                <w:sz w:val="24"/>
              </w:rPr>
            </w:pPr>
            <w:r>
              <w:rPr>
                <w:rFonts w:hint="eastAsia" w:ascii="宋体" w:hAnsi="宋体" w:eastAsia="宋体" w:cs="宋体"/>
                <w:b/>
                <w:bCs/>
                <w:color w:val="auto"/>
                <w:sz w:val="24"/>
              </w:rPr>
              <w:t>名称</w:t>
            </w:r>
          </w:p>
        </w:tc>
        <w:tc>
          <w:tcPr>
            <w:tcW w:w="2824" w:type="dxa"/>
            <w:vAlign w:val="center"/>
          </w:tcPr>
          <w:p w14:paraId="26B7C3B7">
            <w:pPr>
              <w:spacing w:line="360" w:lineRule="auto"/>
              <w:jc w:val="center"/>
              <w:outlineLvl w:val="9"/>
              <w:rPr>
                <w:rFonts w:hint="eastAsia" w:ascii="宋体" w:hAnsi="宋体" w:eastAsia="宋体" w:cs="宋体"/>
                <w:b/>
                <w:bCs/>
                <w:color w:val="auto"/>
                <w:sz w:val="24"/>
              </w:rPr>
            </w:pPr>
            <w:r>
              <w:rPr>
                <w:rFonts w:hint="eastAsia" w:ascii="宋体" w:hAnsi="宋体" w:eastAsia="宋体" w:cs="宋体"/>
                <w:b/>
                <w:bCs/>
                <w:color w:val="auto"/>
                <w:sz w:val="24"/>
              </w:rPr>
              <w:t>招标文件商务要求</w:t>
            </w:r>
          </w:p>
        </w:tc>
        <w:tc>
          <w:tcPr>
            <w:tcW w:w="2689" w:type="dxa"/>
            <w:vAlign w:val="center"/>
          </w:tcPr>
          <w:p w14:paraId="240CE842">
            <w:pPr>
              <w:spacing w:line="360" w:lineRule="auto"/>
              <w:jc w:val="center"/>
              <w:outlineLvl w:val="9"/>
              <w:rPr>
                <w:rFonts w:hint="eastAsia" w:ascii="宋体" w:hAnsi="宋体" w:eastAsia="宋体" w:cs="宋体"/>
                <w:b/>
                <w:bCs/>
                <w:color w:val="auto"/>
                <w:sz w:val="24"/>
              </w:rPr>
            </w:pPr>
            <w:r>
              <w:rPr>
                <w:rFonts w:hint="eastAsia" w:ascii="宋体" w:hAnsi="宋体" w:eastAsia="宋体" w:cs="宋体"/>
                <w:b/>
                <w:bCs/>
                <w:color w:val="auto"/>
                <w:sz w:val="24"/>
              </w:rPr>
              <w:t>投标文件实质性响应</w:t>
            </w:r>
          </w:p>
        </w:tc>
        <w:tc>
          <w:tcPr>
            <w:tcW w:w="1291" w:type="dxa"/>
            <w:vAlign w:val="center"/>
          </w:tcPr>
          <w:p w14:paraId="71BA62FE">
            <w:pPr>
              <w:spacing w:line="360" w:lineRule="auto"/>
              <w:jc w:val="center"/>
              <w:outlineLvl w:val="9"/>
              <w:rPr>
                <w:rFonts w:hint="eastAsia" w:ascii="宋体" w:hAnsi="宋体" w:eastAsia="宋体" w:cs="宋体"/>
                <w:b/>
                <w:bCs/>
                <w:color w:val="auto"/>
                <w:sz w:val="24"/>
              </w:rPr>
            </w:pPr>
            <w:r>
              <w:rPr>
                <w:rFonts w:hint="eastAsia" w:ascii="宋体" w:hAnsi="宋体" w:eastAsia="宋体" w:cs="宋体"/>
                <w:b/>
                <w:bCs/>
                <w:color w:val="auto"/>
                <w:sz w:val="24"/>
              </w:rPr>
              <w:t>响应说明</w:t>
            </w:r>
          </w:p>
        </w:tc>
      </w:tr>
      <w:tr w14:paraId="0BCC1A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14" w:hRule="atLeast"/>
          <w:jc w:val="center"/>
        </w:trPr>
        <w:tc>
          <w:tcPr>
            <w:tcW w:w="803" w:type="dxa"/>
            <w:vAlign w:val="center"/>
          </w:tcPr>
          <w:p w14:paraId="40EC10F8">
            <w:pPr>
              <w:spacing w:line="360" w:lineRule="auto"/>
              <w:jc w:val="center"/>
              <w:outlineLvl w:val="9"/>
              <w:rPr>
                <w:rFonts w:hint="eastAsia" w:ascii="宋体" w:hAnsi="宋体" w:eastAsia="宋体" w:cs="宋体"/>
                <w:color w:val="auto"/>
                <w:sz w:val="24"/>
              </w:rPr>
            </w:pPr>
          </w:p>
        </w:tc>
        <w:tc>
          <w:tcPr>
            <w:tcW w:w="1900" w:type="dxa"/>
            <w:vAlign w:val="center"/>
          </w:tcPr>
          <w:p w14:paraId="4BD05B0D">
            <w:pPr>
              <w:spacing w:line="360" w:lineRule="auto"/>
              <w:jc w:val="center"/>
              <w:outlineLvl w:val="9"/>
              <w:rPr>
                <w:rFonts w:hint="eastAsia" w:ascii="宋体" w:hAnsi="宋体" w:eastAsia="宋体" w:cs="宋体"/>
                <w:color w:val="auto"/>
                <w:sz w:val="24"/>
              </w:rPr>
            </w:pPr>
          </w:p>
        </w:tc>
        <w:tc>
          <w:tcPr>
            <w:tcW w:w="2824" w:type="dxa"/>
            <w:vAlign w:val="center"/>
          </w:tcPr>
          <w:p w14:paraId="3884C787">
            <w:pPr>
              <w:spacing w:line="360" w:lineRule="auto"/>
              <w:jc w:val="center"/>
              <w:outlineLvl w:val="9"/>
              <w:rPr>
                <w:rFonts w:hint="eastAsia" w:ascii="宋体" w:hAnsi="宋体" w:eastAsia="宋体" w:cs="宋体"/>
                <w:color w:val="auto"/>
                <w:sz w:val="24"/>
              </w:rPr>
            </w:pPr>
          </w:p>
        </w:tc>
        <w:tc>
          <w:tcPr>
            <w:tcW w:w="2689" w:type="dxa"/>
            <w:vAlign w:val="center"/>
          </w:tcPr>
          <w:p w14:paraId="57B5597C">
            <w:pPr>
              <w:spacing w:line="360" w:lineRule="auto"/>
              <w:jc w:val="center"/>
              <w:outlineLvl w:val="9"/>
              <w:rPr>
                <w:rFonts w:hint="eastAsia" w:ascii="宋体" w:hAnsi="宋体" w:eastAsia="宋体" w:cs="宋体"/>
                <w:color w:val="auto"/>
                <w:sz w:val="24"/>
              </w:rPr>
            </w:pPr>
          </w:p>
        </w:tc>
        <w:tc>
          <w:tcPr>
            <w:tcW w:w="1291" w:type="dxa"/>
            <w:vAlign w:val="center"/>
          </w:tcPr>
          <w:p w14:paraId="5067714E">
            <w:pPr>
              <w:spacing w:line="360" w:lineRule="auto"/>
              <w:jc w:val="center"/>
              <w:outlineLvl w:val="9"/>
              <w:rPr>
                <w:rFonts w:hint="eastAsia" w:ascii="宋体" w:hAnsi="宋体" w:eastAsia="宋体" w:cs="宋体"/>
                <w:b/>
                <w:color w:val="auto"/>
                <w:sz w:val="24"/>
              </w:rPr>
            </w:pPr>
          </w:p>
        </w:tc>
      </w:tr>
      <w:tr w14:paraId="18004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98" w:hRule="atLeast"/>
          <w:jc w:val="center"/>
        </w:trPr>
        <w:tc>
          <w:tcPr>
            <w:tcW w:w="803" w:type="dxa"/>
            <w:vAlign w:val="center"/>
          </w:tcPr>
          <w:p w14:paraId="286C5D02">
            <w:pPr>
              <w:spacing w:line="360" w:lineRule="auto"/>
              <w:jc w:val="center"/>
              <w:outlineLvl w:val="9"/>
              <w:rPr>
                <w:rFonts w:hint="eastAsia" w:ascii="宋体" w:hAnsi="宋体" w:eastAsia="宋体" w:cs="宋体"/>
                <w:color w:val="auto"/>
                <w:sz w:val="24"/>
              </w:rPr>
            </w:pPr>
          </w:p>
        </w:tc>
        <w:tc>
          <w:tcPr>
            <w:tcW w:w="1900" w:type="dxa"/>
            <w:vAlign w:val="center"/>
          </w:tcPr>
          <w:p w14:paraId="7C817226">
            <w:pPr>
              <w:spacing w:line="360" w:lineRule="auto"/>
              <w:jc w:val="center"/>
              <w:outlineLvl w:val="9"/>
              <w:rPr>
                <w:rFonts w:hint="eastAsia" w:ascii="宋体" w:hAnsi="宋体" w:eastAsia="宋体" w:cs="宋体"/>
                <w:color w:val="auto"/>
                <w:sz w:val="24"/>
              </w:rPr>
            </w:pPr>
          </w:p>
        </w:tc>
        <w:tc>
          <w:tcPr>
            <w:tcW w:w="2824" w:type="dxa"/>
            <w:vAlign w:val="center"/>
          </w:tcPr>
          <w:p w14:paraId="2AED4CCA">
            <w:pPr>
              <w:spacing w:line="360" w:lineRule="auto"/>
              <w:jc w:val="center"/>
              <w:outlineLvl w:val="9"/>
              <w:rPr>
                <w:rFonts w:hint="eastAsia" w:ascii="宋体" w:hAnsi="宋体" w:eastAsia="宋体" w:cs="宋体"/>
                <w:color w:val="auto"/>
                <w:sz w:val="24"/>
              </w:rPr>
            </w:pPr>
          </w:p>
        </w:tc>
        <w:tc>
          <w:tcPr>
            <w:tcW w:w="2689" w:type="dxa"/>
            <w:vAlign w:val="center"/>
          </w:tcPr>
          <w:p w14:paraId="40CAF745">
            <w:pPr>
              <w:spacing w:line="360" w:lineRule="auto"/>
              <w:jc w:val="center"/>
              <w:outlineLvl w:val="9"/>
              <w:rPr>
                <w:rFonts w:hint="eastAsia" w:ascii="宋体" w:hAnsi="宋体" w:eastAsia="宋体" w:cs="宋体"/>
                <w:color w:val="auto"/>
                <w:sz w:val="24"/>
              </w:rPr>
            </w:pPr>
          </w:p>
        </w:tc>
        <w:tc>
          <w:tcPr>
            <w:tcW w:w="1291" w:type="dxa"/>
            <w:vAlign w:val="center"/>
          </w:tcPr>
          <w:p w14:paraId="6C745393">
            <w:pPr>
              <w:spacing w:line="360" w:lineRule="auto"/>
              <w:jc w:val="center"/>
              <w:outlineLvl w:val="9"/>
              <w:rPr>
                <w:rFonts w:hint="eastAsia" w:ascii="宋体" w:hAnsi="宋体" w:eastAsia="宋体" w:cs="宋体"/>
                <w:b/>
                <w:color w:val="auto"/>
                <w:sz w:val="24"/>
              </w:rPr>
            </w:pPr>
          </w:p>
        </w:tc>
      </w:tr>
      <w:tr w14:paraId="681C05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14" w:hRule="atLeast"/>
          <w:jc w:val="center"/>
        </w:trPr>
        <w:tc>
          <w:tcPr>
            <w:tcW w:w="803" w:type="dxa"/>
            <w:vAlign w:val="center"/>
          </w:tcPr>
          <w:p w14:paraId="0F7C48ED">
            <w:pPr>
              <w:spacing w:line="360" w:lineRule="auto"/>
              <w:jc w:val="center"/>
              <w:outlineLvl w:val="9"/>
              <w:rPr>
                <w:rFonts w:hint="eastAsia" w:ascii="宋体" w:hAnsi="宋体" w:eastAsia="宋体" w:cs="宋体"/>
                <w:color w:val="auto"/>
                <w:sz w:val="24"/>
              </w:rPr>
            </w:pPr>
          </w:p>
        </w:tc>
        <w:tc>
          <w:tcPr>
            <w:tcW w:w="1900" w:type="dxa"/>
            <w:vAlign w:val="center"/>
          </w:tcPr>
          <w:p w14:paraId="64A47FA9">
            <w:pPr>
              <w:spacing w:line="360" w:lineRule="auto"/>
              <w:jc w:val="center"/>
              <w:outlineLvl w:val="9"/>
              <w:rPr>
                <w:rFonts w:hint="eastAsia" w:ascii="宋体" w:hAnsi="宋体" w:eastAsia="宋体" w:cs="宋体"/>
                <w:color w:val="auto"/>
                <w:sz w:val="24"/>
              </w:rPr>
            </w:pPr>
          </w:p>
        </w:tc>
        <w:tc>
          <w:tcPr>
            <w:tcW w:w="2824" w:type="dxa"/>
            <w:vAlign w:val="center"/>
          </w:tcPr>
          <w:p w14:paraId="4E18D357">
            <w:pPr>
              <w:spacing w:line="360" w:lineRule="auto"/>
              <w:jc w:val="center"/>
              <w:outlineLvl w:val="9"/>
              <w:rPr>
                <w:rFonts w:hint="eastAsia" w:ascii="宋体" w:hAnsi="宋体" w:eastAsia="宋体" w:cs="宋体"/>
                <w:color w:val="auto"/>
                <w:sz w:val="24"/>
              </w:rPr>
            </w:pPr>
          </w:p>
        </w:tc>
        <w:tc>
          <w:tcPr>
            <w:tcW w:w="2689" w:type="dxa"/>
            <w:vAlign w:val="center"/>
          </w:tcPr>
          <w:p w14:paraId="0945CF70">
            <w:pPr>
              <w:spacing w:line="360" w:lineRule="auto"/>
              <w:jc w:val="center"/>
              <w:outlineLvl w:val="9"/>
              <w:rPr>
                <w:rFonts w:hint="eastAsia" w:ascii="宋体" w:hAnsi="宋体" w:eastAsia="宋体" w:cs="宋体"/>
                <w:color w:val="auto"/>
                <w:sz w:val="24"/>
              </w:rPr>
            </w:pPr>
          </w:p>
        </w:tc>
        <w:tc>
          <w:tcPr>
            <w:tcW w:w="1291" w:type="dxa"/>
            <w:vAlign w:val="center"/>
          </w:tcPr>
          <w:p w14:paraId="6793B06E">
            <w:pPr>
              <w:spacing w:line="360" w:lineRule="auto"/>
              <w:jc w:val="center"/>
              <w:outlineLvl w:val="9"/>
              <w:rPr>
                <w:rFonts w:hint="eastAsia" w:ascii="宋体" w:hAnsi="宋体" w:eastAsia="宋体" w:cs="宋体"/>
                <w:b/>
                <w:color w:val="auto"/>
                <w:sz w:val="24"/>
              </w:rPr>
            </w:pPr>
          </w:p>
        </w:tc>
      </w:tr>
      <w:tr w14:paraId="6E92E6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14" w:hRule="atLeast"/>
          <w:jc w:val="center"/>
        </w:trPr>
        <w:tc>
          <w:tcPr>
            <w:tcW w:w="803" w:type="dxa"/>
            <w:vAlign w:val="center"/>
          </w:tcPr>
          <w:p w14:paraId="0B45AE72">
            <w:pPr>
              <w:spacing w:line="360" w:lineRule="auto"/>
              <w:jc w:val="center"/>
              <w:outlineLvl w:val="9"/>
              <w:rPr>
                <w:rFonts w:hint="eastAsia" w:ascii="宋体" w:hAnsi="宋体" w:eastAsia="宋体" w:cs="宋体"/>
                <w:color w:val="auto"/>
                <w:sz w:val="24"/>
              </w:rPr>
            </w:pPr>
          </w:p>
        </w:tc>
        <w:tc>
          <w:tcPr>
            <w:tcW w:w="1900" w:type="dxa"/>
            <w:vAlign w:val="center"/>
          </w:tcPr>
          <w:p w14:paraId="66CC2DF5">
            <w:pPr>
              <w:spacing w:line="360" w:lineRule="auto"/>
              <w:jc w:val="center"/>
              <w:outlineLvl w:val="9"/>
              <w:rPr>
                <w:rFonts w:hint="eastAsia" w:ascii="宋体" w:hAnsi="宋体" w:eastAsia="宋体" w:cs="宋体"/>
                <w:color w:val="auto"/>
                <w:sz w:val="24"/>
              </w:rPr>
            </w:pPr>
          </w:p>
        </w:tc>
        <w:tc>
          <w:tcPr>
            <w:tcW w:w="2824" w:type="dxa"/>
            <w:vAlign w:val="center"/>
          </w:tcPr>
          <w:p w14:paraId="6900A748">
            <w:pPr>
              <w:spacing w:line="360" w:lineRule="auto"/>
              <w:jc w:val="center"/>
              <w:outlineLvl w:val="9"/>
              <w:rPr>
                <w:rFonts w:hint="eastAsia" w:ascii="宋体" w:hAnsi="宋体" w:eastAsia="宋体" w:cs="宋体"/>
                <w:color w:val="auto"/>
                <w:sz w:val="24"/>
              </w:rPr>
            </w:pPr>
          </w:p>
        </w:tc>
        <w:tc>
          <w:tcPr>
            <w:tcW w:w="2689" w:type="dxa"/>
            <w:vAlign w:val="center"/>
          </w:tcPr>
          <w:p w14:paraId="2CFFC6B5">
            <w:pPr>
              <w:spacing w:line="360" w:lineRule="auto"/>
              <w:jc w:val="center"/>
              <w:outlineLvl w:val="9"/>
              <w:rPr>
                <w:rFonts w:hint="eastAsia" w:ascii="宋体" w:hAnsi="宋体" w:eastAsia="宋体" w:cs="宋体"/>
                <w:color w:val="auto"/>
                <w:sz w:val="24"/>
              </w:rPr>
            </w:pPr>
          </w:p>
        </w:tc>
        <w:tc>
          <w:tcPr>
            <w:tcW w:w="1291" w:type="dxa"/>
            <w:vAlign w:val="center"/>
          </w:tcPr>
          <w:p w14:paraId="386CE045">
            <w:pPr>
              <w:spacing w:line="360" w:lineRule="auto"/>
              <w:jc w:val="center"/>
              <w:outlineLvl w:val="9"/>
              <w:rPr>
                <w:rFonts w:hint="eastAsia" w:ascii="宋体" w:hAnsi="宋体" w:eastAsia="宋体" w:cs="宋体"/>
                <w:b/>
                <w:color w:val="auto"/>
                <w:sz w:val="24"/>
              </w:rPr>
            </w:pPr>
          </w:p>
        </w:tc>
      </w:tr>
      <w:tr w14:paraId="54CC0B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14" w:hRule="atLeast"/>
          <w:jc w:val="center"/>
        </w:trPr>
        <w:tc>
          <w:tcPr>
            <w:tcW w:w="803" w:type="dxa"/>
            <w:vAlign w:val="center"/>
          </w:tcPr>
          <w:p w14:paraId="4E9870A5">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备注</w:t>
            </w:r>
          </w:p>
        </w:tc>
        <w:tc>
          <w:tcPr>
            <w:tcW w:w="8704" w:type="dxa"/>
            <w:gridSpan w:val="4"/>
            <w:vAlign w:val="center"/>
          </w:tcPr>
          <w:p w14:paraId="059657CD">
            <w:pPr>
              <w:spacing w:line="360" w:lineRule="auto"/>
              <w:jc w:val="center"/>
              <w:outlineLvl w:val="9"/>
              <w:rPr>
                <w:rFonts w:hint="eastAsia" w:ascii="宋体" w:hAnsi="宋体" w:eastAsia="宋体" w:cs="宋体"/>
                <w:b/>
                <w:color w:val="auto"/>
                <w:sz w:val="24"/>
              </w:rPr>
            </w:pPr>
          </w:p>
        </w:tc>
      </w:tr>
    </w:tbl>
    <w:p w14:paraId="61E1EFB3">
      <w:pPr>
        <w:autoSpaceDE w:val="0"/>
        <w:autoSpaceDN w:val="0"/>
        <w:adjustRightInd w:val="0"/>
        <w:spacing w:line="360" w:lineRule="auto"/>
        <w:outlineLvl w:val="9"/>
        <w:rPr>
          <w:rFonts w:hint="eastAsia" w:ascii="宋体" w:hAnsi="宋体" w:eastAsia="宋体" w:cs="宋体"/>
          <w:color w:val="auto"/>
          <w:sz w:val="24"/>
        </w:rPr>
      </w:pPr>
      <w:r>
        <w:rPr>
          <w:rFonts w:hint="eastAsia" w:ascii="宋体" w:hAnsi="宋体" w:eastAsia="宋体" w:cs="宋体"/>
          <w:color w:val="auto"/>
          <w:sz w:val="24"/>
        </w:rPr>
        <w:t>说明：</w:t>
      </w:r>
    </w:p>
    <w:p w14:paraId="5D6A87C3">
      <w:pPr>
        <w:autoSpaceDE w:val="0"/>
        <w:autoSpaceDN w:val="0"/>
        <w:adjustRightInd w:val="0"/>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1、投标文件根据第四部分商务及合同主要条款须逐条响应并如实填写。</w:t>
      </w:r>
    </w:p>
    <w:p w14:paraId="099839A3">
      <w:pPr>
        <w:pStyle w:val="10"/>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rPr>
        <w:t>2、响应说明填写：优于、相同。</w:t>
      </w:r>
    </w:p>
    <w:p w14:paraId="79F99018">
      <w:pPr>
        <w:pStyle w:val="10"/>
        <w:spacing w:line="360" w:lineRule="auto"/>
        <w:outlineLvl w:val="9"/>
        <w:rPr>
          <w:rFonts w:hint="eastAsia" w:ascii="宋体" w:hAnsi="宋体" w:eastAsia="宋体" w:cs="宋体"/>
          <w:color w:val="auto"/>
          <w:sz w:val="24"/>
          <w:szCs w:val="24"/>
        </w:rPr>
      </w:pPr>
    </w:p>
    <w:p w14:paraId="56731363">
      <w:pPr>
        <w:spacing w:line="360" w:lineRule="auto"/>
        <w:outlineLvl w:val="9"/>
        <w:rPr>
          <w:rFonts w:hint="eastAsia" w:ascii="宋体" w:hAnsi="宋体" w:eastAsia="宋体" w:cs="宋体"/>
          <w:color w:val="auto"/>
          <w:sz w:val="24"/>
        </w:rPr>
      </w:pPr>
      <w:r>
        <w:rPr>
          <w:rFonts w:hint="eastAsia" w:ascii="宋体" w:hAnsi="宋体" w:eastAsia="宋体" w:cs="宋体"/>
          <w:color w:val="auto"/>
          <w:sz w:val="24"/>
        </w:rPr>
        <w:t xml:space="preserve">投标人（公章）：                  </w:t>
      </w:r>
    </w:p>
    <w:p w14:paraId="5D8CAB39">
      <w:pPr>
        <w:spacing w:line="360" w:lineRule="auto"/>
        <w:outlineLvl w:val="9"/>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cs="宋体"/>
          <w:color w:val="auto"/>
          <w:sz w:val="24"/>
          <w:lang w:val="en-US" w:eastAsia="zh-CN"/>
        </w:rPr>
        <w:t>负责人/</w:t>
      </w:r>
      <w:r>
        <w:rPr>
          <w:rFonts w:hint="eastAsia" w:ascii="宋体" w:hAnsi="宋体" w:eastAsia="宋体" w:cs="宋体"/>
          <w:color w:val="auto"/>
          <w:sz w:val="24"/>
        </w:rPr>
        <w:t>被授权人（签字或盖章）：</w:t>
      </w:r>
    </w:p>
    <w:p w14:paraId="25B64F53">
      <w:pPr>
        <w:pStyle w:val="27"/>
        <w:spacing w:line="360" w:lineRule="auto"/>
        <w:ind w:firstLine="0" w:firstLineChars="0"/>
        <w:outlineLvl w:val="9"/>
        <w:rPr>
          <w:rFonts w:hint="eastAsia" w:ascii="宋体" w:hAnsi="宋体" w:eastAsia="宋体" w:cs="宋体"/>
          <w:color w:val="auto"/>
        </w:rPr>
      </w:pPr>
      <w:r>
        <w:rPr>
          <w:rFonts w:hint="eastAsia" w:ascii="宋体" w:hAnsi="宋体" w:eastAsia="宋体" w:cs="宋体"/>
          <w:color w:val="auto"/>
          <w:sz w:val="24"/>
        </w:rPr>
        <w:t>日期：  年  月  日</w:t>
      </w:r>
    </w:p>
    <w:p w14:paraId="56F507D3">
      <w:pPr>
        <w:outlineLvl w:val="9"/>
        <w:rPr>
          <w:rFonts w:hint="eastAsia" w:ascii="宋体" w:hAnsi="宋体" w:eastAsia="宋体" w:cs="宋体"/>
          <w:color w:val="auto"/>
        </w:rPr>
      </w:pPr>
    </w:p>
    <w:p w14:paraId="75F06080">
      <w:pPr>
        <w:spacing w:line="360" w:lineRule="auto"/>
        <w:jc w:val="center"/>
        <w:outlineLvl w:val="9"/>
        <w:rPr>
          <w:rFonts w:hint="eastAsia" w:ascii="宋体" w:hAnsi="宋体" w:eastAsia="宋体" w:cs="宋体"/>
          <w:b/>
          <w:color w:val="auto"/>
          <w:sz w:val="32"/>
          <w:szCs w:val="32"/>
        </w:rPr>
      </w:pPr>
      <w:r>
        <w:rPr>
          <w:rFonts w:hint="eastAsia" w:ascii="宋体" w:hAnsi="宋体" w:eastAsia="宋体" w:cs="宋体"/>
          <w:color w:val="auto"/>
          <w:sz w:val="22"/>
        </w:rPr>
        <w:br w:type="page"/>
      </w:r>
      <w:r>
        <w:rPr>
          <w:rFonts w:hint="eastAsia" w:ascii="宋体" w:hAnsi="宋体" w:eastAsia="宋体" w:cs="宋体"/>
          <w:b/>
          <w:color w:val="auto"/>
          <w:sz w:val="32"/>
          <w:szCs w:val="32"/>
        </w:rPr>
        <w:t>第三部分   法定代表人</w:t>
      </w:r>
      <w:r>
        <w:rPr>
          <w:rFonts w:hint="eastAsia" w:ascii="宋体" w:hAnsi="宋体" w:cs="宋体"/>
          <w:b/>
          <w:color w:val="auto"/>
          <w:sz w:val="32"/>
          <w:szCs w:val="32"/>
          <w:lang w:val="en-US" w:eastAsia="zh-CN"/>
        </w:rPr>
        <w:t>/负责人</w:t>
      </w:r>
      <w:r>
        <w:rPr>
          <w:rFonts w:hint="eastAsia" w:ascii="宋体" w:hAnsi="宋体" w:eastAsia="宋体" w:cs="宋体"/>
          <w:b/>
          <w:color w:val="auto"/>
          <w:sz w:val="32"/>
          <w:szCs w:val="32"/>
        </w:rPr>
        <w:t>证明书与授权书</w:t>
      </w:r>
    </w:p>
    <w:p w14:paraId="2F96C53E">
      <w:pPr>
        <w:tabs>
          <w:tab w:val="left" w:pos="210"/>
        </w:tabs>
        <w:spacing w:line="360" w:lineRule="auto"/>
        <w:jc w:val="center"/>
        <w:outlineLvl w:val="9"/>
        <w:rPr>
          <w:rFonts w:hint="eastAsia" w:ascii="宋体" w:hAnsi="宋体" w:eastAsia="宋体" w:cs="宋体"/>
          <w:b/>
          <w:color w:val="auto"/>
          <w:kern w:val="0"/>
          <w:sz w:val="32"/>
          <w:szCs w:val="32"/>
        </w:rPr>
      </w:pPr>
    </w:p>
    <w:p w14:paraId="67F76B73">
      <w:pPr>
        <w:tabs>
          <w:tab w:val="left" w:pos="210"/>
        </w:tabs>
        <w:spacing w:line="360" w:lineRule="auto"/>
        <w:jc w:val="center"/>
        <w:outlineLvl w:val="9"/>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法定代表人</w:t>
      </w:r>
      <w:r>
        <w:rPr>
          <w:rFonts w:hint="eastAsia" w:ascii="宋体" w:hAnsi="宋体" w:cs="宋体"/>
          <w:b/>
          <w:color w:val="auto"/>
          <w:sz w:val="32"/>
          <w:szCs w:val="32"/>
          <w:lang w:val="en-US" w:eastAsia="zh-CN"/>
        </w:rPr>
        <w:t>/负责人</w:t>
      </w:r>
      <w:r>
        <w:rPr>
          <w:rFonts w:hint="eastAsia" w:ascii="宋体" w:hAnsi="宋体" w:eastAsia="宋体" w:cs="宋体"/>
          <w:b/>
          <w:color w:val="auto"/>
          <w:kern w:val="0"/>
          <w:sz w:val="32"/>
          <w:szCs w:val="32"/>
        </w:rPr>
        <w:t>证明书</w:t>
      </w:r>
    </w:p>
    <w:p w14:paraId="14D14D26">
      <w:pPr>
        <w:tabs>
          <w:tab w:val="left" w:pos="210"/>
        </w:tabs>
        <w:spacing w:line="360" w:lineRule="auto"/>
        <w:jc w:val="center"/>
        <w:outlineLvl w:val="9"/>
        <w:rPr>
          <w:rFonts w:hint="eastAsia" w:ascii="宋体" w:hAnsi="宋体" w:eastAsia="宋体" w:cs="宋体"/>
          <w:b/>
          <w:color w:val="auto"/>
          <w:kern w:val="0"/>
          <w:sz w:val="32"/>
          <w:szCs w:val="32"/>
        </w:rPr>
      </w:pPr>
    </w:p>
    <w:p w14:paraId="1D441C2B">
      <w:pPr>
        <w:spacing w:line="360" w:lineRule="auto"/>
        <w:ind w:firstLine="307" w:firstLineChars="128"/>
        <w:outlineLvl w:val="9"/>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p>
    <w:p w14:paraId="77067219">
      <w:pPr>
        <w:spacing w:line="360" w:lineRule="auto"/>
        <w:ind w:firstLine="307" w:firstLineChars="128"/>
        <w:outlineLvl w:val="9"/>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p>
    <w:p w14:paraId="65A68754">
      <w:pPr>
        <w:spacing w:line="360" w:lineRule="auto"/>
        <w:ind w:firstLine="307" w:firstLineChars="128"/>
        <w:outlineLvl w:val="9"/>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1534538C">
      <w:pPr>
        <w:spacing w:line="360" w:lineRule="auto"/>
        <w:ind w:firstLine="307" w:firstLineChars="128"/>
        <w:outlineLvl w:val="9"/>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6F46BED7">
      <w:pPr>
        <w:spacing w:line="360" w:lineRule="auto"/>
        <w:ind w:firstLine="307" w:firstLineChars="128"/>
        <w:outlineLvl w:val="9"/>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14:paraId="41072FEE">
      <w:pPr>
        <w:spacing w:line="360" w:lineRule="auto"/>
        <w:ind w:firstLine="307" w:firstLineChars="128"/>
        <w:outlineLvl w:val="9"/>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14:paraId="0841E4F6">
      <w:pPr>
        <w:spacing w:line="360" w:lineRule="auto"/>
        <w:outlineLvl w:val="9"/>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r>
        <w:rPr>
          <w:rFonts w:hint="eastAsia" w:ascii="宋体" w:hAnsi="宋体" w:cs="宋体"/>
          <w:color w:val="auto"/>
          <w:sz w:val="24"/>
          <w:lang w:val="en-US" w:eastAsia="zh-CN"/>
        </w:rPr>
        <w:t>/负责人</w:t>
      </w:r>
      <w:r>
        <w:rPr>
          <w:rFonts w:hint="eastAsia" w:ascii="宋体" w:hAnsi="宋体" w:eastAsia="宋体" w:cs="宋体"/>
          <w:color w:val="auto"/>
          <w:sz w:val="24"/>
        </w:rPr>
        <w:t>。</w:t>
      </w:r>
    </w:p>
    <w:p w14:paraId="316018E2">
      <w:pPr>
        <w:spacing w:line="360" w:lineRule="auto"/>
        <w:ind w:firstLine="307" w:firstLineChars="128"/>
        <w:outlineLvl w:val="9"/>
        <w:rPr>
          <w:rFonts w:hint="eastAsia" w:ascii="宋体" w:hAnsi="宋体" w:eastAsia="宋体" w:cs="宋体"/>
          <w:color w:val="auto"/>
          <w:sz w:val="24"/>
        </w:rPr>
      </w:pPr>
    </w:p>
    <w:p w14:paraId="1B876AA0">
      <w:pPr>
        <w:spacing w:line="360" w:lineRule="auto"/>
        <w:ind w:firstLine="307" w:firstLineChars="128"/>
        <w:outlineLvl w:val="9"/>
        <w:rPr>
          <w:rFonts w:hint="eastAsia" w:ascii="宋体" w:hAnsi="宋体" w:eastAsia="宋体" w:cs="宋体"/>
          <w:color w:val="auto"/>
          <w:sz w:val="24"/>
        </w:rPr>
      </w:pPr>
      <w:r>
        <w:rPr>
          <w:rFonts w:hint="eastAsia" w:ascii="宋体" w:hAnsi="宋体" w:eastAsia="宋体" w:cs="宋体"/>
          <w:color w:val="auto"/>
          <w:sz w:val="24"/>
        </w:rPr>
        <w:t>特此证明。</w:t>
      </w:r>
    </w:p>
    <w:p w14:paraId="547B2B4B">
      <w:pPr>
        <w:spacing w:line="360" w:lineRule="auto"/>
        <w:outlineLvl w:val="9"/>
        <w:rPr>
          <w:rFonts w:hint="eastAsia" w:ascii="宋体" w:hAnsi="宋体" w:eastAsia="宋体" w:cs="宋体"/>
          <w:color w:val="auto"/>
          <w:sz w:val="24"/>
        </w:rPr>
      </w:pPr>
      <w:r>
        <w:rPr>
          <w:rFonts w:hint="eastAsia" w:ascii="宋体" w:hAnsi="宋体" w:eastAsia="宋体" w:cs="宋体"/>
          <w:color w:val="auto"/>
          <w:sz w:val="24"/>
        </w:rPr>
        <w:t>（后附法定代表人身份证正反面）</w:t>
      </w:r>
    </w:p>
    <w:p w14:paraId="23A2C124">
      <w:pPr>
        <w:pStyle w:val="17"/>
        <w:spacing w:line="360" w:lineRule="auto"/>
        <w:outlineLvl w:val="9"/>
        <w:rPr>
          <w:rFonts w:hint="eastAsia" w:ascii="宋体" w:hAnsi="宋体" w:eastAsia="宋体" w:cs="宋体"/>
          <w:color w:val="auto"/>
        </w:rPr>
      </w:pPr>
    </w:p>
    <w:p w14:paraId="4A9B0A30">
      <w:pPr>
        <w:spacing w:line="360" w:lineRule="auto"/>
        <w:outlineLvl w:val="9"/>
        <w:rPr>
          <w:rFonts w:hint="eastAsia" w:ascii="宋体" w:hAnsi="宋体" w:eastAsia="宋体" w:cs="宋体"/>
          <w:color w:val="auto"/>
          <w:sz w:val="24"/>
        </w:rPr>
      </w:pPr>
    </w:p>
    <w:p w14:paraId="70071A81">
      <w:pPr>
        <w:autoSpaceDE w:val="0"/>
        <w:autoSpaceDN w:val="0"/>
        <w:adjustRightInd w:val="0"/>
        <w:spacing w:line="360" w:lineRule="auto"/>
        <w:jc w:val="right"/>
        <w:outlineLvl w:val="9"/>
        <w:rPr>
          <w:rFonts w:hint="eastAsia" w:ascii="宋体" w:hAnsi="宋体" w:eastAsia="宋体" w:cs="宋体"/>
          <w:color w:val="auto"/>
          <w:sz w:val="24"/>
          <w:u w:val="single"/>
          <w:lang w:val="zh-CN"/>
        </w:rPr>
      </w:pPr>
      <w:r>
        <w:rPr>
          <w:rFonts w:hint="eastAsia" w:ascii="宋体" w:hAnsi="宋体" w:eastAsia="宋体" w:cs="宋体"/>
          <w:color w:val="auto"/>
          <w:sz w:val="24"/>
        </w:rPr>
        <w:t>投  标  人</w:t>
      </w:r>
      <w:r>
        <w:rPr>
          <w:rFonts w:hint="eastAsia" w:ascii="宋体" w:hAnsi="宋体" w:eastAsia="宋体" w:cs="宋体"/>
          <w:color w:val="auto"/>
          <w:sz w:val="24"/>
          <w:lang w:val="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14:paraId="6D3C10DB">
      <w:pPr>
        <w:autoSpaceDE w:val="0"/>
        <w:autoSpaceDN w:val="0"/>
        <w:adjustRightInd w:val="0"/>
        <w:spacing w:line="360" w:lineRule="auto"/>
        <w:ind w:left="3780" w:firstLine="420"/>
        <w:jc w:val="right"/>
        <w:outlineLvl w:val="9"/>
        <w:rPr>
          <w:rFonts w:hint="eastAsia" w:ascii="宋体" w:hAnsi="宋体" w:eastAsia="宋体" w:cs="宋体"/>
          <w:color w:val="auto"/>
          <w:sz w:val="24"/>
          <w:lang w:val="zh-CN"/>
        </w:rPr>
      </w:pPr>
    </w:p>
    <w:p w14:paraId="6FFE83B7">
      <w:pPr>
        <w:autoSpaceDE w:val="0"/>
        <w:autoSpaceDN w:val="0"/>
        <w:adjustRightInd w:val="0"/>
        <w:spacing w:line="360" w:lineRule="auto"/>
        <w:jc w:val="right"/>
        <w:outlineLvl w:val="9"/>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w:t>
      </w:r>
      <w:r>
        <w:rPr>
          <w:rFonts w:hint="eastAsia" w:ascii="宋体" w:hAnsi="宋体" w:cs="宋体"/>
          <w:color w:val="auto"/>
          <w:sz w:val="24"/>
          <w:lang w:val="en-US" w:eastAsia="zh-CN"/>
        </w:rPr>
        <w:t>/负责人</w:t>
      </w:r>
      <w:r>
        <w:rPr>
          <w:rFonts w:hint="eastAsia" w:ascii="宋体" w:hAnsi="宋体" w:eastAsia="宋体" w:cs="宋体"/>
          <w:color w:val="auto"/>
          <w:sz w:val="24"/>
          <w:lang w:val="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（签字或盖章）</w:t>
      </w:r>
    </w:p>
    <w:p w14:paraId="30751B97">
      <w:pPr>
        <w:autoSpaceDE w:val="0"/>
        <w:autoSpaceDN w:val="0"/>
        <w:adjustRightInd w:val="0"/>
        <w:spacing w:line="360" w:lineRule="auto"/>
        <w:ind w:left="3780" w:firstLine="420"/>
        <w:jc w:val="right"/>
        <w:outlineLvl w:val="9"/>
        <w:rPr>
          <w:rFonts w:hint="eastAsia" w:ascii="宋体" w:hAnsi="宋体" w:eastAsia="宋体" w:cs="宋体"/>
          <w:color w:val="auto"/>
          <w:sz w:val="24"/>
        </w:rPr>
      </w:pPr>
    </w:p>
    <w:p w14:paraId="06C9BD0A">
      <w:pPr>
        <w:spacing w:line="360" w:lineRule="auto"/>
        <w:jc w:val="center"/>
        <w:outlineLvl w:val="9"/>
        <w:rPr>
          <w:rFonts w:hint="eastAsia" w:ascii="宋体" w:hAnsi="宋体" w:eastAsia="宋体" w:cs="宋体"/>
          <w:color w:val="auto"/>
          <w:sz w:val="28"/>
          <w:szCs w:val="28"/>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694254FB">
      <w:pPr>
        <w:tabs>
          <w:tab w:val="left" w:pos="210"/>
        </w:tabs>
        <w:spacing w:line="360" w:lineRule="auto"/>
        <w:jc w:val="center"/>
        <w:outlineLvl w:val="9"/>
        <w:rPr>
          <w:rFonts w:hint="eastAsia" w:ascii="宋体" w:hAnsi="宋体" w:eastAsia="宋体" w:cs="宋体"/>
          <w:b/>
          <w:color w:val="auto"/>
          <w:kern w:val="0"/>
          <w:sz w:val="32"/>
          <w:szCs w:val="32"/>
        </w:rPr>
      </w:pPr>
    </w:p>
    <w:p w14:paraId="5E71C0D3">
      <w:pPr>
        <w:tabs>
          <w:tab w:val="left" w:pos="210"/>
        </w:tabs>
        <w:spacing w:line="360" w:lineRule="auto"/>
        <w:jc w:val="center"/>
        <w:outlineLvl w:val="9"/>
        <w:rPr>
          <w:rFonts w:hint="eastAsia" w:ascii="宋体" w:hAnsi="宋体" w:eastAsia="宋体" w:cs="宋体"/>
          <w:b/>
          <w:color w:val="auto"/>
          <w:kern w:val="0"/>
          <w:sz w:val="32"/>
          <w:szCs w:val="32"/>
        </w:rPr>
      </w:pPr>
    </w:p>
    <w:p w14:paraId="1BF013E7">
      <w:pPr>
        <w:pStyle w:val="17"/>
        <w:spacing w:line="360" w:lineRule="auto"/>
        <w:outlineLvl w:val="9"/>
        <w:rPr>
          <w:rFonts w:hint="eastAsia" w:ascii="宋体" w:hAnsi="宋体" w:eastAsia="宋体" w:cs="宋体"/>
          <w:b/>
          <w:color w:val="auto"/>
          <w:sz w:val="32"/>
          <w:szCs w:val="32"/>
        </w:rPr>
      </w:pPr>
    </w:p>
    <w:p w14:paraId="37CD3810">
      <w:pPr>
        <w:outlineLvl w:val="9"/>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br w:type="page"/>
      </w:r>
    </w:p>
    <w:p w14:paraId="2FD2C1B7">
      <w:pPr>
        <w:spacing w:line="360" w:lineRule="auto"/>
        <w:jc w:val="center"/>
        <w:outlineLvl w:val="9"/>
        <w:rPr>
          <w:rFonts w:hint="eastAsia" w:ascii="宋体" w:hAnsi="宋体" w:eastAsia="宋体" w:cs="宋体"/>
          <w:color w:val="auto"/>
          <w:spacing w:val="-6"/>
          <w:sz w:val="24"/>
        </w:rPr>
      </w:pPr>
      <w:r>
        <w:rPr>
          <w:rFonts w:hint="eastAsia" w:ascii="宋体" w:hAnsi="宋体" w:eastAsia="宋体" w:cs="宋体"/>
          <w:b/>
          <w:color w:val="auto"/>
          <w:kern w:val="0"/>
          <w:sz w:val="32"/>
          <w:szCs w:val="32"/>
        </w:rPr>
        <w:t>法定代表人</w:t>
      </w:r>
      <w:r>
        <w:rPr>
          <w:rFonts w:hint="eastAsia" w:ascii="宋体" w:hAnsi="宋体" w:cs="宋体"/>
          <w:b/>
          <w:color w:val="auto"/>
          <w:sz w:val="32"/>
          <w:szCs w:val="32"/>
          <w:lang w:val="en-US" w:eastAsia="zh-CN"/>
        </w:rPr>
        <w:t>/负责人</w:t>
      </w:r>
      <w:r>
        <w:rPr>
          <w:rFonts w:hint="eastAsia" w:ascii="宋体" w:hAnsi="宋体" w:eastAsia="宋体" w:cs="宋体"/>
          <w:b/>
          <w:color w:val="auto"/>
          <w:kern w:val="0"/>
          <w:sz w:val="32"/>
          <w:szCs w:val="32"/>
        </w:rPr>
        <w:t>授权委托书</w:t>
      </w:r>
    </w:p>
    <w:p w14:paraId="313EB08F">
      <w:pPr>
        <w:pStyle w:val="10"/>
        <w:spacing w:line="360" w:lineRule="auto"/>
        <w:outlineLvl w:val="9"/>
        <w:rPr>
          <w:rFonts w:hint="eastAsia" w:ascii="宋体" w:hAnsi="宋体" w:eastAsia="宋体" w:cs="宋体"/>
          <w:b/>
          <w:bCs/>
          <w:color w:val="auto"/>
          <w:sz w:val="24"/>
          <w:szCs w:val="24"/>
        </w:rPr>
      </w:pPr>
      <w:r>
        <w:rPr>
          <w:rFonts w:hint="eastAsia" w:ascii="宋体" w:hAnsi="宋体" w:eastAsia="宋体" w:cs="宋体"/>
          <w:color w:val="auto"/>
          <w:sz w:val="24"/>
          <w:szCs w:val="24"/>
          <w:lang w:eastAsia="zh-CN"/>
        </w:rPr>
        <w:t>陕西宏扬项目管理有限公司</w:t>
      </w:r>
      <w:r>
        <w:rPr>
          <w:rFonts w:hint="eastAsia" w:ascii="宋体" w:hAnsi="宋体" w:eastAsia="宋体" w:cs="宋体"/>
          <w:color w:val="auto"/>
          <w:sz w:val="24"/>
          <w:szCs w:val="24"/>
        </w:rPr>
        <w:t>：</w:t>
      </w:r>
    </w:p>
    <w:p w14:paraId="6A452CE0">
      <w:pPr>
        <w:pStyle w:val="10"/>
        <w:spacing w:line="360" w:lineRule="auto"/>
        <w:ind w:left="-120" w:leftChars="-57" w:firstLine="600" w:firstLineChars="250"/>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本授权书声明：注册于（</w:t>
      </w:r>
      <w:r>
        <w:rPr>
          <w:rFonts w:hint="eastAsia" w:ascii="宋体" w:hAnsi="宋体" w:eastAsia="宋体" w:cs="宋体"/>
          <w:color w:val="auto"/>
          <w:sz w:val="24"/>
          <w:szCs w:val="24"/>
          <w:u w:val="single"/>
        </w:rPr>
        <w:t xml:space="preserve"> 工商行政管理局名称）之（委托单位全称） </w:t>
      </w:r>
      <w:r>
        <w:rPr>
          <w:rFonts w:hint="eastAsia" w:ascii="宋体" w:hAnsi="宋体" w:eastAsia="宋体" w:cs="宋体"/>
          <w:color w:val="auto"/>
          <w:sz w:val="24"/>
          <w:szCs w:val="24"/>
        </w:rPr>
        <w:t>的法定代表人</w:t>
      </w:r>
      <w:r>
        <w:rPr>
          <w:rFonts w:hint="eastAsia" w:hAnsi="宋体" w:cs="宋体"/>
          <w:color w:val="auto"/>
          <w:sz w:val="24"/>
          <w:szCs w:val="24"/>
          <w:lang w:val="en-US" w:eastAsia="zh-CN"/>
        </w:rPr>
        <w:t>/负责人</w:t>
      </w:r>
      <w:r>
        <w:rPr>
          <w:rFonts w:hint="eastAsia" w:ascii="宋体" w:hAnsi="宋体" w:eastAsia="宋体" w:cs="宋体"/>
          <w:color w:val="auto"/>
          <w:sz w:val="24"/>
          <w:szCs w:val="24"/>
          <w:u w:val="single"/>
        </w:rPr>
        <w:t>（姓名、性别）</w:t>
      </w:r>
      <w:r>
        <w:rPr>
          <w:rFonts w:hint="eastAsia" w:ascii="宋体" w:hAnsi="宋体" w:eastAsia="宋体" w:cs="宋体"/>
          <w:color w:val="auto"/>
          <w:sz w:val="24"/>
          <w:szCs w:val="24"/>
        </w:rPr>
        <w:t>授权</w:t>
      </w:r>
      <w:r>
        <w:rPr>
          <w:rFonts w:hint="eastAsia" w:ascii="宋体" w:hAnsi="宋体" w:eastAsia="宋体" w:cs="宋体"/>
          <w:color w:val="auto"/>
          <w:sz w:val="24"/>
        </w:rPr>
        <w:t>本公司的</w:t>
      </w:r>
      <w:r>
        <w:rPr>
          <w:rFonts w:hint="eastAsia" w:ascii="宋体" w:hAnsi="宋体" w:eastAsia="宋体" w:cs="宋体"/>
          <w:color w:val="auto"/>
          <w:sz w:val="24"/>
          <w:szCs w:val="24"/>
          <w:u w:val="single"/>
        </w:rPr>
        <w:t>（被授权人姓名、性别、职务）</w:t>
      </w:r>
      <w:r>
        <w:rPr>
          <w:rFonts w:hint="eastAsia" w:ascii="宋体" w:hAnsi="宋体" w:eastAsia="宋体" w:cs="宋体"/>
          <w:color w:val="auto"/>
          <w:sz w:val="24"/>
          <w:szCs w:val="24"/>
        </w:rPr>
        <w:t>为合法代理人，就贵方组织的有关</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）的投标、洽谈、执行等具体事务，签署全部有关投标文件、文书、协议、合同，本公司对被授权人在本项目中的签名承担全部法律责任。本授权书自开标大会之日起计算有效期为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天。</w:t>
      </w:r>
    </w:p>
    <w:p w14:paraId="1A4CA9AD">
      <w:pPr>
        <w:pStyle w:val="10"/>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委托单位（公章）：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06C84657">
      <w:pPr>
        <w:pStyle w:val="10"/>
        <w:spacing w:line="360" w:lineRule="auto"/>
        <w:ind w:firstLine="480" w:firstLineChars="200"/>
        <w:outlineLvl w:val="9"/>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rPr>
        <w:t>法定代表人</w:t>
      </w:r>
      <w:r>
        <w:rPr>
          <w:rFonts w:hint="eastAsia" w:hAnsi="宋体" w:cs="宋体"/>
          <w:color w:val="auto"/>
          <w:sz w:val="24"/>
          <w:szCs w:val="24"/>
          <w:lang w:val="en-US" w:eastAsia="zh-CN"/>
        </w:rPr>
        <w:t>/负责人</w:t>
      </w:r>
      <w:r>
        <w:rPr>
          <w:rFonts w:hint="eastAsia" w:ascii="宋体" w:hAnsi="宋体" w:eastAsia="宋体" w:cs="宋体"/>
          <w:color w:val="auto"/>
          <w:sz w:val="24"/>
          <w:szCs w:val="24"/>
        </w:rPr>
        <w:t>（签字或盖章）：</w:t>
      </w:r>
      <w:r>
        <w:rPr>
          <w:rFonts w:hint="eastAsia" w:hAnsi="宋体" w:cs="宋体"/>
          <w:color w:val="auto"/>
          <w:sz w:val="24"/>
          <w:szCs w:val="24"/>
          <w:lang w:val="en-US" w:eastAsia="zh-CN"/>
        </w:rPr>
        <w:t xml:space="preserve"> </w:t>
      </w:r>
      <w:r>
        <w:rPr>
          <w:rFonts w:hint="eastAsia" w:hAnsi="宋体" w:cs="宋体"/>
          <w:color w:val="auto"/>
          <w:sz w:val="24"/>
          <w:szCs w:val="24"/>
          <w:u w:val="single"/>
          <w:lang w:val="en-US" w:eastAsia="zh-CN"/>
        </w:rPr>
        <w:t xml:space="preserve">            </w:t>
      </w:r>
    </w:p>
    <w:p w14:paraId="15D38F68">
      <w:pPr>
        <w:pStyle w:val="10"/>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签发日期：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6C07A042">
      <w:pPr>
        <w:pStyle w:val="10"/>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附：被授权人：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12163D69">
      <w:pPr>
        <w:pStyle w:val="10"/>
        <w:spacing w:line="360" w:lineRule="auto"/>
        <w:ind w:firstLine="960" w:firstLineChars="400"/>
        <w:outlineLvl w:val="9"/>
        <w:rPr>
          <w:rFonts w:hint="eastAsia" w:ascii="宋体" w:hAnsi="宋体" w:eastAsia="宋体" w:cs="宋体"/>
          <w:color w:val="auto"/>
          <w:sz w:val="24"/>
          <w:szCs w:val="24"/>
          <w:u w:val="single"/>
        </w:rPr>
      </w:pPr>
      <w:r>
        <w:rPr>
          <w:rFonts w:hint="eastAsia" w:ascii="宋体" w:hAnsi="宋体" w:eastAsia="宋体" w:cs="宋体"/>
          <w:color w:val="auto"/>
          <w:sz w:val="24"/>
          <w:szCs w:val="24"/>
        </w:rPr>
        <w:t>联系地址：</w:t>
      </w:r>
      <w:r>
        <w:rPr>
          <w:rFonts w:hint="eastAsia" w:ascii="宋体" w:hAnsi="宋体" w:eastAsia="宋体" w:cs="宋体"/>
          <w:color w:val="auto"/>
          <w:sz w:val="24"/>
          <w:szCs w:val="24"/>
          <w:u w:val="single"/>
        </w:rPr>
        <w:t xml:space="preserve">                                      </w:t>
      </w:r>
    </w:p>
    <w:p w14:paraId="64602AB1">
      <w:pPr>
        <w:pStyle w:val="10"/>
        <w:spacing w:line="360" w:lineRule="auto"/>
        <w:ind w:firstLine="960" w:firstLineChars="400"/>
        <w:outlineLvl w:val="9"/>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传真：</w:t>
      </w:r>
      <w:r>
        <w:rPr>
          <w:rFonts w:hint="eastAsia" w:ascii="宋体" w:hAnsi="宋体" w:eastAsia="宋体" w:cs="宋体"/>
          <w:color w:val="auto"/>
          <w:sz w:val="24"/>
          <w:szCs w:val="24"/>
          <w:u w:val="single"/>
        </w:rPr>
        <w:t xml:space="preserve">                 </w:t>
      </w:r>
    </w:p>
    <w:tbl>
      <w:tblPr>
        <w:tblStyle w:val="19"/>
        <w:tblW w:w="8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13"/>
        <w:gridCol w:w="4213"/>
      </w:tblGrid>
      <w:tr w14:paraId="308C7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213" w:type="dxa"/>
            <w:shd w:val="clear" w:color="auto" w:fill="E0E0E0"/>
            <w:vAlign w:val="center"/>
          </w:tcPr>
          <w:p w14:paraId="6EE2557B">
            <w:pPr>
              <w:pStyle w:val="10"/>
              <w:snapToGrid w:val="0"/>
              <w:spacing w:line="360" w:lineRule="auto"/>
              <w:jc w:val="center"/>
              <w:outlineLvl w:val="9"/>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w:t>
            </w:r>
          </w:p>
        </w:tc>
        <w:tc>
          <w:tcPr>
            <w:tcW w:w="4213" w:type="dxa"/>
            <w:shd w:val="clear" w:color="auto" w:fill="E0E0E0"/>
            <w:vAlign w:val="center"/>
          </w:tcPr>
          <w:p w14:paraId="3D4B5357">
            <w:pPr>
              <w:pStyle w:val="10"/>
              <w:snapToGrid w:val="0"/>
              <w:spacing w:line="360" w:lineRule="auto"/>
              <w:jc w:val="center"/>
              <w:outlineLvl w:val="9"/>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w:t>
            </w:r>
          </w:p>
        </w:tc>
      </w:tr>
      <w:tr w14:paraId="3FC27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792" w:hRule="atLeast"/>
          <w:jc w:val="center"/>
        </w:trPr>
        <w:tc>
          <w:tcPr>
            <w:tcW w:w="4213" w:type="dxa"/>
            <w:shd w:val="clear" w:color="auto" w:fill="E0E0E0"/>
            <w:vAlign w:val="center"/>
          </w:tcPr>
          <w:p w14:paraId="4CC8F70E">
            <w:pPr>
              <w:pStyle w:val="10"/>
              <w:snapToGrid w:val="0"/>
              <w:spacing w:line="360" w:lineRule="auto"/>
              <w:jc w:val="center"/>
              <w:outlineLvl w:val="9"/>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w:t>
            </w:r>
          </w:p>
        </w:tc>
        <w:tc>
          <w:tcPr>
            <w:tcW w:w="4213" w:type="dxa"/>
            <w:shd w:val="clear" w:color="auto" w:fill="E0E0E0"/>
            <w:vAlign w:val="center"/>
          </w:tcPr>
          <w:p w14:paraId="4B51F4C2">
            <w:pPr>
              <w:pStyle w:val="10"/>
              <w:snapToGrid w:val="0"/>
              <w:spacing w:line="360" w:lineRule="auto"/>
              <w:jc w:val="center"/>
              <w:outlineLvl w:val="9"/>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w:t>
            </w:r>
          </w:p>
        </w:tc>
      </w:tr>
    </w:tbl>
    <w:p w14:paraId="30016ADA">
      <w:pPr>
        <w:pStyle w:val="10"/>
        <w:spacing w:line="360" w:lineRule="auto"/>
        <w:ind w:firstLine="240" w:firstLineChars="100"/>
        <w:outlineLvl w:val="9"/>
        <w:rPr>
          <w:rFonts w:hint="eastAsia" w:ascii="宋体" w:hAnsi="宋体" w:eastAsia="宋体" w:cs="宋体"/>
          <w:color w:val="auto"/>
          <w:sz w:val="24"/>
          <w:szCs w:val="24"/>
        </w:rPr>
      </w:pPr>
      <w:r>
        <w:rPr>
          <w:rFonts w:hint="eastAsia" w:ascii="宋体" w:hAnsi="宋体" w:eastAsia="宋体" w:cs="宋体"/>
          <w:color w:val="auto"/>
          <w:sz w:val="24"/>
          <w:szCs w:val="24"/>
        </w:rPr>
        <w:t>说明：授权书内容填写要明确，文字要工整清楚，涂改无效。</w:t>
      </w:r>
    </w:p>
    <w:p w14:paraId="650961ED">
      <w:pPr>
        <w:pStyle w:val="10"/>
        <w:spacing w:line="360" w:lineRule="auto"/>
        <w:ind w:firstLine="720" w:firstLineChars="300"/>
        <w:outlineLvl w:val="9"/>
        <w:rPr>
          <w:rFonts w:hint="eastAsia" w:ascii="宋体" w:hAnsi="宋体" w:eastAsia="宋体" w:cs="宋体"/>
          <w:color w:val="auto"/>
          <w:sz w:val="24"/>
          <w:szCs w:val="24"/>
        </w:rPr>
      </w:pPr>
    </w:p>
    <w:p w14:paraId="0416315F">
      <w:pPr>
        <w:pStyle w:val="10"/>
        <w:spacing w:line="360" w:lineRule="auto"/>
        <w:ind w:firstLine="720" w:firstLineChars="300"/>
        <w:outlineLvl w:val="9"/>
        <w:rPr>
          <w:rFonts w:hint="eastAsia" w:ascii="宋体" w:hAnsi="宋体" w:eastAsia="宋体" w:cs="宋体"/>
          <w:color w:val="auto"/>
          <w:sz w:val="24"/>
          <w:szCs w:val="24"/>
        </w:rPr>
      </w:pPr>
    </w:p>
    <w:p w14:paraId="43DE63DD">
      <w:pPr>
        <w:spacing w:line="360" w:lineRule="auto"/>
        <w:jc w:val="center"/>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t>第四部分   资格证明文件</w:t>
      </w:r>
    </w:p>
    <w:p w14:paraId="4D1D2382">
      <w:pPr>
        <w:pStyle w:val="16"/>
        <w:wordWrap w:val="0"/>
        <w:spacing w:before="0" w:beforeAutospacing="0" w:after="0" w:afterAutospacing="0" w:line="360" w:lineRule="auto"/>
        <w:ind w:firstLine="120" w:firstLineChars="200"/>
        <w:jc w:val="both"/>
        <w:outlineLvl w:val="9"/>
        <w:rPr>
          <w:rFonts w:hint="eastAsia" w:ascii="宋体" w:hAnsi="宋体" w:eastAsia="宋体" w:cs="宋体"/>
          <w:color w:val="auto"/>
          <w:sz w:val="6"/>
          <w:szCs w:val="6"/>
          <w:shd w:val="clear" w:color="auto" w:fill="FFFFFF"/>
        </w:rPr>
      </w:pPr>
    </w:p>
    <w:p w14:paraId="114520D4">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ascii="宋体" w:hAnsi="宋体" w:eastAsia="宋体" w:cs="宋体"/>
          <w:i w:val="0"/>
          <w:iCs w:val="0"/>
          <w:caps w:val="0"/>
          <w:color w:val="auto"/>
          <w:spacing w:val="0"/>
          <w:sz w:val="24"/>
          <w:szCs w:val="24"/>
          <w:shd w:val="clear" w:fill="FFFFFF"/>
        </w:rPr>
        <w:t>具有独立承担民事责任能力的法人或其他组织，提供合法有效的统一社会信用代码的营业执照（附年度报告书）或事业单位法人证书等国家规定的相关证明，自然人参与的提供其身份证明；</w:t>
      </w:r>
    </w:p>
    <w:p w14:paraId="40774E28">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Chars="200" w:right="0" w:rightChars="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（2）法定代表人</w:t>
      </w:r>
      <w:r>
        <w:rPr>
          <w:rFonts w:hint="eastAsia" w:ascii="宋体" w:hAnsi="宋体" w:eastAsia="宋体" w:cs="宋体"/>
          <w:i w:val="0"/>
          <w:iCs w:val="0"/>
          <w:caps w:val="0"/>
          <w:color w:val="auto"/>
          <w:spacing w:val="0"/>
          <w:sz w:val="24"/>
          <w:szCs w:val="24"/>
          <w:shd w:val="clear" w:fill="FFFFFF"/>
          <w:lang w:val="en-US" w:eastAsia="zh-CN"/>
        </w:rPr>
        <w:t>/负责人</w:t>
      </w:r>
      <w:r>
        <w:rPr>
          <w:rFonts w:hint="eastAsia" w:ascii="宋体" w:hAnsi="宋体" w:eastAsia="宋体" w:cs="宋体"/>
          <w:i w:val="0"/>
          <w:iCs w:val="0"/>
          <w:caps w:val="0"/>
          <w:color w:val="auto"/>
          <w:spacing w:val="0"/>
          <w:sz w:val="24"/>
          <w:szCs w:val="24"/>
          <w:shd w:val="clear" w:fill="FFFFFF"/>
        </w:rPr>
        <w:t>授权书（附法定代表人</w:t>
      </w:r>
      <w:r>
        <w:rPr>
          <w:rFonts w:hint="eastAsia" w:ascii="宋体" w:hAnsi="宋体" w:eastAsia="宋体" w:cs="宋体"/>
          <w:i w:val="0"/>
          <w:iCs w:val="0"/>
          <w:caps w:val="0"/>
          <w:color w:val="auto"/>
          <w:spacing w:val="0"/>
          <w:sz w:val="24"/>
          <w:szCs w:val="24"/>
          <w:shd w:val="clear" w:fill="FFFFFF"/>
          <w:lang w:val="en-US" w:eastAsia="zh-CN"/>
        </w:rPr>
        <w:t>/负责人</w:t>
      </w:r>
      <w:r>
        <w:rPr>
          <w:rFonts w:hint="eastAsia" w:ascii="宋体" w:hAnsi="宋体" w:eastAsia="宋体" w:cs="宋体"/>
          <w:i w:val="0"/>
          <w:iCs w:val="0"/>
          <w:caps w:val="0"/>
          <w:color w:val="auto"/>
          <w:spacing w:val="0"/>
          <w:sz w:val="24"/>
          <w:szCs w:val="24"/>
          <w:shd w:val="clear" w:fill="FFFFFF"/>
        </w:rPr>
        <w:t>身份证复印件）及被授权人身份证（法定代表人</w:t>
      </w:r>
      <w:r>
        <w:rPr>
          <w:rFonts w:hint="eastAsia" w:ascii="宋体" w:hAnsi="宋体" w:eastAsia="宋体" w:cs="宋体"/>
          <w:i w:val="0"/>
          <w:iCs w:val="0"/>
          <w:caps w:val="0"/>
          <w:color w:val="auto"/>
          <w:spacing w:val="0"/>
          <w:sz w:val="24"/>
          <w:szCs w:val="24"/>
          <w:shd w:val="clear" w:fill="FFFFFF"/>
          <w:lang w:val="en-US" w:eastAsia="zh-CN"/>
        </w:rPr>
        <w:t>/负责人</w:t>
      </w:r>
      <w:r>
        <w:rPr>
          <w:rFonts w:hint="eastAsia" w:ascii="宋体" w:hAnsi="宋体" w:eastAsia="宋体" w:cs="宋体"/>
          <w:i w:val="0"/>
          <w:iCs w:val="0"/>
          <w:caps w:val="0"/>
          <w:color w:val="auto"/>
          <w:spacing w:val="0"/>
          <w:sz w:val="24"/>
          <w:szCs w:val="24"/>
          <w:shd w:val="clear" w:fill="FFFFFF"/>
        </w:rPr>
        <w:t>直接参加只须提供法定代表人</w:t>
      </w:r>
      <w:r>
        <w:rPr>
          <w:rFonts w:hint="eastAsia" w:ascii="宋体" w:hAnsi="宋体" w:eastAsia="宋体" w:cs="宋体"/>
          <w:i w:val="0"/>
          <w:iCs w:val="0"/>
          <w:caps w:val="0"/>
          <w:color w:val="auto"/>
          <w:spacing w:val="0"/>
          <w:sz w:val="24"/>
          <w:szCs w:val="24"/>
          <w:shd w:val="clear" w:fill="FFFFFF"/>
          <w:lang w:val="en-US" w:eastAsia="zh-CN"/>
        </w:rPr>
        <w:t>/负责人</w:t>
      </w:r>
      <w:r>
        <w:rPr>
          <w:rFonts w:hint="eastAsia" w:ascii="宋体" w:hAnsi="宋体" w:eastAsia="宋体" w:cs="宋体"/>
          <w:i w:val="0"/>
          <w:iCs w:val="0"/>
          <w:caps w:val="0"/>
          <w:color w:val="auto"/>
          <w:spacing w:val="0"/>
          <w:sz w:val="24"/>
          <w:szCs w:val="24"/>
          <w:shd w:val="clear" w:fill="FFFFFF"/>
        </w:rPr>
        <w:t>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（3）财务状况报告：提供2025年度的财务审计报告(成立时间至提交投标文件截止时间不足一年的可提供成立后任意时段的资产负债表),或其基本存款账户开户银行出具的资信证明及基本存款账户开户信息；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（4）社会保障资金缴纳证明：提供2025年0</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月份至2026年0</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月份任意一个月份的社会保障资金缴存证明或社保机构开具的社会保险参保缴费情况证明；依法不需要缴纳社会保障资金的应提供相关文件证明；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（5）税收缴纳证明：提供已缴纳的2025年0</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月份至2026年0</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rPr>
        <w:t>月份任意一个月份的缴税凭证；依法免税的投标人应提供相关文件证明；</w:t>
      </w:r>
    </w:p>
    <w:p w14:paraId="0F663144">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Chars="200" w:right="0" w:rightChars="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投标人须具有履行合同所必需的设备和专业技术能力，提供相关证明材料或承诺函。</w:t>
      </w:r>
    </w:p>
    <w:p w14:paraId="5A9D0A52">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Chars="200" w:right="0" w:rightChars="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投标人须持有合法有效的《中华人民共和国增值电信业务经营许可证》，经营业务种类明确包含国内呼叫中心业务，业务经营覆盖范围包含陕西省行政区域。</w:t>
      </w:r>
    </w:p>
    <w:p w14:paraId="24E9F6DD">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Chars="200" w:right="0" w:rightChars="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rPr>
        <w:t>）信用记录：提供《投标人信用记录书面声明函》（按格式填写）</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经查投标人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p>
    <w:p w14:paraId="01C2D746">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Chars="200" w:right="0" w:rightChars="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rPr>
        <w:t>）本项目不接受联合体投标，投标单位须提供非联合体投标声明函（按格式填写）。</w:t>
      </w:r>
    </w:p>
    <w:p w14:paraId="6D68AC9C">
      <w:pPr>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br w:type="page"/>
      </w:r>
    </w:p>
    <w:p w14:paraId="4331E5F2">
      <w:pPr>
        <w:spacing w:line="500" w:lineRule="atLeast"/>
        <w:jc w:val="left"/>
        <w:outlineLvl w:val="9"/>
        <w:rPr>
          <w:rFonts w:hint="eastAsia" w:ascii="宋体" w:hAnsi="宋体" w:eastAsia="宋体" w:cs="宋体"/>
          <w:bCs/>
          <w:color w:val="auto"/>
          <w:sz w:val="24"/>
          <w:lang w:eastAsia="zh-CN"/>
        </w:rPr>
      </w:pPr>
      <w:r>
        <w:rPr>
          <w:rFonts w:hint="eastAsia" w:ascii="宋体" w:hAnsi="宋体" w:eastAsia="宋体" w:cs="宋体"/>
          <w:b/>
          <w:bCs/>
          <w:color w:val="auto"/>
          <w:kern w:val="0"/>
          <w:sz w:val="24"/>
          <w:szCs w:val="24"/>
        </w:rPr>
        <w:t>附件1</w:t>
      </w:r>
      <w:r>
        <w:rPr>
          <w:rFonts w:hint="eastAsia" w:ascii="宋体" w:hAnsi="宋体" w:eastAsia="宋体" w:cs="宋体"/>
          <w:b/>
          <w:bCs/>
          <w:color w:val="auto"/>
          <w:kern w:val="0"/>
          <w:sz w:val="24"/>
          <w:szCs w:val="24"/>
          <w:lang w:eastAsia="zh-CN"/>
        </w:rPr>
        <w:t>：</w:t>
      </w:r>
    </w:p>
    <w:p w14:paraId="2EFD6524">
      <w:pPr>
        <w:pStyle w:val="8"/>
        <w:spacing w:before="97" w:line="360" w:lineRule="auto"/>
        <w:ind w:left="2734"/>
        <w:outlineLvl w:val="9"/>
        <w:rPr>
          <w:rFonts w:hint="eastAsia" w:ascii="宋体" w:hAnsi="宋体" w:eastAsia="宋体" w:cs="宋体"/>
          <w:color w:val="auto"/>
          <w:sz w:val="28"/>
          <w:szCs w:val="28"/>
        </w:rPr>
      </w:pPr>
      <w:r>
        <w:rPr>
          <w:rFonts w:hint="eastAsia" w:ascii="宋体" w:hAnsi="宋体" w:eastAsia="宋体" w:cs="宋体"/>
          <w:b/>
          <w:bCs/>
          <w:color w:val="auto"/>
          <w:sz w:val="28"/>
          <w:szCs w:val="28"/>
        </w:rPr>
        <w:t>投标人信用记录书面声明函</w:t>
      </w:r>
    </w:p>
    <w:p w14:paraId="12B85BCE">
      <w:pPr>
        <w:pStyle w:val="8"/>
        <w:spacing w:before="191" w:line="360" w:lineRule="auto"/>
        <w:ind w:left="17"/>
        <w:outlineLvl w:val="9"/>
        <w:rPr>
          <w:rFonts w:hint="eastAsia" w:ascii="宋体" w:hAnsi="宋体" w:eastAsia="宋体" w:cs="宋体"/>
          <w:color w:val="auto"/>
        </w:rPr>
      </w:pPr>
      <w:r>
        <w:rPr>
          <w:rFonts w:hint="eastAsia" w:ascii="宋体" w:hAnsi="宋体" w:eastAsia="宋体" w:cs="宋体"/>
          <w:color w:val="auto"/>
          <w:lang w:eastAsia="zh-CN"/>
        </w:rPr>
        <w:t>陕西宏扬项目管理有限公司</w:t>
      </w:r>
      <w:r>
        <w:rPr>
          <w:rFonts w:hint="eastAsia" w:ascii="宋体" w:hAnsi="宋体" w:eastAsia="宋体" w:cs="宋体"/>
          <w:color w:val="auto"/>
        </w:rPr>
        <w:t>：</w:t>
      </w:r>
    </w:p>
    <w:p w14:paraId="4AFE04D7">
      <w:pPr>
        <w:pStyle w:val="8"/>
        <w:spacing w:before="127" w:line="360" w:lineRule="auto"/>
        <w:ind w:left="27" w:right="147" w:firstLine="571"/>
        <w:outlineLvl w:val="9"/>
        <w:rPr>
          <w:rFonts w:hint="eastAsia" w:ascii="宋体" w:hAnsi="宋体" w:eastAsia="宋体" w:cs="宋体"/>
          <w:color w:val="auto"/>
        </w:rPr>
      </w:pPr>
      <w:r>
        <w:rPr>
          <w:rFonts w:hint="eastAsia" w:ascii="宋体" w:hAnsi="宋体" w:eastAsia="宋体" w:cs="宋体"/>
          <w:color w:val="auto"/>
        </w:rPr>
        <w:t>我方作为《</w:t>
      </w:r>
      <w:r>
        <w:rPr>
          <w:rFonts w:hint="eastAsia" w:ascii="宋体" w:hAnsi="宋体" w:eastAsia="宋体" w:cs="宋体"/>
          <w:color w:val="auto"/>
          <w:u w:val="single"/>
        </w:rPr>
        <w:t xml:space="preserve"> 项目名称 </w:t>
      </w:r>
      <w:r>
        <w:rPr>
          <w:rFonts w:hint="eastAsia" w:ascii="宋体" w:hAnsi="宋体" w:eastAsia="宋体" w:cs="宋体"/>
          <w:color w:val="auto"/>
        </w:rPr>
        <w:t>》（项目编号：</w:t>
      </w:r>
      <w:r>
        <w:rPr>
          <w:rFonts w:hint="eastAsia" w:ascii="宋体" w:hAnsi="宋体" w:eastAsia="宋体" w:cs="宋体"/>
          <w:color w:val="auto"/>
          <w:u w:val="single"/>
        </w:rPr>
        <w:t xml:space="preserve">    </w:t>
      </w:r>
      <w:r>
        <w:rPr>
          <w:rFonts w:hint="eastAsia" w:ascii="宋体" w:hAnsi="宋体" w:eastAsia="宋体" w:cs="宋体"/>
          <w:color w:val="auto"/>
        </w:rPr>
        <w:t>）的供应商，在此郑重声明：</w:t>
      </w:r>
    </w:p>
    <w:p w14:paraId="19C9AEE4">
      <w:pPr>
        <w:pStyle w:val="8"/>
        <w:spacing w:before="65" w:line="360" w:lineRule="auto"/>
        <w:ind w:left="23" w:firstLine="574"/>
        <w:outlineLvl w:val="9"/>
        <w:rPr>
          <w:rFonts w:hint="eastAsia" w:ascii="宋体" w:hAnsi="宋体" w:eastAsia="宋体" w:cs="宋体"/>
          <w:color w:val="auto"/>
        </w:rPr>
      </w:pPr>
      <w:r>
        <w:rPr>
          <w:rFonts w:hint="eastAsia" w:ascii="宋体" w:hAnsi="宋体" w:eastAsia="宋体" w:cs="宋体"/>
          <w:color w:val="auto"/>
        </w:rPr>
        <w:t>1.在参加本次政府采购活动前3年内的经营活动中</w:t>
      </w:r>
      <w:r>
        <w:rPr>
          <w:rFonts w:hint="eastAsia" w:ascii="宋体" w:hAnsi="宋体" w:eastAsia="宋体" w:cs="宋体"/>
          <w:color w:val="auto"/>
          <w:u w:val="single"/>
        </w:rPr>
        <w:t xml:space="preserve">     </w:t>
      </w:r>
      <w:r>
        <w:rPr>
          <w:rFonts w:hint="eastAsia" w:ascii="宋体" w:hAnsi="宋体" w:eastAsia="宋体" w:cs="宋体"/>
          <w:color w:val="auto"/>
        </w:rPr>
        <w:t>（填 “没有”或 “有”）重大违法记录。</w:t>
      </w:r>
      <w:r>
        <w:rPr>
          <w:rFonts w:hint="eastAsia" w:ascii="宋体" w:hAnsi="宋体" w:eastAsia="宋体" w:cs="宋体"/>
          <w:b/>
          <w:bCs/>
          <w:color w:val="auto"/>
        </w:rPr>
        <w:t>供应商在参加政府采购活动前3年内因违法经营被禁止在一定期限内参加政府采购活动，期限届满的，可以参加政府采购活动，但应提供期限届满的证明材料。</w:t>
      </w:r>
    </w:p>
    <w:p w14:paraId="7DA6F8E0">
      <w:pPr>
        <w:pStyle w:val="8"/>
        <w:spacing w:before="54" w:line="360" w:lineRule="auto"/>
        <w:ind w:left="573"/>
        <w:outlineLvl w:val="9"/>
        <w:rPr>
          <w:rFonts w:hint="eastAsia" w:ascii="宋体" w:hAnsi="宋体" w:eastAsia="宋体" w:cs="宋体"/>
          <w:color w:val="auto"/>
        </w:rPr>
      </w:pPr>
      <w:r>
        <w:rPr>
          <w:rFonts w:hint="eastAsia" w:ascii="宋体" w:hAnsi="宋体" w:eastAsia="宋体" w:cs="宋体"/>
          <w:color w:val="auto"/>
        </w:rPr>
        <w:t xml:space="preserve">2.我方 </w:t>
      </w:r>
      <w:r>
        <w:rPr>
          <w:rFonts w:hint="eastAsia" w:ascii="宋体" w:hAnsi="宋体" w:eastAsia="宋体" w:cs="宋体"/>
          <w:color w:val="auto"/>
          <w:u w:val="single"/>
        </w:rPr>
        <w:t xml:space="preserve">      </w:t>
      </w:r>
      <w:r>
        <w:rPr>
          <w:rFonts w:hint="eastAsia" w:ascii="宋体" w:hAnsi="宋体" w:eastAsia="宋体" w:cs="宋体"/>
          <w:color w:val="auto"/>
        </w:rPr>
        <w:t>（填“未被列入”或“被列入”）失信被执行人名单。</w:t>
      </w:r>
    </w:p>
    <w:p w14:paraId="4D3C9DEE">
      <w:pPr>
        <w:pStyle w:val="8"/>
        <w:spacing w:before="85" w:line="360" w:lineRule="auto"/>
        <w:ind w:left="11" w:right="147" w:firstLine="569"/>
        <w:outlineLvl w:val="9"/>
        <w:rPr>
          <w:rFonts w:hint="eastAsia" w:ascii="宋体" w:hAnsi="宋体" w:eastAsia="宋体" w:cs="宋体"/>
          <w:color w:val="auto"/>
        </w:rPr>
      </w:pPr>
      <w:r>
        <w:rPr>
          <w:rFonts w:hint="eastAsia" w:ascii="宋体" w:hAnsi="宋体" w:eastAsia="宋体" w:cs="宋体"/>
          <w:color w:val="auto"/>
        </w:rPr>
        <w:t xml:space="preserve">3.我方 </w:t>
      </w:r>
      <w:r>
        <w:rPr>
          <w:rFonts w:hint="eastAsia" w:ascii="宋体" w:hAnsi="宋体" w:eastAsia="宋体" w:cs="宋体"/>
          <w:color w:val="auto"/>
          <w:u w:val="single"/>
        </w:rPr>
        <w:t xml:space="preserve">      </w:t>
      </w:r>
      <w:r>
        <w:rPr>
          <w:rFonts w:hint="eastAsia" w:ascii="宋体" w:hAnsi="宋体" w:eastAsia="宋体" w:cs="宋体"/>
          <w:color w:val="auto"/>
        </w:rPr>
        <w:t>（填“未被列入”或“被列入”）重大税收违法失信主体名单。</w:t>
      </w:r>
    </w:p>
    <w:p w14:paraId="18FF2B23">
      <w:pPr>
        <w:pStyle w:val="8"/>
        <w:spacing w:before="53" w:line="360" w:lineRule="auto"/>
        <w:ind w:left="15" w:right="147" w:firstLine="560"/>
        <w:outlineLvl w:val="9"/>
        <w:rPr>
          <w:rFonts w:hint="eastAsia" w:ascii="宋体" w:hAnsi="宋体" w:eastAsia="宋体" w:cs="宋体"/>
          <w:color w:val="auto"/>
        </w:rPr>
      </w:pPr>
      <w:r>
        <w:rPr>
          <w:rFonts w:hint="eastAsia" w:ascii="宋体" w:hAnsi="宋体" w:eastAsia="宋体" w:cs="宋体"/>
          <w:color w:val="auto"/>
        </w:rPr>
        <w:t xml:space="preserve">4.我方 </w:t>
      </w:r>
      <w:r>
        <w:rPr>
          <w:rFonts w:hint="eastAsia" w:ascii="宋体" w:hAnsi="宋体" w:eastAsia="宋体" w:cs="宋体"/>
          <w:color w:val="auto"/>
          <w:u w:val="single"/>
        </w:rPr>
        <w:t xml:space="preserve">      </w:t>
      </w:r>
      <w:r>
        <w:rPr>
          <w:rFonts w:hint="eastAsia" w:ascii="宋体" w:hAnsi="宋体" w:eastAsia="宋体" w:cs="宋体"/>
          <w:color w:val="auto"/>
        </w:rPr>
        <w:t>（填“未被列入”或“被列入”）政府采购严重违法失信行为记录名单。</w:t>
      </w:r>
    </w:p>
    <w:p w14:paraId="3982A088">
      <w:pPr>
        <w:pStyle w:val="8"/>
        <w:spacing w:before="115" w:line="360" w:lineRule="auto"/>
        <w:ind w:left="23" w:right="140" w:firstLine="561"/>
        <w:outlineLvl w:val="9"/>
        <w:rPr>
          <w:rFonts w:hint="eastAsia" w:ascii="宋体" w:hAnsi="宋体" w:eastAsia="宋体" w:cs="宋体"/>
          <w:color w:val="auto"/>
        </w:rPr>
      </w:pPr>
      <w:r>
        <w:rPr>
          <w:rFonts w:hint="eastAsia" w:ascii="宋体" w:hAnsi="宋体" w:eastAsia="宋体" w:cs="宋体"/>
          <w:color w:val="auto"/>
        </w:rPr>
        <w:t>如有不实，我方将无条件地退出本项目的采购活动，并遵照《政府采购法》有关“提供虚假材料的规定”接受处罚。</w:t>
      </w:r>
    </w:p>
    <w:p w14:paraId="7AFAACBF">
      <w:pPr>
        <w:pStyle w:val="8"/>
        <w:spacing w:before="50" w:line="360" w:lineRule="auto"/>
        <w:ind w:left="585"/>
        <w:outlineLvl w:val="9"/>
        <w:rPr>
          <w:rFonts w:hint="eastAsia" w:ascii="宋体" w:hAnsi="宋体" w:eastAsia="宋体" w:cs="宋体"/>
          <w:color w:val="auto"/>
        </w:rPr>
      </w:pPr>
      <w:r>
        <w:rPr>
          <w:rFonts w:hint="eastAsia" w:ascii="宋体" w:hAnsi="宋体" w:eastAsia="宋体" w:cs="宋体"/>
          <w:color w:val="auto"/>
        </w:rPr>
        <w:t>特此声明。</w:t>
      </w:r>
    </w:p>
    <w:p w14:paraId="5ED1D63F">
      <w:pPr>
        <w:pStyle w:val="8"/>
        <w:spacing w:before="108" w:line="360" w:lineRule="auto"/>
        <w:ind w:left="4845"/>
        <w:outlineLvl w:val="9"/>
        <w:rPr>
          <w:rFonts w:hint="eastAsia" w:ascii="宋体" w:hAnsi="宋体" w:eastAsia="宋体" w:cs="宋体"/>
          <w:color w:val="auto"/>
        </w:rPr>
      </w:pPr>
      <w:r>
        <w:rPr>
          <w:rFonts w:hint="eastAsia" w:ascii="宋体" w:hAnsi="宋体" w:eastAsia="宋体" w:cs="宋体"/>
          <w:color w:val="auto"/>
        </w:rPr>
        <w:t>投标人：</w:t>
      </w:r>
      <w:r>
        <w:rPr>
          <w:rFonts w:hint="eastAsia" w:ascii="宋体" w:hAnsi="宋体" w:eastAsia="宋体" w:cs="宋体"/>
          <w:color w:val="auto"/>
          <w:u w:val="single"/>
        </w:rPr>
        <w:t xml:space="preserve"> 名称 </w:t>
      </w:r>
      <w:r>
        <w:rPr>
          <w:rFonts w:hint="eastAsia" w:ascii="宋体" w:hAnsi="宋体" w:eastAsia="宋体" w:cs="宋体"/>
          <w:color w:val="auto"/>
        </w:rPr>
        <w:t>（加盖公章）</w:t>
      </w:r>
    </w:p>
    <w:p w14:paraId="37F39367">
      <w:pPr>
        <w:pStyle w:val="8"/>
        <w:spacing w:before="138" w:line="360" w:lineRule="auto"/>
        <w:ind w:left="4903"/>
        <w:outlineLvl w:val="9"/>
        <w:rPr>
          <w:rFonts w:hint="eastAsia" w:ascii="宋体" w:hAnsi="宋体" w:eastAsia="宋体" w:cs="宋体"/>
          <w:color w:val="auto"/>
        </w:rPr>
      </w:pPr>
      <w:r>
        <w:rPr>
          <w:rFonts w:hint="eastAsia" w:ascii="宋体" w:hAnsi="宋体" w:eastAsia="宋体" w:cs="宋体"/>
          <w:color w:val="auto"/>
        </w:rPr>
        <w:t>日  期：    年  月  日</w:t>
      </w:r>
    </w:p>
    <w:p w14:paraId="1328C5B5">
      <w:pPr>
        <w:spacing w:line="360" w:lineRule="auto"/>
        <w:outlineLvl w:val="9"/>
        <w:rPr>
          <w:rFonts w:hint="eastAsia" w:ascii="宋体" w:hAnsi="宋体" w:eastAsia="宋体" w:cs="宋体"/>
          <w:color w:val="auto"/>
          <w:sz w:val="24"/>
        </w:rPr>
      </w:pPr>
    </w:p>
    <w:p w14:paraId="18A21F90">
      <w:pPr>
        <w:spacing w:line="360" w:lineRule="auto"/>
        <w:outlineLvl w:val="9"/>
        <w:rPr>
          <w:rFonts w:hint="eastAsia" w:ascii="宋体" w:hAnsi="宋体" w:eastAsia="宋体" w:cs="宋体"/>
          <w:color w:val="auto"/>
          <w:sz w:val="24"/>
        </w:rPr>
      </w:pPr>
    </w:p>
    <w:p w14:paraId="1C4B8D1D">
      <w:pPr>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5D780916">
      <w:pPr>
        <w:spacing w:line="360" w:lineRule="auto"/>
        <w:outlineLvl w:val="9"/>
        <w:rPr>
          <w:rFonts w:hint="eastAsia" w:ascii="宋体" w:hAnsi="宋体" w:eastAsia="宋体" w:cs="宋体"/>
          <w:b/>
          <w:color w:val="auto"/>
          <w:sz w:val="24"/>
        </w:rPr>
      </w:pPr>
      <w:r>
        <w:rPr>
          <w:rFonts w:hint="eastAsia" w:ascii="宋体" w:hAnsi="宋体" w:eastAsia="宋体" w:cs="宋体"/>
          <w:b/>
          <w:color w:val="auto"/>
          <w:sz w:val="24"/>
        </w:rPr>
        <w:t>附件2：</w:t>
      </w:r>
    </w:p>
    <w:p w14:paraId="08AC19A0">
      <w:pPr>
        <w:spacing w:line="360" w:lineRule="auto"/>
        <w:jc w:val="center"/>
        <w:outlineLvl w:val="9"/>
        <w:rPr>
          <w:rFonts w:hint="eastAsia" w:ascii="宋体" w:hAnsi="宋体" w:eastAsia="宋体" w:cs="宋体"/>
          <w:b/>
          <w:color w:val="auto"/>
          <w:sz w:val="44"/>
          <w:szCs w:val="44"/>
          <w:lang w:val="en-US" w:eastAsia="zh-CN"/>
        </w:rPr>
      </w:pPr>
      <w:r>
        <w:rPr>
          <w:rFonts w:hint="eastAsia" w:ascii="宋体" w:hAnsi="宋体" w:eastAsia="宋体" w:cs="宋体"/>
          <w:b/>
          <w:color w:val="auto"/>
          <w:sz w:val="24"/>
        </w:rPr>
        <w:t>非联合体投标声明</w:t>
      </w:r>
      <w:r>
        <w:rPr>
          <w:rFonts w:hint="eastAsia" w:ascii="宋体" w:hAnsi="宋体" w:eastAsia="宋体" w:cs="宋体"/>
          <w:b/>
          <w:color w:val="auto"/>
          <w:sz w:val="24"/>
          <w:lang w:val="en-US" w:eastAsia="zh-CN"/>
        </w:rPr>
        <w:t>函</w:t>
      </w:r>
    </w:p>
    <w:p w14:paraId="17DEED90">
      <w:pPr>
        <w:spacing w:line="360" w:lineRule="auto"/>
        <w:jc w:val="left"/>
        <w:outlineLvl w:val="9"/>
        <w:rPr>
          <w:rFonts w:hint="eastAsia" w:ascii="宋体" w:hAnsi="宋体" w:eastAsia="宋体" w:cs="宋体"/>
          <w:color w:val="auto"/>
          <w:sz w:val="24"/>
        </w:rPr>
      </w:pPr>
    </w:p>
    <w:p w14:paraId="77EC401A">
      <w:pPr>
        <w:spacing w:line="360" w:lineRule="auto"/>
        <w:jc w:val="left"/>
        <w:outlineLvl w:val="9"/>
        <w:rPr>
          <w:rFonts w:hint="eastAsia" w:ascii="宋体" w:hAnsi="宋体" w:eastAsia="宋体" w:cs="宋体"/>
          <w:color w:val="auto"/>
          <w:sz w:val="24"/>
          <w:u w:val="single"/>
        </w:rPr>
      </w:pPr>
      <w:r>
        <w:rPr>
          <w:rFonts w:hint="eastAsia" w:ascii="宋体" w:hAnsi="宋体" w:eastAsia="宋体" w:cs="宋体"/>
          <w:color w:val="auto"/>
          <w:sz w:val="24"/>
        </w:rPr>
        <w:t>致：</w:t>
      </w:r>
      <w:r>
        <w:rPr>
          <w:rFonts w:hint="eastAsia" w:ascii="宋体" w:hAnsi="宋体" w:eastAsia="宋体" w:cs="宋体"/>
          <w:color w:val="auto"/>
          <w:sz w:val="24"/>
          <w:u w:val="single"/>
        </w:rPr>
        <w:t xml:space="preserve">                    （招标人名称）</w:t>
      </w:r>
    </w:p>
    <w:p w14:paraId="03720300">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我公司收到贵单位（项目名称：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）的招标文件，经详细研究，我们决定参加该项目的招标活动。为此，我方郑重声明以下内容，并负法律责任。</w:t>
      </w:r>
    </w:p>
    <w:p w14:paraId="6D0729F7">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1.本项目我公司以自己的名义参加投标，不存在联合体投标的情况。</w:t>
      </w:r>
    </w:p>
    <w:p w14:paraId="70480F4D">
      <w:pPr>
        <w:pStyle w:val="16"/>
        <w:spacing w:before="0" w:beforeAutospacing="0" w:after="0" w:afterAutospacing="0"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2.我公司愿按《中华人民共和国民法典》履行自己的全部责任。</w:t>
      </w:r>
    </w:p>
    <w:p w14:paraId="12EA54F0">
      <w:pPr>
        <w:pStyle w:val="16"/>
        <w:spacing w:before="0" w:beforeAutospacing="0" w:after="0" w:afterAutospacing="0" w:line="360" w:lineRule="auto"/>
        <w:ind w:firstLine="480" w:firstLineChars="200"/>
        <w:outlineLvl w:val="9"/>
        <w:rPr>
          <w:rFonts w:hint="eastAsia" w:ascii="宋体" w:hAnsi="宋体" w:eastAsia="宋体" w:cs="宋体"/>
          <w:color w:val="auto"/>
          <w:szCs w:val="24"/>
        </w:rPr>
      </w:pPr>
      <w:r>
        <w:rPr>
          <w:rFonts w:hint="eastAsia" w:ascii="宋体" w:hAnsi="宋体" w:eastAsia="宋体" w:cs="宋体"/>
          <w:color w:val="auto"/>
          <w:szCs w:val="24"/>
        </w:rPr>
        <w:t>特此声明。</w:t>
      </w:r>
    </w:p>
    <w:p w14:paraId="71FBA6A3">
      <w:pPr>
        <w:pStyle w:val="16"/>
        <w:spacing w:before="0" w:beforeAutospacing="0" w:after="0" w:afterAutospacing="0" w:line="360" w:lineRule="auto"/>
        <w:ind w:firstLine="480" w:firstLineChars="200"/>
        <w:outlineLvl w:val="9"/>
        <w:rPr>
          <w:rFonts w:hint="eastAsia" w:ascii="宋体" w:hAnsi="宋体" w:eastAsia="宋体" w:cs="宋体"/>
          <w:color w:val="auto"/>
        </w:rPr>
      </w:pPr>
    </w:p>
    <w:p w14:paraId="7382E0AE">
      <w:pPr>
        <w:pStyle w:val="14"/>
        <w:outlineLvl w:val="9"/>
        <w:rPr>
          <w:rFonts w:hint="eastAsia" w:ascii="宋体" w:hAnsi="宋体" w:eastAsia="宋体" w:cs="宋体"/>
          <w:color w:val="auto"/>
        </w:rPr>
      </w:pPr>
    </w:p>
    <w:p w14:paraId="4B3A6F64">
      <w:pPr>
        <w:pStyle w:val="14"/>
        <w:outlineLvl w:val="9"/>
        <w:rPr>
          <w:rFonts w:hint="eastAsia" w:ascii="宋体" w:hAnsi="宋体" w:eastAsia="宋体" w:cs="宋体"/>
          <w:color w:val="auto"/>
        </w:rPr>
      </w:pPr>
    </w:p>
    <w:p w14:paraId="7D9C2A60">
      <w:pPr>
        <w:pStyle w:val="14"/>
        <w:outlineLvl w:val="9"/>
        <w:rPr>
          <w:rFonts w:hint="eastAsia" w:ascii="宋体" w:hAnsi="宋体" w:eastAsia="宋体" w:cs="宋体"/>
          <w:color w:val="auto"/>
        </w:rPr>
      </w:pPr>
    </w:p>
    <w:p w14:paraId="0C93A64F">
      <w:pPr>
        <w:pStyle w:val="14"/>
        <w:outlineLvl w:val="9"/>
        <w:rPr>
          <w:rFonts w:hint="eastAsia" w:ascii="宋体" w:hAnsi="宋体" w:eastAsia="宋体" w:cs="宋体"/>
          <w:color w:val="auto"/>
        </w:rPr>
      </w:pPr>
    </w:p>
    <w:p w14:paraId="52DD07DD">
      <w:pPr>
        <w:pStyle w:val="14"/>
        <w:outlineLvl w:val="9"/>
        <w:rPr>
          <w:rFonts w:hint="eastAsia" w:ascii="宋体" w:hAnsi="宋体" w:eastAsia="宋体" w:cs="宋体"/>
          <w:color w:val="auto"/>
        </w:rPr>
      </w:pPr>
    </w:p>
    <w:p w14:paraId="64742A21">
      <w:pPr>
        <w:spacing w:line="360" w:lineRule="auto"/>
        <w:ind w:firstLine="480" w:firstLineChars="200"/>
        <w:jc w:val="left"/>
        <w:outlineLvl w:val="9"/>
        <w:rPr>
          <w:rFonts w:hint="eastAsia" w:ascii="宋体" w:hAnsi="宋体" w:eastAsia="宋体" w:cs="宋体"/>
          <w:bCs/>
          <w:color w:val="auto"/>
          <w:sz w:val="24"/>
        </w:rPr>
      </w:pPr>
      <w:r>
        <w:rPr>
          <w:rFonts w:hint="eastAsia" w:ascii="宋体" w:hAnsi="宋体" w:eastAsia="宋体" w:cs="宋体"/>
          <w:bCs/>
          <w:color w:val="auto"/>
          <w:sz w:val="24"/>
        </w:rPr>
        <w:t>投标人：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（盖章）                                </w:t>
      </w:r>
    </w:p>
    <w:p w14:paraId="47F9C046">
      <w:pPr>
        <w:spacing w:line="360" w:lineRule="auto"/>
        <w:ind w:firstLine="480" w:firstLineChars="200"/>
        <w:jc w:val="left"/>
        <w:outlineLvl w:val="9"/>
        <w:rPr>
          <w:rFonts w:hint="eastAsia" w:ascii="宋体" w:hAnsi="宋体" w:eastAsia="宋体" w:cs="宋体"/>
          <w:bCs/>
          <w:color w:val="auto"/>
          <w:sz w:val="24"/>
        </w:rPr>
      </w:pPr>
      <w:r>
        <w:rPr>
          <w:rFonts w:hint="eastAsia" w:ascii="宋体" w:hAnsi="宋体" w:eastAsia="宋体" w:cs="宋体"/>
          <w:bCs/>
          <w:color w:val="auto"/>
          <w:sz w:val="24"/>
        </w:rPr>
        <w:t>法定代表人</w:t>
      </w:r>
      <w:r>
        <w:rPr>
          <w:rFonts w:hint="eastAsia" w:ascii="宋体" w:hAnsi="宋体" w:cs="宋体"/>
          <w:bCs/>
          <w:color w:val="auto"/>
          <w:sz w:val="24"/>
          <w:lang w:val="en-US" w:eastAsia="zh-CN"/>
        </w:rPr>
        <w:t>/负责人</w:t>
      </w:r>
      <w:r>
        <w:rPr>
          <w:rFonts w:hint="eastAsia" w:ascii="宋体" w:hAnsi="宋体" w:eastAsia="宋体" w:cs="宋体"/>
          <w:bCs/>
          <w:color w:val="auto"/>
          <w:sz w:val="24"/>
        </w:rPr>
        <w:t>：</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（签字或印鉴）</w:t>
      </w:r>
    </w:p>
    <w:p w14:paraId="45D025F9">
      <w:pPr>
        <w:spacing w:line="360" w:lineRule="auto"/>
        <w:ind w:firstLine="480" w:firstLineChars="200"/>
        <w:jc w:val="left"/>
        <w:outlineLvl w:val="9"/>
        <w:rPr>
          <w:rFonts w:hint="eastAsia" w:ascii="宋体" w:hAnsi="宋体" w:eastAsia="宋体" w:cs="宋体"/>
          <w:bCs/>
          <w:color w:val="auto"/>
          <w:sz w:val="24"/>
        </w:rPr>
      </w:pPr>
      <w:r>
        <w:rPr>
          <w:rFonts w:hint="eastAsia" w:ascii="宋体" w:hAnsi="宋体" w:eastAsia="宋体" w:cs="宋体"/>
          <w:bCs/>
          <w:color w:val="auto"/>
          <w:sz w:val="24"/>
        </w:rPr>
        <w:t>委托代理人：</w:t>
      </w:r>
      <w:r>
        <w:rPr>
          <w:rFonts w:hint="eastAsia" w:ascii="宋体" w:hAnsi="宋体" w:eastAsia="宋体" w:cs="宋体"/>
          <w:bCs/>
          <w:color w:val="auto"/>
          <w:sz w:val="24"/>
          <w:u w:val="single"/>
        </w:rPr>
        <w:t xml:space="preserve">            </w:t>
      </w:r>
      <w:r>
        <w:rPr>
          <w:rFonts w:hint="eastAsia" w:ascii="宋体" w:hAnsi="宋体" w:cs="宋体"/>
          <w:bCs/>
          <w:color w:val="auto"/>
          <w:sz w:val="24"/>
          <w:u w:val="single"/>
          <w:lang w:val="en-US" w:eastAsia="zh-CN"/>
        </w:rPr>
        <w:t xml:space="preserve">  </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（签字或盖章）  </w:t>
      </w:r>
    </w:p>
    <w:p w14:paraId="3E1A6D99">
      <w:pPr>
        <w:pStyle w:val="9"/>
        <w:autoSpaceDE w:val="0"/>
        <w:autoSpaceDN w:val="0"/>
        <w:adjustRightInd w:val="0"/>
        <w:spacing w:line="460" w:lineRule="exact"/>
        <w:outlineLvl w:val="9"/>
        <w:rPr>
          <w:rFonts w:hint="eastAsia" w:ascii="宋体" w:hAnsi="宋体" w:eastAsia="宋体" w:cs="宋体"/>
          <w:bCs/>
          <w:color w:val="auto"/>
          <w:sz w:val="24"/>
        </w:rPr>
      </w:pPr>
      <w:r>
        <w:rPr>
          <w:rFonts w:hint="eastAsia" w:ascii="宋体" w:hAnsi="宋体" w:eastAsia="宋体" w:cs="宋体"/>
          <w:bCs/>
          <w:color w:val="auto"/>
          <w:sz w:val="24"/>
        </w:rPr>
        <w:t>日    期：</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日</w:t>
      </w:r>
    </w:p>
    <w:p w14:paraId="714B6C86">
      <w:pPr>
        <w:outlineLvl w:val="9"/>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br w:type="page"/>
      </w:r>
    </w:p>
    <w:p w14:paraId="052D4D3D">
      <w:pPr>
        <w:spacing w:line="500" w:lineRule="atLeast"/>
        <w:jc w:val="left"/>
        <w:outlineLvl w:val="9"/>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附件</w:t>
      </w:r>
      <w:r>
        <w:rPr>
          <w:rFonts w:hint="eastAsia" w:ascii="宋体" w:hAnsi="宋体" w:eastAsia="宋体" w:cs="宋体"/>
          <w:b/>
          <w:bCs/>
          <w:color w:val="auto"/>
          <w:kern w:val="0"/>
          <w:sz w:val="24"/>
          <w:szCs w:val="24"/>
          <w:lang w:val="en-US" w:eastAsia="zh-CN"/>
        </w:rPr>
        <w:t>3</w:t>
      </w:r>
      <w:r>
        <w:rPr>
          <w:rFonts w:hint="eastAsia" w:ascii="宋体" w:hAnsi="宋体" w:eastAsia="宋体" w:cs="宋体"/>
          <w:b/>
          <w:bCs/>
          <w:color w:val="auto"/>
          <w:kern w:val="0"/>
          <w:sz w:val="24"/>
          <w:szCs w:val="24"/>
        </w:rPr>
        <w:t>：</w:t>
      </w:r>
    </w:p>
    <w:p w14:paraId="46A5849D">
      <w:pPr>
        <w:spacing w:line="360" w:lineRule="auto"/>
        <w:ind w:firstLine="557" w:firstLineChars="198"/>
        <w:jc w:val="center"/>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一、中小企业声明函（服务） </w:t>
      </w:r>
    </w:p>
    <w:p w14:paraId="6F3433E4">
      <w:pPr>
        <w:spacing w:line="360" w:lineRule="auto"/>
        <w:ind w:firstLine="475" w:firstLineChars="198"/>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本公司（联合体）郑重声明，根据《政府采购促进中小企业发展管理办法》（财库﹝2020﹞46 号）的规定，本公司 （联合体）参加</w:t>
      </w:r>
      <w:r>
        <w:rPr>
          <w:rFonts w:hint="eastAsia" w:ascii="宋体" w:hAnsi="宋体" w:eastAsia="宋体" w:cs="宋体"/>
          <w:bCs/>
          <w:color w:val="auto"/>
          <w:sz w:val="24"/>
          <w:highlight w:val="none"/>
          <w:u w:val="single"/>
        </w:rPr>
        <w:t>（单位名称）</w:t>
      </w:r>
      <w:r>
        <w:rPr>
          <w:rFonts w:hint="eastAsia" w:ascii="宋体" w:hAnsi="宋体" w:eastAsia="宋体" w:cs="宋体"/>
          <w:bCs/>
          <w:color w:val="auto"/>
          <w:sz w:val="24"/>
          <w:highlight w:val="none"/>
        </w:rPr>
        <w:t>的</w:t>
      </w:r>
      <w:r>
        <w:rPr>
          <w:rFonts w:hint="eastAsia" w:ascii="宋体" w:hAnsi="宋体" w:eastAsia="宋体" w:cs="宋体"/>
          <w:bCs/>
          <w:color w:val="auto"/>
          <w:sz w:val="24"/>
          <w:highlight w:val="none"/>
          <w:u w:val="single"/>
        </w:rPr>
        <w:t>（项目名称）</w:t>
      </w:r>
      <w:r>
        <w:rPr>
          <w:rFonts w:hint="eastAsia" w:ascii="宋体" w:hAnsi="宋体" w:eastAsia="宋体" w:cs="宋体"/>
          <w:bCs/>
          <w:color w:val="auto"/>
          <w:sz w:val="24"/>
          <w:highlight w:val="none"/>
        </w:rPr>
        <w:t>采购活动，服务的单位全部由符合政策要求的中小企业承接。相关企业（含联合体中的中小企业、签订分包意向协议的中小企业）的具体情况如下：</w:t>
      </w:r>
    </w:p>
    <w:p w14:paraId="5A218008">
      <w:pPr>
        <w:numPr>
          <w:ilvl w:val="0"/>
          <w:numId w:val="10"/>
        </w:numPr>
        <w:spacing w:line="360" w:lineRule="auto"/>
        <w:ind w:firstLine="475" w:firstLineChars="198"/>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（标的名称） </w:t>
      </w:r>
      <w:r>
        <w:rPr>
          <w:rFonts w:hint="eastAsia" w:ascii="宋体" w:hAnsi="宋体" w:eastAsia="宋体" w:cs="宋体"/>
          <w:bCs/>
          <w:color w:val="auto"/>
          <w:sz w:val="24"/>
          <w:highlight w:val="none"/>
        </w:rPr>
        <w:t>，属于</w:t>
      </w:r>
      <w:r>
        <w:rPr>
          <w:rFonts w:hint="eastAsia" w:ascii="宋体" w:hAnsi="宋体" w:eastAsia="宋体" w:cs="宋体"/>
          <w:bCs/>
          <w:color w:val="auto"/>
          <w:sz w:val="24"/>
          <w:highlight w:val="none"/>
          <w:u w:val="single"/>
        </w:rPr>
        <w:t>（采购文件中明确的所属行业）</w:t>
      </w:r>
      <w:r>
        <w:rPr>
          <w:rFonts w:hint="eastAsia" w:ascii="宋体" w:hAnsi="宋体" w:eastAsia="宋体" w:cs="宋体"/>
          <w:bCs/>
          <w:color w:val="auto"/>
          <w:sz w:val="24"/>
          <w:highlight w:val="none"/>
        </w:rPr>
        <w:t>； 承建（承接）企业为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p>
    <w:p w14:paraId="6B28B9C2">
      <w:pPr>
        <w:spacing w:line="360" w:lineRule="auto"/>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万元¹，属于【（  ）</w:t>
      </w:r>
      <w:r>
        <w:rPr>
          <w:rFonts w:hint="eastAsia" w:ascii="宋体" w:hAnsi="宋体" w:eastAsia="宋体" w:cs="宋体"/>
          <w:bCs/>
          <w:color w:val="auto"/>
          <w:sz w:val="24"/>
          <w:highlight w:val="none"/>
          <w:u w:val="single"/>
        </w:rPr>
        <w:t>中型企业</w:t>
      </w:r>
      <w:r>
        <w:rPr>
          <w:rFonts w:hint="eastAsia" w:ascii="宋体" w:hAnsi="宋体" w:eastAsia="宋体" w:cs="宋体"/>
          <w:bCs/>
          <w:color w:val="auto"/>
          <w:sz w:val="24"/>
          <w:highlight w:val="none"/>
        </w:rPr>
        <w:t>、（  ）</w:t>
      </w:r>
      <w:r>
        <w:rPr>
          <w:rFonts w:hint="eastAsia" w:ascii="宋体" w:hAnsi="宋体" w:eastAsia="宋体" w:cs="宋体"/>
          <w:bCs/>
          <w:color w:val="auto"/>
          <w:sz w:val="24"/>
          <w:highlight w:val="none"/>
          <w:u w:val="single"/>
        </w:rPr>
        <w:t>小型企业</w:t>
      </w:r>
      <w:r>
        <w:rPr>
          <w:rFonts w:hint="eastAsia" w:ascii="宋体" w:hAnsi="宋体" w:eastAsia="宋体" w:cs="宋体"/>
          <w:bCs/>
          <w:color w:val="auto"/>
          <w:sz w:val="24"/>
          <w:highlight w:val="none"/>
        </w:rPr>
        <w:t>、（  ）</w:t>
      </w:r>
      <w:r>
        <w:rPr>
          <w:rFonts w:hint="eastAsia" w:ascii="宋体" w:hAnsi="宋体" w:eastAsia="宋体" w:cs="宋体"/>
          <w:bCs/>
          <w:color w:val="auto"/>
          <w:sz w:val="24"/>
          <w:highlight w:val="none"/>
          <w:u w:val="single"/>
        </w:rPr>
        <w:t>微型企业</w:t>
      </w:r>
      <w:r>
        <w:rPr>
          <w:rFonts w:hint="eastAsia" w:ascii="宋体" w:hAnsi="宋体" w:eastAsia="宋体" w:cs="宋体"/>
          <w:bCs/>
          <w:color w:val="auto"/>
          <w:sz w:val="24"/>
          <w:highlight w:val="none"/>
        </w:rPr>
        <w:t xml:space="preserve">】； </w:t>
      </w:r>
    </w:p>
    <w:p w14:paraId="46046B51">
      <w:pPr>
        <w:numPr>
          <w:ilvl w:val="0"/>
          <w:numId w:val="10"/>
        </w:numPr>
        <w:spacing w:line="360" w:lineRule="auto"/>
        <w:ind w:firstLine="475" w:firstLineChars="198"/>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（标的名称） </w:t>
      </w:r>
      <w:r>
        <w:rPr>
          <w:rFonts w:hint="eastAsia" w:ascii="宋体" w:hAnsi="宋体" w:eastAsia="宋体" w:cs="宋体"/>
          <w:bCs/>
          <w:color w:val="auto"/>
          <w:sz w:val="24"/>
          <w:highlight w:val="none"/>
        </w:rPr>
        <w:t>，属于</w:t>
      </w:r>
      <w:r>
        <w:rPr>
          <w:rFonts w:hint="eastAsia" w:ascii="宋体" w:hAnsi="宋体" w:eastAsia="宋体" w:cs="宋体"/>
          <w:bCs/>
          <w:color w:val="auto"/>
          <w:sz w:val="24"/>
          <w:highlight w:val="none"/>
          <w:u w:val="single"/>
        </w:rPr>
        <w:t>（采购文件中明确的所属行业）</w:t>
      </w:r>
      <w:r>
        <w:rPr>
          <w:rFonts w:hint="eastAsia" w:ascii="宋体" w:hAnsi="宋体" w:eastAsia="宋体" w:cs="宋体"/>
          <w:bCs/>
          <w:color w:val="auto"/>
          <w:sz w:val="24"/>
          <w:highlight w:val="none"/>
        </w:rPr>
        <w:t>； 承建（承接）企业为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p>
    <w:p w14:paraId="786440D4">
      <w:pPr>
        <w:spacing w:line="360" w:lineRule="auto"/>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  ）</w:t>
      </w:r>
      <w:r>
        <w:rPr>
          <w:rFonts w:hint="eastAsia" w:ascii="宋体" w:hAnsi="宋体" w:eastAsia="宋体" w:cs="宋体"/>
          <w:bCs/>
          <w:color w:val="auto"/>
          <w:sz w:val="24"/>
          <w:highlight w:val="none"/>
          <w:u w:val="single"/>
        </w:rPr>
        <w:t>中型企业</w:t>
      </w:r>
      <w:r>
        <w:rPr>
          <w:rFonts w:hint="eastAsia" w:ascii="宋体" w:hAnsi="宋体" w:eastAsia="宋体" w:cs="宋体"/>
          <w:bCs/>
          <w:color w:val="auto"/>
          <w:sz w:val="24"/>
          <w:highlight w:val="none"/>
        </w:rPr>
        <w:t>、（  ）</w:t>
      </w:r>
      <w:r>
        <w:rPr>
          <w:rFonts w:hint="eastAsia" w:ascii="宋体" w:hAnsi="宋体" w:eastAsia="宋体" w:cs="宋体"/>
          <w:bCs/>
          <w:color w:val="auto"/>
          <w:sz w:val="24"/>
          <w:highlight w:val="none"/>
          <w:u w:val="single"/>
        </w:rPr>
        <w:t>小型企业</w:t>
      </w:r>
      <w:r>
        <w:rPr>
          <w:rFonts w:hint="eastAsia" w:ascii="宋体" w:hAnsi="宋体" w:eastAsia="宋体" w:cs="宋体"/>
          <w:bCs/>
          <w:color w:val="auto"/>
          <w:sz w:val="24"/>
          <w:highlight w:val="none"/>
        </w:rPr>
        <w:t>、（  ）</w:t>
      </w:r>
      <w:r>
        <w:rPr>
          <w:rFonts w:hint="eastAsia" w:ascii="宋体" w:hAnsi="宋体" w:eastAsia="宋体" w:cs="宋体"/>
          <w:bCs/>
          <w:color w:val="auto"/>
          <w:sz w:val="24"/>
          <w:highlight w:val="none"/>
          <w:u w:val="single"/>
        </w:rPr>
        <w:t>微型企业</w:t>
      </w:r>
      <w:r>
        <w:rPr>
          <w:rFonts w:hint="eastAsia" w:ascii="宋体" w:hAnsi="宋体" w:eastAsia="宋体" w:cs="宋体"/>
          <w:bCs/>
          <w:color w:val="auto"/>
          <w:sz w:val="24"/>
          <w:highlight w:val="none"/>
        </w:rPr>
        <w:t>】；</w:t>
      </w:r>
    </w:p>
    <w:p w14:paraId="041DF0BB">
      <w:pPr>
        <w:spacing w:line="360" w:lineRule="auto"/>
        <w:ind w:firstLine="475" w:firstLineChars="198"/>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14:paraId="1FBA230B">
      <w:pPr>
        <w:spacing w:line="360" w:lineRule="auto"/>
        <w:ind w:firstLine="475" w:firstLineChars="198"/>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以上企业，不属于大企业的分支机构，不存在控股股东为大企业的情形，也不存在与大企业的负责人为同一人的情形。</w:t>
      </w:r>
    </w:p>
    <w:p w14:paraId="059A3C34">
      <w:pPr>
        <w:spacing w:line="360" w:lineRule="auto"/>
        <w:ind w:firstLine="475" w:firstLineChars="198"/>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本企业对上述声明内容的真实性负责。如有虚假，将依法承担相应责任。</w:t>
      </w:r>
    </w:p>
    <w:p w14:paraId="108F5AB1">
      <w:pPr>
        <w:spacing w:line="360" w:lineRule="auto"/>
        <w:ind w:firstLine="480" w:firstLineChars="200"/>
        <w:jc w:val="right"/>
        <w:outlineLvl w:val="9"/>
        <w:rPr>
          <w:rFonts w:hint="eastAsia" w:ascii="宋体" w:hAnsi="宋体" w:eastAsia="宋体" w:cs="宋体"/>
          <w:bCs/>
          <w:color w:val="auto"/>
          <w:sz w:val="24"/>
          <w:highlight w:val="none"/>
        </w:rPr>
      </w:pPr>
    </w:p>
    <w:p w14:paraId="6F4C942A">
      <w:pPr>
        <w:spacing w:line="360" w:lineRule="auto"/>
        <w:ind w:firstLine="480" w:firstLineChars="200"/>
        <w:jc w:val="center"/>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企业名称（盖章）：</w:t>
      </w:r>
    </w:p>
    <w:p w14:paraId="722C5A75">
      <w:pPr>
        <w:spacing w:line="360" w:lineRule="auto"/>
        <w:ind w:firstLine="480" w:firstLineChars="200"/>
        <w:jc w:val="center"/>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p>
    <w:p w14:paraId="2014C3F7">
      <w:pPr>
        <w:spacing w:line="360" w:lineRule="auto"/>
        <w:ind w:firstLine="480" w:firstLineChars="200"/>
        <w:jc w:val="left"/>
        <w:outlineLvl w:val="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注：¹从业人员、营业收入、资产总额填报上一年度数据，无上一年度数据的新成立企业可不填报。</w:t>
      </w:r>
    </w:p>
    <w:p w14:paraId="09B64B0F">
      <w:pPr>
        <w:spacing w:line="360" w:lineRule="auto"/>
        <w:ind w:firstLine="482"/>
        <w:outlineLvl w:val="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p w14:paraId="643ED754">
      <w:pPr>
        <w:spacing w:line="360" w:lineRule="auto"/>
        <w:ind w:firstLine="482"/>
        <w:outlineLvl w:val="9"/>
        <w:rPr>
          <w:rFonts w:hint="eastAsia" w:ascii="宋体" w:hAnsi="宋体" w:eastAsia="宋体" w:cs="宋体"/>
          <w:b/>
          <w:bCs/>
          <w:color w:val="auto"/>
          <w:sz w:val="28"/>
          <w:szCs w:val="28"/>
          <w:highlight w:val="none"/>
          <w:lang w:val="en-US" w:eastAsia="zh-CN"/>
        </w:rPr>
        <w:sectPr>
          <w:pgSz w:w="11906" w:h="16838"/>
          <w:pgMar w:top="1440" w:right="1800" w:bottom="1440" w:left="1800" w:header="851" w:footer="992" w:gutter="0"/>
          <w:pgNumType w:fmt="decimal"/>
          <w:cols w:space="720" w:num="1"/>
          <w:titlePg/>
          <w:docGrid w:type="lines" w:linePitch="312" w:charSpace="0"/>
        </w:sectPr>
      </w:pPr>
      <w:r>
        <w:rPr>
          <w:rFonts w:hint="eastAsia" w:ascii="宋体" w:hAnsi="宋体" w:eastAsia="宋体" w:cs="宋体"/>
          <w:b/>
          <w:color w:val="auto"/>
          <w:sz w:val="24"/>
          <w:highlight w:val="none"/>
        </w:rPr>
        <w:t>1.</w:t>
      </w:r>
      <w:r>
        <w:rPr>
          <w:rFonts w:hint="eastAsia" w:ascii="宋体" w:hAnsi="宋体" w:eastAsia="宋体" w:cs="宋体"/>
          <w:b/>
          <w:color w:val="auto"/>
          <w:sz w:val="24"/>
          <w:szCs w:val="22"/>
          <w:highlight w:val="none"/>
          <w:lang w:val="en-US" w:eastAsia="zh-CN"/>
        </w:rPr>
        <w:t>本项目标的所属行业：</w:t>
      </w:r>
      <w:r>
        <w:rPr>
          <w:rFonts w:hint="eastAsia" w:ascii="宋体" w:hAnsi="宋体" w:eastAsia="宋体" w:cs="宋体"/>
          <w:b/>
          <w:bCs/>
          <w:color w:val="auto"/>
          <w:sz w:val="24"/>
          <w:u w:val="single"/>
          <w:lang w:eastAsia="zh-CN"/>
        </w:rPr>
        <w:t>信息传输业</w:t>
      </w:r>
      <w:r>
        <w:rPr>
          <w:rFonts w:hint="eastAsia" w:ascii="宋体" w:hAnsi="宋体" w:eastAsia="宋体" w:cs="宋体"/>
          <w:b/>
          <w:color w:val="auto"/>
          <w:sz w:val="24"/>
          <w:szCs w:val="22"/>
          <w:highlight w:val="none"/>
          <w:lang w:val="en-US" w:eastAsia="zh-CN"/>
        </w:rPr>
        <w:t>。</w:t>
      </w:r>
    </w:p>
    <w:p w14:paraId="6799FA0A">
      <w:pPr>
        <w:numPr>
          <w:ilvl w:val="0"/>
          <w:numId w:val="11"/>
        </w:numPr>
        <w:tabs>
          <w:tab w:val="left" w:pos="1755"/>
        </w:tabs>
        <w:spacing w:line="360" w:lineRule="auto"/>
        <w:jc w:val="center"/>
        <w:outlineLvl w:val="9"/>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残疾人福利性单位声明函</w:t>
      </w:r>
    </w:p>
    <w:p w14:paraId="52EC3145">
      <w:pPr>
        <w:tabs>
          <w:tab w:val="left" w:pos="1755"/>
        </w:tabs>
        <w:spacing w:line="360" w:lineRule="auto"/>
        <w:jc w:val="center"/>
        <w:outlineLvl w:val="9"/>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w:t>
      </w:r>
      <w:r>
        <w:rPr>
          <w:rFonts w:hint="eastAsia" w:ascii="宋体" w:hAnsi="宋体" w:eastAsia="宋体" w:cs="宋体"/>
          <w:b/>
          <w:bCs/>
          <w:color w:val="auto"/>
          <w:sz w:val="28"/>
          <w:szCs w:val="28"/>
        </w:rPr>
        <w:t>残疾人福利企业</w:t>
      </w:r>
      <w:r>
        <w:rPr>
          <w:rFonts w:hint="eastAsia" w:ascii="宋体" w:hAnsi="宋体" w:eastAsia="宋体" w:cs="宋体"/>
          <w:b/>
          <w:color w:val="auto"/>
          <w:kern w:val="0"/>
          <w:sz w:val="28"/>
          <w:szCs w:val="28"/>
          <w:lang w:val="zh-CN"/>
        </w:rPr>
        <w:t>不</w:t>
      </w:r>
      <w:r>
        <w:rPr>
          <w:rFonts w:hint="eastAsia" w:ascii="宋体" w:hAnsi="宋体" w:eastAsia="宋体" w:cs="宋体"/>
          <w:b/>
          <w:bCs/>
          <w:color w:val="auto"/>
          <w:kern w:val="0"/>
          <w:sz w:val="28"/>
          <w:szCs w:val="28"/>
        </w:rPr>
        <w:t>填写，但必须提交空表</w:t>
      </w:r>
      <w:r>
        <w:rPr>
          <w:rFonts w:hint="eastAsia" w:ascii="宋体" w:hAnsi="宋体" w:eastAsia="宋体" w:cs="宋体"/>
          <w:b/>
          <w:color w:val="auto"/>
          <w:kern w:val="0"/>
          <w:sz w:val="28"/>
          <w:szCs w:val="28"/>
          <w:lang w:val="zh-CN"/>
        </w:rPr>
        <w:t>）</w:t>
      </w:r>
    </w:p>
    <w:p w14:paraId="70585D2F">
      <w:pPr>
        <w:spacing w:line="360" w:lineRule="auto"/>
        <w:outlineLvl w:val="9"/>
        <w:rPr>
          <w:rFonts w:hint="eastAsia" w:ascii="宋体" w:hAnsi="宋体" w:eastAsia="宋体" w:cs="宋体"/>
          <w:b/>
          <w:color w:val="auto"/>
          <w:spacing w:val="6"/>
          <w:sz w:val="32"/>
          <w:szCs w:val="32"/>
          <w:shd w:val="pct10" w:color="auto" w:fill="FFFFFF"/>
        </w:rPr>
      </w:pPr>
    </w:p>
    <w:p w14:paraId="7485291B">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3D58AF9A">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59D7873B">
      <w:pPr>
        <w:spacing w:line="360" w:lineRule="auto"/>
        <w:ind w:firstLine="480" w:firstLineChars="200"/>
        <w:outlineLvl w:val="9"/>
        <w:rPr>
          <w:rFonts w:hint="eastAsia" w:ascii="宋体" w:hAnsi="宋体" w:eastAsia="宋体" w:cs="宋体"/>
          <w:color w:val="auto"/>
          <w:sz w:val="24"/>
        </w:rPr>
      </w:pPr>
    </w:p>
    <w:p w14:paraId="0CCC0767">
      <w:pPr>
        <w:spacing w:line="360" w:lineRule="auto"/>
        <w:ind w:firstLine="480" w:firstLineChars="200"/>
        <w:outlineLvl w:val="9"/>
        <w:rPr>
          <w:rFonts w:hint="eastAsia" w:ascii="宋体" w:hAnsi="宋体" w:eastAsia="宋体" w:cs="宋体"/>
          <w:color w:val="auto"/>
          <w:sz w:val="24"/>
        </w:rPr>
      </w:pPr>
    </w:p>
    <w:p w14:paraId="713056D1">
      <w:pPr>
        <w:tabs>
          <w:tab w:val="left" w:pos="4860"/>
          <w:tab w:val="left" w:pos="8040"/>
          <w:tab w:val="left" w:pos="8160"/>
        </w:tabs>
        <w:spacing w:line="360" w:lineRule="auto"/>
        <w:ind w:right="862" w:firstLine="480" w:firstLineChars="200"/>
        <w:jc w:val="center"/>
        <w:outlineLvl w:val="9"/>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14:paraId="4CEA32E9">
      <w:pPr>
        <w:tabs>
          <w:tab w:val="left" w:pos="4860"/>
        </w:tabs>
        <w:spacing w:line="360" w:lineRule="auto"/>
        <w:ind w:right="1560" w:firstLine="480" w:firstLineChars="200"/>
        <w:jc w:val="center"/>
        <w:outlineLvl w:val="9"/>
        <w:rPr>
          <w:rFonts w:hint="eastAsia" w:ascii="宋体" w:hAnsi="宋体" w:eastAsia="宋体" w:cs="宋体"/>
          <w:color w:val="auto"/>
          <w:sz w:val="24"/>
        </w:rPr>
      </w:pPr>
      <w:r>
        <w:rPr>
          <w:rFonts w:hint="eastAsia" w:ascii="宋体" w:hAnsi="宋体" w:eastAsia="宋体" w:cs="宋体"/>
          <w:color w:val="auto"/>
          <w:sz w:val="24"/>
        </w:rPr>
        <w:t xml:space="preserve">       </w:t>
      </w:r>
    </w:p>
    <w:p w14:paraId="131A6CE3">
      <w:pPr>
        <w:tabs>
          <w:tab w:val="left" w:pos="4860"/>
        </w:tabs>
        <w:spacing w:line="360" w:lineRule="auto"/>
        <w:ind w:right="670" w:firstLine="480" w:firstLineChars="200"/>
        <w:jc w:val="center"/>
        <w:outlineLvl w:val="9"/>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30E31AEA">
      <w:pPr>
        <w:tabs>
          <w:tab w:val="left" w:pos="4860"/>
        </w:tabs>
        <w:spacing w:line="360" w:lineRule="auto"/>
        <w:ind w:right="1560" w:firstLine="480" w:firstLineChars="200"/>
        <w:jc w:val="center"/>
        <w:outlineLvl w:val="9"/>
        <w:rPr>
          <w:rFonts w:hint="eastAsia" w:ascii="宋体" w:hAnsi="宋体" w:eastAsia="宋体" w:cs="宋体"/>
          <w:color w:val="auto"/>
          <w:sz w:val="24"/>
        </w:rPr>
      </w:pPr>
    </w:p>
    <w:p w14:paraId="167A820B">
      <w:pPr>
        <w:spacing w:line="360" w:lineRule="auto"/>
        <w:ind w:firstLine="506" w:firstLineChars="200"/>
        <w:outlineLvl w:val="9"/>
        <w:rPr>
          <w:rFonts w:hint="eastAsia" w:ascii="宋体" w:hAnsi="宋体" w:eastAsia="宋体" w:cs="宋体"/>
          <w:b/>
          <w:color w:val="auto"/>
          <w:spacing w:val="6"/>
          <w:sz w:val="24"/>
          <w:shd w:val="pct10" w:color="auto" w:fill="FFFFFF"/>
        </w:rPr>
      </w:pPr>
    </w:p>
    <w:p w14:paraId="4C1AA4C2">
      <w:pPr>
        <w:spacing w:line="360" w:lineRule="auto"/>
        <w:ind w:firstLine="506" w:firstLineChars="200"/>
        <w:outlineLvl w:val="9"/>
        <w:rPr>
          <w:rFonts w:hint="eastAsia" w:ascii="宋体" w:hAnsi="宋体" w:eastAsia="宋体" w:cs="宋体"/>
          <w:b/>
          <w:color w:val="auto"/>
          <w:spacing w:val="6"/>
          <w:sz w:val="24"/>
          <w:shd w:val="pct10" w:color="auto" w:fill="FFFFFF"/>
        </w:rPr>
      </w:pPr>
    </w:p>
    <w:p w14:paraId="7895F6D0">
      <w:pPr>
        <w:kinsoku w:val="0"/>
        <w:spacing w:line="360" w:lineRule="auto"/>
        <w:ind w:firstLine="480" w:firstLineChars="200"/>
        <w:outlineLvl w:val="9"/>
        <w:rPr>
          <w:rFonts w:hint="eastAsia" w:ascii="宋体" w:hAnsi="宋体" w:eastAsia="宋体" w:cs="宋体"/>
          <w:color w:val="auto"/>
          <w:kern w:val="0"/>
          <w:sz w:val="24"/>
          <w:lang w:val="zh-CN"/>
        </w:rPr>
      </w:pPr>
      <w:r>
        <w:rPr>
          <w:rFonts w:hint="eastAsia" w:ascii="宋体" w:hAnsi="宋体" w:eastAsia="宋体" w:cs="宋体"/>
          <w:color w:val="auto"/>
          <w:kern w:val="0"/>
          <w:sz w:val="24"/>
          <w:lang w:val="zh-CN"/>
        </w:rPr>
        <w:t>备注：供应商提供的《残疾人福利性单位声明函》必须真实有效，如果被举报经查实出具虚假声明函的，将被取消磋商资格，并按有关规定予以处理。</w:t>
      </w:r>
    </w:p>
    <w:p w14:paraId="39660581">
      <w:pPr>
        <w:tabs>
          <w:tab w:val="left" w:pos="1755"/>
        </w:tabs>
        <w:spacing w:line="360" w:lineRule="auto"/>
        <w:outlineLvl w:val="9"/>
        <w:rPr>
          <w:rFonts w:hint="eastAsia" w:ascii="宋体" w:hAnsi="宋体" w:eastAsia="宋体" w:cs="宋体"/>
          <w:b/>
          <w:color w:val="auto"/>
          <w:kern w:val="0"/>
          <w:sz w:val="28"/>
          <w:szCs w:val="28"/>
          <w:lang w:val="zh-CN"/>
        </w:rPr>
      </w:pPr>
    </w:p>
    <w:p w14:paraId="416E56F1">
      <w:pPr>
        <w:pStyle w:val="18"/>
        <w:ind w:firstLine="562"/>
        <w:outlineLvl w:val="9"/>
        <w:rPr>
          <w:rFonts w:hint="eastAsia" w:ascii="宋体" w:hAnsi="宋体" w:eastAsia="宋体" w:cs="宋体"/>
          <w:b/>
          <w:color w:val="auto"/>
          <w:kern w:val="0"/>
          <w:sz w:val="28"/>
          <w:szCs w:val="28"/>
          <w:lang w:val="zh-CN"/>
        </w:rPr>
      </w:pPr>
    </w:p>
    <w:p w14:paraId="26AFFBE8">
      <w:pPr>
        <w:pStyle w:val="18"/>
        <w:ind w:firstLine="562"/>
        <w:outlineLvl w:val="9"/>
        <w:rPr>
          <w:rFonts w:hint="eastAsia" w:ascii="宋体" w:hAnsi="宋体" w:eastAsia="宋体" w:cs="宋体"/>
          <w:b/>
          <w:color w:val="auto"/>
          <w:kern w:val="0"/>
          <w:sz w:val="28"/>
          <w:szCs w:val="28"/>
          <w:lang w:val="zh-CN"/>
        </w:rPr>
      </w:pPr>
    </w:p>
    <w:p w14:paraId="56C6DA0B">
      <w:pPr>
        <w:pStyle w:val="18"/>
        <w:ind w:firstLine="562"/>
        <w:outlineLvl w:val="9"/>
        <w:rPr>
          <w:rFonts w:hint="eastAsia" w:ascii="宋体" w:hAnsi="宋体" w:eastAsia="宋体" w:cs="宋体"/>
          <w:b/>
          <w:color w:val="auto"/>
          <w:kern w:val="0"/>
          <w:sz w:val="28"/>
          <w:szCs w:val="28"/>
          <w:lang w:val="zh-CN"/>
        </w:rPr>
      </w:pPr>
    </w:p>
    <w:p w14:paraId="428180B8">
      <w:pPr>
        <w:pStyle w:val="18"/>
        <w:ind w:firstLine="562"/>
        <w:outlineLvl w:val="9"/>
        <w:rPr>
          <w:rFonts w:hint="eastAsia" w:ascii="宋体" w:hAnsi="宋体" w:eastAsia="宋体" w:cs="宋体"/>
          <w:b/>
          <w:color w:val="auto"/>
          <w:kern w:val="0"/>
          <w:sz w:val="28"/>
          <w:szCs w:val="28"/>
          <w:lang w:val="zh-CN"/>
        </w:rPr>
      </w:pPr>
    </w:p>
    <w:p w14:paraId="7C320A74">
      <w:pPr>
        <w:pStyle w:val="18"/>
        <w:ind w:firstLine="562"/>
        <w:outlineLvl w:val="9"/>
        <w:rPr>
          <w:rFonts w:hint="eastAsia" w:ascii="宋体" w:hAnsi="宋体" w:eastAsia="宋体" w:cs="宋体"/>
          <w:b/>
          <w:color w:val="auto"/>
          <w:kern w:val="0"/>
          <w:sz w:val="28"/>
          <w:szCs w:val="28"/>
          <w:lang w:val="zh-CN"/>
        </w:rPr>
      </w:pPr>
    </w:p>
    <w:p w14:paraId="7C6F2B6B">
      <w:pPr>
        <w:numPr>
          <w:ilvl w:val="0"/>
          <w:numId w:val="11"/>
        </w:numPr>
        <w:tabs>
          <w:tab w:val="left" w:pos="1755"/>
        </w:tabs>
        <w:spacing w:line="360" w:lineRule="auto"/>
        <w:jc w:val="center"/>
        <w:outlineLvl w:val="9"/>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监狱企业声明函</w:t>
      </w:r>
    </w:p>
    <w:p w14:paraId="3112539F">
      <w:pPr>
        <w:tabs>
          <w:tab w:val="left" w:pos="1755"/>
        </w:tabs>
        <w:spacing w:line="360" w:lineRule="auto"/>
        <w:jc w:val="center"/>
        <w:outlineLvl w:val="9"/>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（非监狱企业不</w:t>
      </w:r>
      <w:r>
        <w:rPr>
          <w:rFonts w:hint="eastAsia" w:ascii="宋体" w:hAnsi="宋体" w:eastAsia="宋体" w:cs="宋体"/>
          <w:b/>
          <w:bCs/>
          <w:color w:val="auto"/>
          <w:kern w:val="0"/>
          <w:sz w:val="28"/>
          <w:szCs w:val="28"/>
        </w:rPr>
        <w:t>填写，但必须提交空表</w:t>
      </w:r>
      <w:r>
        <w:rPr>
          <w:rFonts w:hint="eastAsia" w:ascii="宋体" w:hAnsi="宋体" w:eastAsia="宋体" w:cs="宋体"/>
          <w:b/>
          <w:color w:val="auto"/>
          <w:kern w:val="0"/>
          <w:sz w:val="28"/>
          <w:szCs w:val="28"/>
          <w:lang w:val="zh-CN"/>
        </w:rPr>
        <w:t>）</w:t>
      </w:r>
    </w:p>
    <w:p w14:paraId="7F2946B5">
      <w:pPr>
        <w:spacing w:line="360" w:lineRule="atLeast"/>
        <w:outlineLvl w:val="9"/>
        <w:rPr>
          <w:rFonts w:hint="eastAsia" w:ascii="宋体" w:hAnsi="宋体" w:eastAsia="宋体" w:cs="宋体"/>
          <w:color w:val="auto"/>
          <w:sz w:val="32"/>
          <w:szCs w:val="32"/>
        </w:rPr>
      </w:pPr>
    </w:p>
    <w:p w14:paraId="61D6FBBA">
      <w:pPr>
        <w:spacing w:line="360" w:lineRule="auto"/>
        <w:ind w:firstLine="480" w:firstLineChars="200"/>
        <w:outlineLvl w:val="9"/>
        <w:rPr>
          <w:rFonts w:hint="eastAsia" w:ascii="宋体" w:hAnsi="宋体" w:eastAsia="宋体" w:cs="宋体"/>
          <w:color w:val="auto"/>
          <w:sz w:val="24"/>
          <w:szCs w:val="22"/>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36BCF329">
      <w:pPr>
        <w:spacing w:line="360" w:lineRule="atLeast"/>
        <w:outlineLvl w:val="9"/>
        <w:rPr>
          <w:rFonts w:hint="eastAsia" w:ascii="宋体" w:hAnsi="宋体" w:eastAsia="宋体" w:cs="宋体"/>
          <w:color w:val="auto"/>
          <w:sz w:val="32"/>
          <w:szCs w:val="32"/>
        </w:rPr>
      </w:pPr>
    </w:p>
    <w:p w14:paraId="7CD5FE55">
      <w:pPr>
        <w:pStyle w:val="18"/>
        <w:outlineLvl w:val="9"/>
        <w:rPr>
          <w:rFonts w:hint="eastAsia" w:ascii="宋体" w:hAnsi="宋体" w:eastAsia="宋体" w:cs="宋体"/>
          <w:color w:val="auto"/>
        </w:rPr>
      </w:pPr>
    </w:p>
    <w:p w14:paraId="1AD553AB">
      <w:pPr>
        <w:tabs>
          <w:tab w:val="left" w:pos="4860"/>
          <w:tab w:val="left" w:pos="8040"/>
          <w:tab w:val="left" w:pos="8160"/>
        </w:tabs>
        <w:spacing w:line="360" w:lineRule="auto"/>
        <w:ind w:right="862" w:firstLine="480" w:firstLineChars="200"/>
        <w:jc w:val="center"/>
        <w:outlineLvl w:val="9"/>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14:paraId="4AEBA748">
      <w:pPr>
        <w:tabs>
          <w:tab w:val="left" w:pos="4860"/>
        </w:tabs>
        <w:spacing w:line="360" w:lineRule="auto"/>
        <w:ind w:right="1560" w:firstLine="480" w:firstLineChars="200"/>
        <w:jc w:val="center"/>
        <w:outlineLvl w:val="9"/>
        <w:rPr>
          <w:rFonts w:hint="eastAsia" w:ascii="宋体" w:hAnsi="宋体" w:eastAsia="宋体" w:cs="宋体"/>
          <w:color w:val="auto"/>
          <w:sz w:val="24"/>
        </w:rPr>
      </w:pPr>
      <w:r>
        <w:rPr>
          <w:rFonts w:hint="eastAsia" w:ascii="宋体" w:hAnsi="宋体" w:eastAsia="宋体" w:cs="宋体"/>
          <w:color w:val="auto"/>
          <w:sz w:val="24"/>
        </w:rPr>
        <w:t xml:space="preserve">       </w:t>
      </w:r>
    </w:p>
    <w:p w14:paraId="0FC90D34">
      <w:pPr>
        <w:outlineLvl w:val="9"/>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62D20C4D">
      <w:pPr>
        <w:outlineLvl w:val="9"/>
        <w:rPr>
          <w:rFonts w:hint="eastAsia" w:ascii="宋体" w:hAnsi="宋体" w:eastAsia="宋体" w:cs="宋体"/>
          <w:color w:val="auto"/>
          <w:sz w:val="24"/>
        </w:rPr>
      </w:pPr>
      <w:r>
        <w:rPr>
          <w:rFonts w:hint="eastAsia" w:ascii="宋体" w:hAnsi="宋体" w:eastAsia="宋体" w:cs="宋体"/>
          <w:color w:val="auto"/>
          <w:sz w:val="24"/>
        </w:rPr>
        <w:br w:type="page"/>
      </w:r>
    </w:p>
    <w:p w14:paraId="106B4B20">
      <w:pPr>
        <w:spacing w:line="500" w:lineRule="atLeast"/>
        <w:jc w:val="left"/>
        <w:outlineLvl w:val="9"/>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附件4：</w:t>
      </w:r>
    </w:p>
    <w:p w14:paraId="094D5335">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outlineLvl w:val="9"/>
        <w:rPr>
          <w:rFonts w:hint="eastAsia" w:ascii="宋体" w:hAnsi="宋体" w:eastAsia="宋体" w:cs="宋体"/>
          <w:i w:val="0"/>
          <w:iCs w:val="0"/>
          <w:caps w:val="0"/>
          <w:color w:val="auto"/>
          <w:spacing w:val="0"/>
          <w:sz w:val="28"/>
          <w:szCs w:val="28"/>
        </w:rPr>
      </w:pPr>
      <w:r>
        <w:rPr>
          <w:rStyle w:val="22"/>
          <w:rFonts w:hint="eastAsia" w:ascii="宋体" w:hAnsi="宋体" w:eastAsia="宋体" w:cs="宋体"/>
          <w:i w:val="0"/>
          <w:iCs w:val="0"/>
          <w:caps w:val="0"/>
          <w:color w:val="auto"/>
          <w:spacing w:val="0"/>
          <w:sz w:val="28"/>
          <w:szCs w:val="28"/>
          <w:shd w:val="clear" w:fill="FFFFFF"/>
        </w:rPr>
        <w:t>关于符合本国产品标准的声明函</w:t>
      </w:r>
    </w:p>
    <w:p w14:paraId="398A76A3">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outlineLvl w:val="9"/>
        <w:rPr>
          <w:rFonts w:hint="eastAsia" w:ascii="宋体" w:hAnsi="宋体" w:eastAsia="宋体" w:cs="宋体"/>
          <w:i w:val="0"/>
          <w:iCs w:val="0"/>
          <w:caps w:val="0"/>
          <w:color w:val="auto"/>
          <w:spacing w:val="0"/>
          <w:sz w:val="24"/>
          <w:szCs w:val="24"/>
        </w:rPr>
      </w:pPr>
    </w:p>
    <w:p w14:paraId="6E27E831">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391AC197">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1.</w:t>
      </w:r>
      <w:r>
        <w:rPr>
          <w:rStyle w:val="23"/>
          <w:rFonts w:hint="eastAsia" w:ascii="宋体" w:hAnsi="宋体" w:eastAsia="宋体" w:cs="宋体"/>
          <w:i w:val="0"/>
          <w:iCs w:val="0"/>
          <w:caps w:val="0"/>
          <w:color w:val="auto"/>
          <w:spacing w:val="0"/>
          <w:sz w:val="24"/>
          <w:szCs w:val="24"/>
          <w:shd w:val="clear" w:fill="FFFFFF"/>
        </w:rPr>
        <w:t>（产品名称1）</w:t>
      </w:r>
      <w:r>
        <w:rPr>
          <w:rStyle w:val="23"/>
          <w:rFonts w:hint="eastAsia" w:ascii="宋体" w:hAnsi="宋体" w:eastAsia="宋体" w:cs="宋体"/>
          <w:i w:val="0"/>
          <w:iCs w:val="0"/>
          <w:caps w:val="0"/>
          <w:color w:val="auto"/>
          <w:spacing w:val="0"/>
          <w:sz w:val="24"/>
          <w:szCs w:val="24"/>
          <w:shd w:val="clear" w:fill="FFFFFF"/>
          <w:vertAlign w:val="superscript"/>
        </w:rPr>
        <w:t>1</w:t>
      </w:r>
      <w:r>
        <w:rPr>
          <w:rFonts w:hint="eastAsia" w:ascii="宋体" w:hAnsi="宋体" w:eastAsia="宋体" w:cs="宋体"/>
          <w:i w:val="0"/>
          <w:iCs w:val="0"/>
          <w:caps w:val="0"/>
          <w:color w:val="auto"/>
          <w:spacing w:val="0"/>
          <w:sz w:val="24"/>
          <w:szCs w:val="24"/>
          <w:shd w:val="clear" w:fill="FFFFFF"/>
        </w:rPr>
        <w:t>，生产厂为</w:t>
      </w:r>
      <w:r>
        <w:rPr>
          <w:rStyle w:val="23"/>
          <w:rFonts w:hint="eastAsia" w:ascii="宋体" w:hAnsi="宋体" w:eastAsia="宋体" w:cs="宋体"/>
          <w:i w:val="0"/>
          <w:iCs w:val="0"/>
          <w:caps w:val="0"/>
          <w:color w:val="auto"/>
          <w:spacing w:val="0"/>
          <w:sz w:val="24"/>
          <w:szCs w:val="24"/>
          <w:shd w:val="clear" w:fill="FFFFFF"/>
        </w:rPr>
        <w:t>（厂名）</w:t>
      </w:r>
      <w:r>
        <w:rPr>
          <w:rStyle w:val="23"/>
          <w:rFonts w:hint="eastAsia" w:ascii="宋体" w:hAnsi="宋体" w:eastAsia="宋体" w:cs="宋体"/>
          <w:i w:val="0"/>
          <w:iCs w:val="0"/>
          <w:caps w:val="0"/>
          <w:color w:val="auto"/>
          <w:spacing w:val="0"/>
          <w:sz w:val="24"/>
          <w:szCs w:val="24"/>
          <w:shd w:val="clear" w:fill="FFFFFF"/>
          <w:vertAlign w:val="superscript"/>
        </w:rPr>
        <w:t>2</w:t>
      </w:r>
      <w:r>
        <w:rPr>
          <w:rFonts w:hint="eastAsia" w:ascii="宋体" w:hAnsi="宋体" w:eastAsia="宋体" w:cs="宋体"/>
          <w:i w:val="0"/>
          <w:iCs w:val="0"/>
          <w:caps w:val="0"/>
          <w:color w:val="auto"/>
          <w:spacing w:val="0"/>
          <w:sz w:val="24"/>
          <w:szCs w:val="24"/>
          <w:shd w:val="clear" w:fill="FFFFFF"/>
        </w:rPr>
        <w:t>，厂址为</w:t>
      </w:r>
      <w:r>
        <w:rPr>
          <w:rStyle w:val="23"/>
          <w:rFonts w:hint="eastAsia" w:ascii="宋体" w:hAnsi="宋体" w:eastAsia="宋体" w:cs="宋体"/>
          <w:i w:val="0"/>
          <w:iCs w:val="0"/>
          <w:caps w:val="0"/>
          <w:color w:val="auto"/>
          <w:spacing w:val="0"/>
          <w:sz w:val="24"/>
          <w:szCs w:val="24"/>
          <w:shd w:val="clear" w:fill="FFFFFF"/>
        </w:rPr>
        <w:t>（生产厂址）</w:t>
      </w:r>
      <w:r>
        <w:rPr>
          <w:rFonts w:hint="eastAsia" w:ascii="宋体" w:hAnsi="宋体" w:eastAsia="宋体" w:cs="宋体"/>
          <w:i w:val="0"/>
          <w:iCs w:val="0"/>
          <w:caps w:val="0"/>
          <w:color w:val="auto"/>
          <w:spacing w:val="0"/>
          <w:sz w:val="24"/>
          <w:szCs w:val="24"/>
          <w:shd w:val="clear" w:fill="FFFFFF"/>
        </w:rPr>
        <w:t>。</w:t>
      </w:r>
      <w:r>
        <w:rPr>
          <w:rStyle w:val="23"/>
          <w:rFonts w:hint="eastAsia" w:ascii="宋体" w:hAnsi="宋体" w:eastAsia="宋体" w:cs="宋体"/>
          <w:i w:val="0"/>
          <w:iCs w:val="0"/>
          <w:caps w:val="0"/>
          <w:color w:val="auto"/>
          <w:spacing w:val="0"/>
          <w:sz w:val="24"/>
          <w:szCs w:val="24"/>
          <w:shd w:val="clear" w:fill="FFFFFF"/>
        </w:rPr>
        <w:t>（产品名称1）</w:t>
      </w:r>
      <w:r>
        <w:rPr>
          <w:rFonts w:hint="eastAsia" w:ascii="宋体" w:hAnsi="宋体" w:eastAsia="宋体" w:cs="宋体"/>
          <w:i w:val="0"/>
          <w:iCs w:val="0"/>
          <w:caps w:val="0"/>
          <w:color w:val="auto"/>
          <w:spacing w:val="0"/>
          <w:sz w:val="24"/>
          <w:szCs w:val="24"/>
          <w:shd w:val="clear" w:fill="FFFFFF"/>
        </w:rPr>
        <w:t>的中国境内生产的组件成本占比≥</w:t>
      </w:r>
      <w:r>
        <w:rPr>
          <w:rStyle w:val="23"/>
          <w:rFonts w:hint="eastAsia" w:ascii="宋体" w:hAnsi="宋体" w:eastAsia="宋体" w:cs="宋体"/>
          <w:i w:val="0"/>
          <w:iCs w:val="0"/>
          <w:caps w:val="0"/>
          <w:color w:val="auto"/>
          <w:spacing w:val="0"/>
          <w:sz w:val="24"/>
          <w:szCs w:val="24"/>
          <w:shd w:val="clear" w:fill="FFFFFF"/>
        </w:rPr>
        <w:t>（规定比例）</w:t>
      </w:r>
      <w:r>
        <w:rPr>
          <w:rStyle w:val="23"/>
          <w:rFonts w:hint="eastAsia" w:ascii="宋体" w:hAnsi="宋体" w:eastAsia="宋体" w:cs="宋体"/>
          <w:i w:val="0"/>
          <w:iCs w:val="0"/>
          <w:caps w:val="0"/>
          <w:color w:val="auto"/>
          <w:spacing w:val="0"/>
          <w:sz w:val="24"/>
          <w:szCs w:val="24"/>
          <w:shd w:val="clear" w:fill="FFFFFF"/>
          <w:vertAlign w:val="superscript"/>
        </w:rPr>
        <w:t>3</w:t>
      </w:r>
      <w:r>
        <w:rPr>
          <w:rFonts w:hint="eastAsia" w:ascii="宋体" w:hAnsi="宋体" w:eastAsia="宋体" w:cs="宋体"/>
          <w:i w:val="0"/>
          <w:iCs w:val="0"/>
          <w:caps w:val="0"/>
          <w:color w:val="auto"/>
          <w:spacing w:val="0"/>
          <w:sz w:val="24"/>
          <w:szCs w:val="24"/>
          <w:shd w:val="clear" w:fill="FFFFFF"/>
        </w:rPr>
        <w:t>。</w:t>
      </w:r>
      <w:r>
        <w:rPr>
          <w:rStyle w:val="23"/>
          <w:rFonts w:hint="eastAsia" w:ascii="宋体" w:hAnsi="宋体" w:eastAsia="宋体" w:cs="宋体"/>
          <w:i w:val="0"/>
          <w:iCs w:val="0"/>
          <w:caps w:val="0"/>
          <w:color w:val="auto"/>
          <w:spacing w:val="0"/>
          <w:sz w:val="24"/>
          <w:szCs w:val="24"/>
          <w:shd w:val="clear" w:fill="FFFFFF"/>
        </w:rPr>
        <w:t>（产品名称1）</w:t>
      </w:r>
      <w:r>
        <w:rPr>
          <w:rFonts w:hint="eastAsia" w:ascii="宋体" w:hAnsi="宋体" w:eastAsia="宋体" w:cs="宋体"/>
          <w:i w:val="0"/>
          <w:iCs w:val="0"/>
          <w:caps w:val="0"/>
          <w:color w:val="auto"/>
          <w:spacing w:val="0"/>
          <w:sz w:val="24"/>
          <w:szCs w:val="24"/>
          <w:shd w:val="clear" w:fill="FFFFFF"/>
        </w:rPr>
        <w:t>的</w:t>
      </w:r>
      <w:r>
        <w:rPr>
          <w:rStyle w:val="23"/>
          <w:rFonts w:hint="eastAsia" w:ascii="宋体" w:hAnsi="宋体" w:eastAsia="宋体" w:cs="宋体"/>
          <w:i w:val="0"/>
          <w:iCs w:val="0"/>
          <w:caps w:val="0"/>
          <w:color w:val="auto"/>
          <w:spacing w:val="0"/>
          <w:sz w:val="24"/>
          <w:szCs w:val="24"/>
          <w:shd w:val="clear" w:fill="FFFFFF"/>
        </w:rPr>
        <w:t>（关键组件）</w:t>
      </w:r>
      <w:r>
        <w:rPr>
          <w:rStyle w:val="23"/>
          <w:rFonts w:hint="eastAsia" w:ascii="宋体" w:hAnsi="宋体" w:eastAsia="宋体" w:cs="宋体"/>
          <w:i w:val="0"/>
          <w:iCs w:val="0"/>
          <w:caps w:val="0"/>
          <w:color w:val="auto"/>
          <w:spacing w:val="0"/>
          <w:sz w:val="24"/>
          <w:szCs w:val="24"/>
          <w:shd w:val="clear" w:fill="FFFFFF"/>
          <w:vertAlign w:val="superscript"/>
        </w:rPr>
        <w:t>4</w:t>
      </w:r>
      <w:r>
        <w:rPr>
          <w:rFonts w:hint="eastAsia" w:ascii="宋体" w:hAnsi="宋体" w:eastAsia="宋体" w:cs="宋体"/>
          <w:i w:val="0"/>
          <w:iCs w:val="0"/>
          <w:caps w:val="0"/>
          <w:color w:val="auto"/>
          <w:spacing w:val="0"/>
          <w:sz w:val="24"/>
          <w:szCs w:val="24"/>
          <w:shd w:val="clear" w:fill="FFFFFF"/>
        </w:rPr>
        <w:t>在中国境内生产。</w:t>
      </w:r>
      <w:r>
        <w:rPr>
          <w:rStyle w:val="23"/>
          <w:rFonts w:hint="eastAsia" w:ascii="宋体" w:hAnsi="宋体" w:eastAsia="宋体" w:cs="宋体"/>
          <w:i w:val="0"/>
          <w:iCs w:val="0"/>
          <w:caps w:val="0"/>
          <w:color w:val="auto"/>
          <w:spacing w:val="0"/>
          <w:sz w:val="24"/>
          <w:szCs w:val="24"/>
          <w:shd w:val="clear" w:fill="FFFFFF"/>
        </w:rPr>
        <w:t>（产品名称1）</w:t>
      </w:r>
      <w:r>
        <w:rPr>
          <w:rFonts w:hint="eastAsia" w:ascii="宋体" w:hAnsi="宋体" w:eastAsia="宋体" w:cs="宋体"/>
          <w:i w:val="0"/>
          <w:iCs w:val="0"/>
          <w:caps w:val="0"/>
          <w:color w:val="auto"/>
          <w:spacing w:val="0"/>
          <w:sz w:val="24"/>
          <w:szCs w:val="24"/>
          <w:shd w:val="clear" w:fill="FFFFFF"/>
        </w:rPr>
        <w:t>的</w:t>
      </w:r>
      <w:r>
        <w:rPr>
          <w:rStyle w:val="23"/>
          <w:rFonts w:hint="eastAsia" w:ascii="宋体" w:hAnsi="宋体" w:eastAsia="宋体" w:cs="宋体"/>
          <w:i w:val="0"/>
          <w:iCs w:val="0"/>
          <w:caps w:val="0"/>
          <w:color w:val="auto"/>
          <w:spacing w:val="0"/>
          <w:sz w:val="24"/>
          <w:szCs w:val="24"/>
          <w:shd w:val="clear" w:fill="FFFFFF"/>
        </w:rPr>
        <w:t>（关键工序）</w:t>
      </w:r>
      <w:r>
        <w:rPr>
          <w:rStyle w:val="23"/>
          <w:rFonts w:hint="eastAsia" w:ascii="宋体" w:hAnsi="宋体" w:eastAsia="宋体" w:cs="宋体"/>
          <w:i w:val="0"/>
          <w:iCs w:val="0"/>
          <w:caps w:val="0"/>
          <w:color w:val="auto"/>
          <w:spacing w:val="0"/>
          <w:sz w:val="24"/>
          <w:szCs w:val="24"/>
          <w:shd w:val="clear" w:fill="FFFFFF"/>
          <w:vertAlign w:val="superscript"/>
        </w:rPr>
        <w:t>5</w:t>
      </w:r>
      <w:r>
        <w:rPr>
          <w:rFonts w:hint="eastAsia" w:ascii="宋体" w:hAnsi="宋体" w:eastAsia="宋体" w:cs="宋体"/>
          <w:i w:val="0"/>
          <w:iCs w:val="0"/>
          <w:caps w:val="0"/>
          <w:color w:val="auto"/>
          <w:spacing w:val="0"/>
          <w:sz w:val="24"/>
          <w:szCs w:val="24"/>
          <w:shd w:val="clear" w:fill="FFFFFF"/>
        </w:rPr>
        <w:t>在中国境内完成。</w:t>
      </w:r>
    </w:p>
    <w:p w14:paraId="6040CA18">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2.</w:t>
      </w:r>
      <w:r>
        <w:rPr>
          <w:rStyle w:val="23"/>
          <w:rFonts w:hint="eastAsia" w:ascii="宋体" w:hAnsi="宋体" w:eastAsia="宋体" w:cs="宋体"/>
          <w:i w:val="0"/>
          <w:iCs w:val="0"/>
          <w:caps w:val="0"/>
          <w:color w:val="auto"/>
          <w:spacing w:val="0"/>
          <w:sz w:val="24"/>
          <w:szCs w:val="24"/>
          <w:shd w:val="clear" w:fill="FFFFFF"/>
        </w:rPr>
        <w:t>（产品名称2）</w:t>
      </w:r>
      <w:r>
        <w:rPr>
          <w:rFonts w:hint="eastAsia" w:ascii="宋体" w:hAnsi="宋体" w:eastAsia="宋体" w:cs="宋体"/>
          <w:i w:val="0"/>
          <w:iCs w:val="0"/>
          <w:caps w:val="0"/>
          <w:color w:val="auto"/>
          <w:spacing w:val="0"/>
          <w:sz w:val="24"/>
          <w:szCs w:val="24"/>
          <w:shd w:val="clear" w:fill="FFFFFF"/>
        </w:rPr>
        <w:t>，生产厂为</w:t>
      </w:r>
      <w:r>
        <w:rPr>
          <w:rStyle w:val="23"/>
          <w:rFonts w:hint="eastAsia" w:ascii="宋体" w:hAnsi="宋体" w:eastAsia="宋体" w:cs="宋体"/>
          <w:i w:val="0"/>
          <w:iCs w:val="0"/>
          <w:caps w:val="0"/>
          <w:color w:val="auto"/>
          <w:spacing w:val="0"/>
          <w:sz w:val="24"/>
          <w:szCs w:val="24"/>
          <w:shd w:val="clear" w:fill="FFFFFF"/>
        </w:rPr>
        <w:t>（厂名）</w:t>
      </w:r>
      <w:r>
        <w:rPr>
          <w:rFonts w:hint="eastAsia" w:ascii="宋体" w:hAnsi="宋体" w:eastAsia="宋体" w:cs="宋体"/>
          <w:i w:val="0"/>
          <w:iCs w:val="0"/>
          <w:caps w:val="0"/>
          <w:color w:val="auto"/>
          <w:spacing w:val="0"/>
          <w:sz w:val="24"/>
          <w:szCs w:val="24"/>
          <w:shd w:val="clear" w:fill="FFFFFF"/>
        </w:rPr>
        <w:t>，厂址为</w:t>
      </w:r>
      <w:r>
        <w:rPr>
          <w:rStyle w:val="23"/>
          <w:rFonts w:hint="eastAsia" w:ascii="宋体" w:hAnsi="宋体" w:eastAsia="宋体" w:cs="宋体"/>
          <w:i w:val="0"/>
          <w:iCs w:val="0"/>
          <w:caps w:val="0"/>
          <w:color w:val="auto"/>
          <w:spacing w:val="0"/>
          <w:sz w:val="24"/>
          <w:szCs w:val="24"/>
          <w:shd w:val="clear" w:fill="FFFFFF"/>
        </w:rPr>
        <w:t>（生产厂址）</w:t>
      </w:r>
      <w:r>
        <w:rPr>
          <w:rFonts w:hint="eastAsia" w:ascii="宋体" w:hAnsi="宋体" w:eastAsia="宋体" w:cs="宋体"/>
          <w:i w:val="0"/>
          <w:iCs w:val="0"/>
          <w:caps w:val="0"/>
          <w:color w:val="auto"/>
          <w:spacing w:val="0"/>
          <w:sz w:val="24"/>
          <w:szCs w:val="24"/>
          <w:shd w:val="clear" w:fill="FFFFFF"/>
        </w:rPr>
        <w:t>。</w:t>
      </w:r>
      <w:r>
        <w:rPr>
          <w:rStyle w:val="23"/>
          <w:rFonts w:hint="eastAsia" w:ascii="宋体" w:hAnsi="宋体" w:eastAsia="宋体" w:cs="宋体"/>
          <w:i w:val="0"/>
          <w:iCs w:val="0"/>
          <w:caps w:val="0"/>
          <w:color w:val="auto"/>
          <w:spacing w:val="0"/>
          <w:sz w:val="24"/>
          <w:szCs w:val="24"/>
          <w:shd w:val="clear" w:fill="FFFFFF"/>
        </w:rPr>
        <w:t>（产品名称2）</w:t>
      </w:r>
      <w:r>
        <w:rPr>
          <w:rFonts w:hint="eastAsia" w:ascii="宋体" w:hAnsi="宋体" w:eastAsia="宋体" w:cs="宋体"/>
          <w:i w:val="0"/>
          <w:iCs w:val="0"/>
          <w:caps w:val="0"/>
          <w:color w:val="auto"/>
          <w:spacing w:val="0"/>
          <w:sz w:val="24"/>
          <w:szCs w:val="24"/>
          <w:shd w:val="clear" w:fill="FFFFFF"/>
        </w:rPr>
        <w:t>的中国境内生产的组件成本占比≥</w:t>
      </w:r>
      <w:r>
        <w:rPr>
          <w:rStyle w:val="23"/>
          <w:rFonts w:hint="eastAsia" w:ascii="宋体" w:hAnsi="宋体" w:eastAsia="宋体" w:cs="宋体"/>
          <w:i w:val="0"/>
          <w:iCs w:val="0"/>
          <w:caps w:val="0"/>
          <w:color w:val="auto"/>
          <w:spacing w:val="0"/>
          <w:sz w:val="24"/>
          <w:szCs w:val="24"/>
          <w:shd w:val="clear" w:fill="FFFFFF"/>
        </w:rPr>
        <w:t>（规定比例）</w:t>
      </w:r>
      <w:r>
        <w:rPr>
          <w:rFonts w:hint="eastAsia" w:ascii="宋体" w:hAnsi="宋体" w:eastAsia="宋体" w:cs="宋体"/>
          <w:i w:val="0"/>
          <w:iCs w:val="0"/>
          <w:caps w:val="0"/>
          <w:color w:val="auto"/>
          <w:spacing w:val="0"/>
          <w:sz w:val="24"/>
          <w:szCs w:val="24"/>
          <w:shd w:val="clear" w:fill="FFFFFF"/>
        </w:rPr>
        <w:t>。</w:t>
      </w:r>
      <w:r>
        <w:rPr>
          <w:rStyle w:val="23"/>
          <w:rFonts w:hint="eastAsia" w:ascii="宋体" w:hAnsi="宋体" w:eastAsia="宋体" w:cs="宋体"/>
          <w:i w:val="0"/>
          <w:iCs w:val="0"/>
          <w:caps w:val="0"/>
          <w:color w:val="auto"/>
          <w:spacing w:val="0"/>
          <w:sz w:val="24"/>
          <w:szCs w:val="24"/>
          <w:shd w:val="clear" w:fill="FFFFFF"/>
        </w:rPr>
        <w:t>（产品名称2）</w:t>
      </w:r>
      <w:r>
        <w:rPr>
          <w:rFonts w:hint="eastAsia" w:ascii="宋体" w:hAnsi="宋体" w:eastAsia="宋体" w:cs="宋体"/>
          <w:i w:val="0"/>
          <w:iCs w:val="0"/>
          <w:caps w:val="0"/>
          <w:color w:val="auto"/>
          <w:spacing w:val="0"/>
          <w:sz w:val="24"/>
          <w:szCs w:val="24"/>
          <w:shd w:val="clear" w:fill="FFFFFF"/>
        </w:rPr>
        <w:t>的</w:t>
      </w:r>
      <w:r>
        <w:rPr>
          <w:rStyle w:val="23"/>
          <w:rFonts w:hint="eastAsia" w:ascii="宋体" w:hAnsi="宋体" w:eastAsia="宋体" w:cs="宋体"/>
          <w:i w:val="0"/>
          <w:iCs w:val="0"/>
          <w:caps w:val="0"/>
          <w:color w:val="auto"/>
          <w:spacing w:val="0"/>
          <w:sz w:val="24"/>
          <w:szCs w:val="24"/>
          <w:shd w:val="clear" w:fill="FFFFFF"/>
        </w:rPr>
        <w:t>（关键组件）</w:t>
      </w:r>
      <w:r>
        <w:rPr>
          <w:rFonts w:hint="eastAsia" w:ascii="宋体" w:hAnsi="宋体" w:eastAsia="宋体" w:cs="宋体"/>
          <w:i w:val="0"/>
          <w:iCs w:val="0"/>
          <w:caps w:val="0"/>
          <w:color w:val="auto"/>
          <w:spacing w:val="0"/>
          <w:sz w:val="24"/>
          <w:szCs w:val="24"/>
          <w:shd w:val="clear" w:fill="FFFFFF"/>
        </w:rPr>
        <w:t>在中国境内生产。</w:t>
      </w:r>
      <w:r>
        <w:rPr>
          <w:rStyle w:val="23"/>
          <w:rFonts w:hint="eastAsia" w:ascii="宋体" w:hAnsi="宋体" w:eastAsia="宋体" w:cs="宋体"/>
          <w:i w:val="0"/>
          <w:iCs w:val="0"/>
          <w:caps w:val="0"/>
          <w:color w:val="auto"/>
          <w:spacing w:val="0"/>
          <w:sz w:val="24"/>
          <w:szCs w:val="24"/>
          <w:shd w:val="clear" w:fill="FFFFFF"/>
        </w:rPr>
        <w:t>（产品名称2）</w:t>
      </w:r>
      <w:r>
        <w:rPr>
          <w:rFonts w:hint="eastAsia" w:ascii="宋体" w:hAnsi="宋体" w:eastAsia="宋体" w:cs="宋体"/>
          <w:i w:val="0"/>
          <w:iCs w:val="0"/>
          <w:caps w:val="0"/>
          <w:color w:val="auto"/>
          <w:spacing w:val="0"/>
          <w:sz w:val="24"/>
          <w:szCs w:val="24"/>
          <w:shd w:val="clear" w:fill="FFFFFF"/>
        </w:rPr>
        <w:t>的</w:t>
      </w:r>
      <w:r>
        <w:rPr>
          <w:rStyle w:val="23"/>
          <w:rFonts w:hint="eastAsia" w:ascii="宋体" w:hAnsi="宋体" w:eastAsia="宋体" w:cs="宋体"/>
          <w:i w:val="0"/>
          <w:iCs w:val="0"/>
          <w:caps w:val="0"/>
          <w:color w:val="auto"/>
          <w:spacing w:val="0"/>
          <w:sz w:val="24"/>
          <w:szCs w:val="24"/>
          <w:shd w:val="clear" w:fill="FFFFFF"/>
        </w:rPr>
        <w:t>（关键工序）</w:t>
      </w:r>
      <w:r>
        <w:rPr>
          <w:rFonts w:hint="eastAsia" w:ascii="宋体" w:hAnsi="宋体" w:eastAsia="宋体" w:cs="宋体"/>
          <w:i w:val="0"/>
          <w:iCs w:val="0"/>
          <w:caps w:val="0"/>
          <w:color w:val="auto"/>
          <w:spacing w:val="0"/>
          <w:sz w:val="24"/>
          <w:szCs w:val="24"/>
          <w:shd w:val="clear" w:fill="FFFFFF"/>
        </w:rPr>
        <w:t>在中国境内完成。</w:t>
      </w:r>
    </w:p>
    <w:p w14:paraId="3E79177C">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w:t>
      </w:r>
    </w:p>
    <w:p w14:paraId="6AB6CC95">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本公司（单位）对上述声明内容的真实性负责。如有虚假，愿承担相应法律责任。</w:t>
      </w:r>
    </w:p>
    <w:p w14:paraId="3FAC2563">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公司（单位）名称（盖章）：      </w:t>
      </w:r>
    </w:p>
    <w:p w14:paraId="6F41B81B">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4200" w:leftChars="0" w:right="0" w:firstLine="420"/>
        <w:jc w:val="center"/>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日期：　年　　月　日    </w:t>
      </w:r>
    </w:p>
    <w:p w14:paraId="51D9E6AB">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outlineLvl w:val="9"/>
        <w:rPr>
          <w:rFonts w:hint="eastAsia" w:ascii="宋体" w:hAnsi="宋体" w:eastAsia="宋体" w:cs="宋体"/>
          <w:i w:val="0"/>
          <w:iCs w:val="0"/>
          <w:caps w:val="0"/>
          <w:color w:val="auto"/>
          <w:spacing w:val="0"/>
          <w:sz w:val="24"/>
          <w:szCs w:val="24"/>
        </w:rPr>
      </w:pPr>
    </w:p>
    <w:p w14:paraId="51175D57">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outlineLvl w:val="9"/>
        <w:rPr>
          <w:rFonts w:hint="eastAsia" w:ascii="宋体" w:hAnsi="宋体" w:eastAsia="宋体" w:cs="宋体"/>
          <w:i w:val="0"/>
          <w:iCs w:val="0"/>
          <w:caps w:val="0"/>
          <w:color w:val="auto"/>
          <w:spacing w:val="0"/>
          <w:sz w:val="24"/>
          <w:szCs w:val="24"/>
        </w:rPr>
      </w:pPr>
    </w:p>
    <w:p w14:paraId="15C94FA3">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outlineLvl w:val="9"/>
        <w:rPr>
          <w:rFonts w:hint="eastAsia" w:ascii="宋体" w:hAnsi="宋体" w:eastAsia="宋体" w:cs="宋体"/>
          <w:i w:val="0"/>
          <w:iCs w:val="0"/>
          <w:caps w:val="0"/>
          <w:color w:val="auto"/>
          <w:spacing w:val="0"/>
          <w:sz w:val="24"/>
          <w:szCs w:val="24"/>
          <w:shd w:val="clear" w:fill="FFFFFF"/>
        </w:rPr>
      </w:pPr>
    </w:p>
    <w:p w14:paraId="21E6BBC1">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outlineLvl w:val="9"/>
        <w:rPr>
          <w:rFonts w:hint="eastAsia" w:ascii="宋体" w:hAnsi="宋体" w:eastAsia="宋体" w:cs="宋体"/>
          <w:i w:val="0"/>
          <w:iCs w:val="0"/>
          <w:caps w:val="0"/>
          <w:color w:val="auto"/>
          <w:spacing w:val="0"/>
          <w:sz w:val="24"/>
          <w:szCs w:val="24"/>
          <w:shd w:val="clear" w:fill="FFFFFF"/>
        </w:rPr>
      </w:pPr>
    </w:p>
    <w:p w14:paraId="3F8F59D7">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_____________________________</w:t>
      </w:r>
    </w:p>
    <w:p w14:paraId="5CD4CDD1">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1.产品如有型号，请在“产品名称”栏一并填写。</w:t>
      </w:r>
    </w:p>
    <w:p w14:paraId="1D11BAE9">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2.生产厂名与厂址应与生产厂营业执照载明的相关信息保持一致。</w:t>
      </w:r>
    </w:p>
    <w:p w14:paraId="70137984">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3.该产品的中国境内生产的组件成本占比相关要求实施前，“规定比例”栏可不填，下同。</w:t>
      </w:r>
    </w:p>
    <w:p w14:paraId="7917794C">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outlineLvl w:val="9"/>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4.该产品的关键组件要求实施前，“关键组件”栏可不填，下同。</w:t>
      </w:r>
    </w:p>
    <w:p w14:paraId="4A3C3BD6">
      <w:pPr>
        <w:outlineLvl w:val="9"/>
        <w:rPr>
          <w:rFonts w:hint="eastAsia" w:ascii="宋体" w:hAnsi="宋体" w:eastAsia="宋体" w:cs="宋体"/>
          <w:b/>
          <w:color w:val="auto"/>
          <w:sz w:val="28"/>
          <w:szCs w:val="28"/>
        </w:rPr>
      </w:pPr>
      <w:r>
        <w:rPr>
          <w:rFonts w:hint="eastAsia" w:ascii="宋体" w:hAnsi="宋体" w:eastAsia="宋体" w:cs="宋体"/>
          <w:i w:val="0"/>
          <w:iCs w:val="0"/>
          <w:caps w:val="0"/>
          <w:color w:val="auto"/>
          <w:spacing w:val="0"/>
          <w:sz w:val="24"/>
          <w:szCs w:val="24"/>
          <w:shd w:val="clear" w:fill="FFFFFF"/>
        </w:rPr>
        <w:t>5.该产品的关键工序要求实施前，“关键工序”栏可不填，下同。</w:t>
      </w:r>
      <w:r>
        <w:rPr>
          <w:rFonts w:hint="eastAsia" w:ascii="宋体" w:hAnsi="宋体" w:eastAsia="宋体" w:cs="宋体"/>
          <w:b/>
          <w:color w:val="auto"/>
          <w:sz w:val="28"/>
          <w:szCs w:val="28"/>
        </w:rPr>
        <w:br w:type="page"/>
      </w:r>
    </w:p>
    <w:p w14:paraId="013402E6">
      <w:pPr>
        <w:outlineLvl w:val="9"/>
        <w:rPr>
          <w:rFonts w:hint="eastAsia" w:ascii="宋体" w:hAnsi="宋体" w:eastAsia="宋体" w:cs="宋体"/>
          <w:b/>
          <w:color w:val="auto"/>
          <w:sz w:val="28"/>
          <w:szCs w:val="28"/>
        </w:rPr>
      </w:pPr>
      <w:r>
        <w:rPr>
          <w:rFonts w:hint="eastAsia" w:ascii="宋体" w:hAnsi="宋体" w:eastAsia="宋体" w:cs="宋体"/>
          <w:b/>
          <w:bCs/>
          <w:color w:val="auto"/>
          <w:kern w:val="0"/>
          <w:sz w:val="28"/>
          <w:szCs w:val="28"/>
          <w:lang w:val="en-US" w:eastAsia="zh-CN"/>
        </w:rPr>
        <w:t>附件5：</w:t>
      </w:r>
    </w:p>
    <w:p w14:paraId="61DB48EF">
      <w:pPr>
        <w:pStyle w:val="16"/>
        <w:widowControl/>
        <w:spacing w:before="0" w:beforeAutospacing="0" w:after="0" w:afterAutospacing="0" w:line="360" w:lineRule="auto"/>
        <w:jc w:val="center"/>
        <w:outlineLvl w:val="9"/>
        <w:rPr>
          <w:rFonts w:hint="eastAsia" w:ascii="宋体" w:hAnsi="宋体" w:eastAsia="宋体" w:cs="宋体"/>
          <w:b/>
          <w:bCs/>
          <w:color w:val="auto"/>
          <w:sz w:val="36"/>
          <w:szCs w:val="36"/>
        </w:rPr>
      </w:pPr>
      <w:r>
        <w:rPr>
          <w:rFonts w:hint="eastAsia" w:ascii="宋体" w:hAnsi="宋体" w:eastAsia="宋体" w:cs="宋体"/>
          <w:b/>
          <w:bCs/>
          <w:color w:val="auto"/>
          <w:sz w:val="36"/>
          <w:szCs w:val="36"/>
        </w:rPr>
        <w:t>保密承诺书</w:t>
      </w:r>
    </w:p>
    <w:p w14:paraId="43647EF0">
      <w:pPr>
        <w:pStyle w:val="16"/>
        <w:widowControl/>
        <w:spacing w:before="0" w:beforeAutospacing="0" w:after="0" w:afterAutospacing="0" w:line="360" w:lineRule="auto"/>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为认真遵守保密法规制度，承担应当承担的保密义务，本人庄重承诺：</w:t>
      </w:r>
    </w:p>
    <w:p w14:paraId="1348DC43">
      <w:pPr>
        <w:pStyle w:val="16"/>
        <w:widowControl/>
        <w:spacing w:before="0" w:beforeAutospacing="0" w:after="0" w:afterAutospacing="0" w:line="360" w:lineRule="auto"/>
        <w:ind w:left="420" w:firstLine="420"/>
        <w:outlineLvl w:val="9"/>
        <w:rPr>
          <w:rFonts w:hint="eastAsia" w:ascii="宋体" w:hAnsi="宋体" w:eastAsia="宋体" w:cs="宋体"/>
          <w:color w:val="auto"/>
          <w:sz w:val="28"/>
          <w:szCs w:val="28"/>
        </w:rPr>
      </w:pPr>
      <w:r>
        <w:rPr>
          <w:rFonts w:hint="eastAsia" w:ascii="宋体" w:hAnsi="宋体" w:eastAsia="宋体" w:cs="宋体"/>
          <w:color w:val="auto"/>
          <w:sz w:val="28"/>
          <w:szCs w:val="28"/>
        </w:rPr>
        <w:t>一、认真遵守国家保密法律、法规和规章制度，履行保密义务；</w:t>
      </w:r>
    </w:p>
    <w:p w14:paraId="51C687BA">
      <w:pPr>
        <w:pStyle w:val="16"/>
        <w:widowControl/>
        <w:spacing w:before="0" w:beforeAutospacing="0" w:after="0" w:afterAutospacing="0" w:line="360" w:lineRule="auto"/>
        <w:ind w:left="420" w:firstLine="420"/>
        <w:outlineLvl w:val="9"/>
        <w:rPr>
          <w:rFonts w:hint="eastAsia" w:ascii="宋体" w:hAnsi="宋体" w:eastAsia="宋体" w:cs="宋体"/>
          <w:color w:val="auto"/>
          <w:sz w:val="28"/>
          <w:szCs w:val="28"/>
        </w:rPr>
      </w:pPr>
      <w:r>
        <w:rPr>
          <w:rFonts w:hint="eastAsia" w:ascii="宋体" w:hAnsi="宋体" w:eastAsia="宋体" w:cs="宋体"/>
          <w:color w:val="auto"/>
          <w:sz w:val="28"/>
          <w:szCs w:val="28"/>
        </w:rPr>
        <w:t>二、按照《延安市电子政务内网安全运行保密管理规定》如实提供个人信息，自愿接受保密审查；</w:t>
      </w:r>
    </w:p>
    <w:p w14:paraId="71997F96">
      <w:pPr>
        <w:pStyle w:val="16"/>
        <w:widowControl/>
        <w:spacing w:before="0" w:beforeAutospacing="0" w:after="0" w:afterAutospacing="0" w:line="360" w:lineRule="auto"/>
        <w:ind w:left="420" w:firstLine="420"/>
        <w:outlineLvl w:val="9"/>
        <w:rPr>
          <w:rFonts w:hint="eastAsia" w:ascii="宋体" w:hAnsi="宋体" w:eastAsia="宋体" w:cs="宋体"/>
          <w:color w:val="auto"/>
          <w:sz w:val="28"/>
          <w:szCs w:val="28"/>
        </w:rPr>
      </w:pPr>
      <w:r>
        <w:rPr>
          <w:rFonts w:hint="eastAsia" w:ascii="宋体" w:hAnsi="宋体" w:eastAsia="宋体" w:cs="宋体"/>
          <w:color w:val="auto"/>
          <w:sz w:val="28"/>
          <w:szCs w:val="28"/>
        </w:rPr>
        <w:t>三、不违规记录、存储、复制国家秘密信息，不私自抄录、复印秘密文件、资料，不违规留存国家秘密载体；</w:t>
      </w:r>
    </w:p>
    <w:p w14:paraId="01DA5F6A">
      <w:pPr>
        <w:pStyle w:val="16"/>
        <w:widowControl/>
        <w:spacing w:before="0" w:beforeAutospacing="0" w:after="0" w:afterAutospacing="0" w:line="360" w:lineRule="auto"/>
        <w:ind w:left="420" w:firstLine="420"/>
        <w:outlineLvl w:val="9"/>
        <w:rPr>
          <w:rFonts w:hint="eastAsia" w:ascii="宋体" w:hAnsi="宋体" w:eastAsia="宋体" w:cs="宋体"/>
          <w:color w:val="auto"/>
          <w:sz w:val="28"/>
          <w:szCs w:val="28"/>
        </w:rPr>
      </w:pPr>
      <w:r>
        <w:rPr>
          <w:rFonts w:hint="eastAsia" w:ascii="宋体" w:hAnsi="宋体" w:eastAsia="宋体" w:cs="宋体"/>
          <w:color w:val="auto"/>
          <w:sz w:val="28"/>
          <w:szCs w:val="28"/>
        </w:rPr>
        <w:t>四、不在公共场所和家属、子女、亲友谈及国家秘密和政府工作秘密；</w:t>
      </w:r>
    </w:p>
    <w:p w14:paraId="549FAEC3">
      <w:pPr>
        <w:pStyle w:val="16"/>
        <w:widowControl/>
        <w:spacing w:before="0" w:beforeAutospacing="0" w:after="0" w:afterAutospacing="0" w:line="360" w:lineRule="auto"/>
        <w:ind w:left="420" w:firstLine="420"/>
        <w:outlineLvl w:val="9"/>
        <w:rPr>
          <w:rFonts w:hint="eastAsia" w:ascii="宋体" w:hAnsi="宋体" w:eastAsia="宋体" w:cs="宋体"/>
          <w:color w:val="auto"/>
          <w:sz w:val="28"/>
          <w:szCs w:val="28"/>
        </w:rPr>
      </w:pPr>
      <w:r>
        <w:rPr>
          <w:rFonts w:hint="eastAsia" w:ascii="宋体" w:hAnsi="宋体" w:eastAsia="宋体" w:cs="宋体"/>
          <w:color w:val="auto"/>
          <w:sz w:val="28"/>
          <w:szCs w:val="28"/>
        </w:rPr>
        <w:t>五、不以任何方式泄露所接触和知悉的国家秘密，不随意携带秘密存储介质和卷宗到公共场所；</w:t>
      </w:r>
    </w:p>
    <w:p w14:paraId="25FA45E3">
      <w:pPr>
        <w:pStyle w:val="16"/>
        <w:widowControl/>
        <w:spacing w:before="0" w:beforeAutospacing="0" w:after="0" w:afterAutospacing="0" w:line="360" w:lineRule="auto"/>
        <w:ind w:left="420" w:firstLine="420"/>
        <w:outlineLvl w:val="9"/>
        <w:rPr>
          <w:rFonts w:hint="eastAsia" w:ascii="宋体" w:hAnsi="宋体" w:eastAsia="宋体" w:cs="宋体"/>
          <w:color w:val="auto"/>
          <w:sz w:val="28"/>
          <w:szCs w:val="28"/>
        </w:rPr>
      </w:pPr>
      <w:r>
        <w:rPr>
          <w:rFonts w:hint="eastAsia" w:ascii="宋体" w:hAnsi="宋体" w:eastAsia="宋体" w:cs="宋体"/>
          <w:color w:val="auto"/>
          <w:sz w:val="28"/>
          <w:szCs w:val="28"/>
        </w:rPr>
        <w:t>六、不用普通电话和无线电话传递国家秘密事项，不用明码电报和不加密传真机传输秘密文件、资料；</w:t>
      </w:r>
    </w:p>
    <w:p w14:paraId="71190CCE">
      <w:pPr>
        <w:pStyle w:val="16"/>
        <w:widowControl/>
        <w:spacing w:before="0" w:beforeAutospacing="0" w:after="0" w:afterAutospacing="0" w:line="360" w:lineRule="auto"/>
        <w:ind w:left="420" w:firstLine="420"/>
        <w:outlineLvl w:val="9"/>
        <w:rPr>
          <w:rFonts w:hint="eastAsia" w:ascii="宋体" w:hAnsi="宋体" w:eastAsia="宋体" w:cs="宋体"/>
          <w:color w:val="auto"/>
          <w:sz w:val="28"/>
          <w:szCs w:val="28"/>
        </w:rPr>
      </w:pPr>
      <w:r>
        <w:rPr>
          <w:rFonts w:hint="eastAsia" w:ascii="宋体" w:hAnsi="宋体" w:eastAsia="宋体" w:cs="宋体"/>
          <w:color w:val="auto"/>
          <w:sz w:val="28"/>
          <w:szCs w:val="28"/>
        </w:rPr>
        <w:t>七、未经批准，不擅自发表涉及未公开工作内容的文章、著述；</w:t>
      </w:r>
    </w:p>
    <w:p w14:paraId="422BEBFC">
      <w:pPr>
        <w:pStyle w:val="16"/>
        <w:widowControl/>
        <w:spacing w:before="0" w:beforeAutospacing="0" w:after="0" w:afterAutospacing="0" w:line="360" w:lineRule="auto"/>
        <w:ind w:left="420" w:firstLine="420"/>
        <w:outlineLvl w:val="9"/>
        <w:rPr>
          <w:rFonts w:hint="eastAsia" w:ascii="宋体" w:hAnsi="宋体" w:eastAsia="宋体" w:cs="宋体"/>
          <w:color w:val="auto"/>
          <w:sz w:val="28"/>
          <w:szCs w:val="28"/>
        </w:rPr>
      </w:pPr>
      <w:r>
        <w:rPr>
          <w:rFonts w:hint="eastAsia" w:ascii="宋体" w:hAnsi="宋体" w:eastAsia="宋体" w:cs="宋体"/>
          <w:color w:val="auto"/>
          <w:sz w:val="28"/>
          <w:szCs w:val="28"/>
        </w:rPr>
        <w:t>八、离岗时，自愿接受脱密期管理，签订保密承诺书。</w:t>
      </w:r>
    </w:p>
    <w:p w14:paraId="78E48513">
      <w:pPr>
        <w:pStyle w:val="16"/>
        <w:widowControl/>
        <w:spacing w:before="0" w:beforeAutospacing="0" w:after="0" w:afterAutospacing="0" w:line="360" w:lineRule="auto"/>
        <w:ind w:left="420" w:firstLine="420"/>
        <w:outlineLvl w:val="9"/>
        <w:rPr>
          <w:rFonts w:hint="eastAsia" w:ascii="宋体" w:hAnsi="宋体" w:eastAsia="宋体" w:cs="宋体"/>
          <w:color w:val="auto"/>
          <w:sz w:val="28"/>
          <w:szCs w:val="28"/>
        </w:rPr>
      </w:pPr>
      <w:r>
        <w:rPr>
          <w:rFonts w:hint="eastAsia" w:ascii="宋体" w:hAnsi="宋体" w:eastAsia="宋体" w:cs="宋体"/>
          <w:color w:val="auto"/>
          <w:sz w:val="28"/>
          <w:szCs w:val="28"/>
        </w:rPr>
        <w:t>违反上述承诺，自愿承担党纪、政纪责任和法律后果。</w:t>
      </w:r>
    </w:p>
    <w:p w14:paraId="72598104">
      <w:pPr>
        <w:pStyle w:val="16"/>
        <w:widowControl/>
        <w:spacing w:before="0" w:beforeAutospacing="0" w:after="0" w:afterAutospacing="0" w:line="360" w:lineRule="auto"/>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p>
    <w:p w14:paraId="3FB9C860">
      <w:pPr>
        <w:pStyle w:val="16"/>
        <w:widowControl/>
        <w:spacing w:before="0" w:beforeAutospacing="0" w:after="0" w:afterAutospacing="0" w:line="360" w:lineRule="auto"/>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 xml:space="preserve">                   承诺人签名：</w:t>
      </w:r>
    </w:p>
    <w:p w14:paraId="01A3A7C6">
      <w:pPr>
        <w:pStyle w:val="16"/>
        <w:widowControl/>
        <w:spacing w:before="0" w:beforeAutospacing="0" w:after="0" w:afterAutospacing="0" w:line="360" w:lineRule="auto"/>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w:t>
      </w:r>
    </w:p>
    <w:p w14:paraId="1F9F351D">
      <w:pPr>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54FBECBB">
      <w:pPr>
        <w:spacing w:line="360" w:lineRule="auto"/>
        <w:jc w:val="center"/>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t>第五部分  技术方案</w:t>
      </w:r>
    </w:p>
    <w:p w14:paraId="4E267DA5">
      <w:pPr>
        <w:outlineLvl w:val="9"/>
        <w:rPr>
          <w:rFonts w:hint="eastAsia" w:ascii="宋体" w:hAnsi="宋体" w:eastAsia="宋体" w:cs="宋体"/>
          <w:color w:val="auto"/>
        </w:rPr>
      </w:pPr>
    </w:p>
    <w:p w14:paraId="3F28C388">
      <w:pPr>
        <w:snapToGrid w:val="0"/>
        <w:spacing w:line="360" w:lineRule="auto"/>
        <w:textAlignment w:val="baseline"/>
        <w:outlineLvl w:val="9"/>
        <w:rPr>
          <w:rFonts w:hint="eastAsia" w:ascii="宋体" w:hAnsi="宋体" w:eastAsia="宋体" w:cs="宋体"/>
          <w:b/>
          <w:color w:val="auto"/>
          <w:sz w:val="24"/>
        </w:rPr>
      </w:pPr>
    </w:p>
    <w:p w14:paraId="2DA655E2">
      <w:pPr>
        <w:snapToGrid w:val="0"/>
        <w:spacing w:line="360" w:lineRule="auto"/>
        <w:jc w:val="center"/>
        <w:textAlignment w:val="baseline"/>
        <w:outlineLvl w:val="9"/>
        <w:rPr>
          <w:rFonts w:hint="eastAsia" w:ascii="宋体" w:hAnsi="宋体" w:eastAsia="宋体" w:cs="宋体"/>
          <w:color w:val="auto"/>
          <w:sz w:val="24"/>
        </w:rPr>
      </w:pPr>
      <w:r>
        <w:rPr>
          <w:rFonts w:hint="eastAsia" w:ascii="宋体" w:hAnsi="宋体" w:eastAsia="宋体" w:cs="宋体"/>
          <w:b/>
          <w:color w:val="auto"/>
          <w:sz w:val="24"/>
        </w:rPr>
        <w:t>（各投标人根据采购内容及评标办法，可自主编写方案说明）</w:t>
      </w:r>
    </w:p>
    <w:p w14:paraId="15D53421">
      <w:pPr>
        <w:spacing w:line="360" w:lineRule="auto"/>
        <w:outlineLvl w:val="9"/>
        <w:rPr>
          <w:rFonts w:hint="eastAsia" w:ascii="宋体" w:hAnsi="宋体" w:eastAsia="宋体" w:cs="宋体"/>
          <w:color w:val="auto"/>
          <w:sz w:val="24"/>
          <w:szCs w:val="28"/>
        </w:rPr>
      </w:pPr>
      <w:r>
        <w:rPr>
          <w:rFonts w:hint="eastAsia" w:ascii="宋体" w:hAnsi="宋体" w:eastAsia="宋体" w:cs="宋体"/>
          <w:color w:val="auto"/>
          <w:sz w:val="24"/>
        </w:rPr>
        <w:br w:type="page"/>
      </w:r>
    </w:p>
    <w:p w14:paraId="2D212AD9">
      <w:pPr>
        <w:spacing w:line="360" w:lineRule="auto"/>
        <w:jc w:val="center"/>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t>第六部分  承诺书</w:t>
      </w:r>
    </w:p>
    <w:p w14:paraId="7B37D2BF">
      <w:pPr>
        <w:outlineLvl w:val="9"/>
        <w:rPr>
          <w:rFonts w:hint="eastAsia" w:ascii="宋体" w:hAnsi="宋体" w:eastAsia="宋体" w:cs="宋体"/>
          <w:color w:val="auto"/>
        </w:rPr>
      </w:pPr>
    </w:p>
    <w:p w14:paraId="046A20AE">
      <w:pPr>
        <w:pStyle w:val="10"/>
        <w:spacing w:line="360" w:lineRule="auto"/>
        <w:jc w:val="center"/>
        <w:outlineLvl w:val="9"/>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szCs w:val="32"/>
        </w:rPr>
        <w:t>Ⅰ</w:t>
      </w:r>
    </w:p>
    <w:p w14:paraId="48CAC9DE">
      <w:pPr>
        <w:spacing w:line="360" w:lineRule="auto"/>
        <w:ind w:firstLine="360" w:firstLineChars="150"/>
        <w:outlineLvl w:val="9"/>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w:t>
      </w:r>
      <w:r>
        <w:rPr>
          <w:rFonts w:hint="eastAsia" w:ascii="宋体" w:hAnsi="宋体" w:eastAsia="宋体" w:cs="宋体"/>
          <w:color w:val="auto"/>
          <w:sz w:val="24"/>
        </w:rPr>
        <w:t>国务院</w:t>
      </w:r>
      <w:r>
        <w:rPr>
          <w:rFonts w:hint="eastAsia" w:ascii="宋体" w:hAnsi="宋体" w:eastAsia="宋体" w:cs="宋体"/>
          <w:color w:val="auto"/>
          <w:sz w:val="24"/>
          <w:szCs w:val="28"/>
        </w:rPr>
        <w:t>关于治理政府采购领域商业贿赂行为的号召，我公司在此庄严承诺：</w:t>
      </w:r>
    </w:p>
    <w:p w14:paraId="7E189FCE">
      <w:pPr>
        <w:spacing w:line="360" w:lineRule="auto"/>
        <w:ind w:firstLine="480" w:firstLineChars="200"/>
        <w:outlineLvl w:val="9"/>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0A2C9CBD">
      <w:pPr>
        <w:spacing w:line="360" w:lineRule="auto"/>
        <w:ind w:firstLine="480" w:firstLineChars="200"/>
        <w:outlineLvl w:val="9"/>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0E9A87F9">
      <w:pPr>
        <w:spacing w:line="360" w:lineRule="auto"/>
        <w:ind w:firstLine="480" w:firstLineChars="200"/>
        <w:outlineLvl w:val="9"/>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14:paraId="027F2D1F">
      <w:pPr>
        <w:spacing w:line="360" w:lineRule="auto"/>
        <w:ind w:firstLine="480" w:firstLineChars="200"/>
        <w:outlineLvl w:val="9"/>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7978BADC">
      <w:pPr>
        <w:spacing w:line="360" w:lineRule="auto"/>
        <w:ind w:firstLine="480" w:firstLineChars="200"/>
        <w:outlineLvl w:val="9"/>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14:paraId="222300B4">
      <w:pPr>
        <w:spacing w:line="360" w:lineRule="auto"/>
        <w:ind w:firstLine="480" w:firstLineChars="200"/>
        <w:outlineLvl w:val="9"/>
        <w:rPr>
          <w:rFonts w:hint="eastAsia" w:ascii="宋体" w:hAnsi="宋体" w:eastAsia="宋体" w:cs="宋体"/>
          <w:color w:val="auto"/>
          <w:sz w:val="24"/>
          <w:szCs w:val="28"/>
        </w:rPr>
      </w:pPr>
      <w:r>
        <w:rPr>
          <w:rFonts w:hint="eastAsia" w:ascii="宋体" w:hAnsi="宋体" w:eastAsia="宋体" w:cs="宋体"/>
          <w:color w:val="auto"/>
          <w:sz w:val="24"/>
          <w:szCs w:val="28"/>
        </w:rPr>
        <w:t>6.不在提供产品时“偷梁换柱、以次充好”损害采购人的合法权益；</w:t>
      </w:r>
    </w:p>
    <w:p w14:paraId="65B260FD">
      <w:pPr>
        <w:spacing w:line="360" w:lineRule="auto"/>
        <w:ind w:firstLine="480" w:firstLineChars="200"/>
        <w:outlineLvl w:val="9"/>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14:paraId="442DF74A">
      <w:pPr>
        <w:spacing w:line="360" w:lineRule="auto"/>
        <w:ind w:firstLine="480" w:firstLineChars="200"/>
        <w:outlineLvl w:val="9"/>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14:paraId="5B32435E">
      <w:pPr>
        <w:spacing w:line="360" w:lineRule="auto"/>
        <w:ind w:firstLine="480" w:firstLineChars="200"/>
        <w:outlineLvl w:val="9"/>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14:paraId="4EDB44C8">
      <w:pPr>
        <w:spacing w:line="360" w:lineRule="auto"/>
        <w:ind w:firstLine="480" w:firstLineChars="200"/>
        <w:outlineLvl w:val="9"/>
        <w:rPr>
          <w:rFonts w:hint="eastAsia" w:ascii="宋体" w:hAnsi="宋体" w:eastAsia="宋体" w:cs="宋体"/>
          <w:color w:val="auto"/>
          <w:sz w:val="24"/>
          <w:szCs w:val="28"/>
        </w:rPr>
      </w:pPr>
    </w:p>
    <w:p w14:paraId="54D6DF26">
      <w:pPr>
        <w:spacing w:line="360" w:lineRule="auto"/>
        <w:ind w:firstLine="480" w:firstLineChars="200"/>
        <w:outlineLvl w:val="9"/>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14:paraId="1DAAD12C">
      <w:pPr>
        <w:spacing w:line="360" w:lineRule="auto"/>
        <w:ind w:firstLine="360" w:firstLineChars="150"/>
        <w:outlineLvl w:val="9"/>
        <w:rPr>
          <w:rFonts w:hint="eastAsia" w:ascii="宋体" w:hAnsi="宋体" w:eastAsia="宋体" w:cs="宋体"/>
          <w:color w:val="auto"/>
          <w:sz w:val="24"/>
          <w:szCs w:val="28"/>
        </w:rPr>
      </w:pPr>
    </w:p>
    <w:p w14:paraId="6A9A9248">
      <w:pPr>
        <w:spacing w:line="360" w:lineRule="auto"/>
        <w:ind w:firstLine="480" w:firstLineChars="200"/>
        <w:outlineLvl w:val="9"/>
        <w:rPr>
          <w:rFonts w:hint="eastAsia" w:ascii="宋体" w:hAnsi="宋体" w:eastAsia="宋体" w:cs="宋体"/>
          <w:color w:val="auto"/>
          <w:sz w:val="24"/>
          <w:szCs w:val="28"/>
        </w:rPr>
      </w:pPr>
      <w:r>
        <w:rPr>
          <w:rFonts w:hint="eastAsia" w:ascii="宋体" w:hAnsi="宋体" w:eastAsia="宋体" w:cs="宋体"/>
          <w:color w:val="auto"/>
          <w:sz w:val="24"/>
          <w:szCs w:val="28"/>
        </w:rPr>
        <w:t>全权代表：</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u w:val="single"/>
          <w:lang w:val="en-US" w:eastAsia="zh-CN"/>
        </w:rPr>
        <w:t xml:space="preserve">    </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（签字或盖章）</w:t>
      </w:r>
    </w:p>
    <w:p w14:paraId="7577254C">
      <w:pPr>
        <w:spacing w:line="360" w:lineRule="auto"/>
        <w:ind w:firstLine="360" w:firstLineChars="150"/>
        <w:outlineLvl w:val="9"/>
        <w:rPr>
          <w:rFonts w:hint="eastAsia" w:ascii="宋体" w:hAnsi="宋体" w:eastAsia="宋体" w:cs="宋体"/>
          <w:color w:val="auto"/>
          <w:sz w:val="24"/>
          <w:szCs w:val="28"/>
        </w:rPr>
      </w:pPr>
    </w:p>
    <w:p w14:paraId="0C58F402">
      <w:pPr>
        <w:spacing w:line="360" w:lineRule="auto"/>
        <w:ind w:firstLine="480" w:firstLineChars="200"/>
        <w:outlineLvl w:val="9"/>
        <w:rPr>
          <w:rFonts w:hint="eastAsia" w:ascii="宋体" w:hAnsi="宋体" w:eastAsia="宋体" w:cs="宋体"/>
          <w:color w:val="auto"/>
          <w:sz w:val="24"/>
          <w:szCs w:val="28"/>
        </w:rPr>
      </w:pPr>
      <w:r>
        <w:rPr>
          <w:rFonts w:hint="eastAsia" w:ascii="宋体" w:hAnsi="宋体" w:eastAsia="宋体" w:cs="宋体"/>
          <w:color w:val="auto"/>
          <w:sz w:val="24"/>
          <w:szCs w:val="28"/>
        </w:rPr>
        <w:t xml:space="preserve">地址： </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邮编：</w:t>
      </w:r>
      <w:r>
        <w:rPr>
          <w:rFonts w:hint="eastAsia" w:ascii="宋体" w:hAnsi="宋体" w:eastAsia="宋体" w:cs="宋体"/>
          <w:color w:val="auto"/>
          <w:sz w:val="24"/>
          <w:szCs w:val="28"/>
          <w:u w:val="single"/>
        </w:rPr>
        <w:t xml:space="preserve">               </w:t>
      </w:r>
    </w:p>
    <w:p w14:paraId="5BE61E66">
      <w:pPr>
        <w:spacing w:line="360" w:lineRule="auto"/>
        <w:ind w:firstLine="480" w:firstLineChars="200"/>
        <w:outlineLvl w:val="9"/>
        <w:rPr>
          <w:rFonts w:hint="eastAsia" w:ascii="宋体" w:hAnsi="宋体" w:eastAsia="宋体" w:cs="宋体"/>
          <w:color w:val="auto"/>
          <w:sz w:val="24"/>
          <w:szCs w:val="28"/>
        </w:rPr>
      </w:pPr>
    </w:p>
    <w:p w14:paraId="436EB63F">
      <w:pPr>
        <w:spacing w:line="360" w:lineRule="auto"/>
        <w:ind w:firstLine="480" w:firstLineChars="200"/>
        <w:outlineLvl w:val="9"/>
        <w:rPr>
          <w:rFonts w:hint="eastAsia" w:ascii="宋体" w:hAnsi="宋体" w:eastAsia="宋体" w:cs="宋体"/>
          <w:color w:val="auto"/>
          <w:sz w:val="24"/>
          <w:szCs w:val="28"/>
        </w:rPr>
      </w:pP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14:paraId="5CCBF3E0">
      <w:pPr>
        <w:spacing w:line="360" w:lineRule="auto"/>
        <w:ind w:firstLine="360" w:firstLineChars="150"/>
        <w:outlineLvl w:val="9"/>
        <w:rPr>
          <w:rFonts w:hint="eastAsia" w:ascii="宋体" w:hAnsi="宋体" w:eastAsia="宋体" w:cs="宋体"/>
          <w:color w:val="auto"/>
          <w:sz w:val="24"/>
          <w:szCs w:val="28"/>
        </w:rPr>
      </w:pPr>
    </w:p>
    <w:p w14:paraId="2D88FC9B">
      <w:pPr>
        <w:spacing w:line="360" w:lineRule="auto"/>
        <w:ind w:right="480" w:firstLine="360" w:firstLineChars="150"/>
        <w:jc w:val="center"/>
        <w:outlineLvl w:val="9"/>
        <w:rPr>
          <w:rFonts w:hint="eastAsia" w:ascii="宋体" w:hAnsi="宋体" w:eastAsia="宋体" w:cs="宋体"/>
          <w:color w:val="auto"/>
          <w:sz w:val="24"/>
          <w:szCs w:val="28"/>
        </w:rPr>
      </w:pPr>
      <w:r>
        <w:rPr>
          <w:rFonts w:hint="eastAsia" w:ascii="宋体" w:hAnsi="宋体" w:eastAsia="宋体" w:cs="宋体"/>
          <w:color w:val="auto"/>
          <w:sz w:val="24"/>
          <w:szCs w:val="28"/>
        </w:rPr>
        <w:t xml:space="preserve">                                            </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日</w:t>
      </w:r>
    </w:p>
    <w:p w14:paraId="0783D91C">
      <w:pPr>
        <w:snapToGrid w:val="0"/>
        <w:spacing w:line="360" w:lineRule="auto"/>
        <w:ind w:firstLine="4189" w:firstLineChars="1304"/>
        <w:textAlignment w:val="baseline"/>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bookmarkStart w:id="3" w:name="_Toc25411"/>
      <w:bookmarkStart w:id="4" w:name="_Toc11970"/>
      <w:r>
        <w:rPr>
          <w:rFonts w:hint="eastAsia" w:ascii="宋体" w:hAnsi="宋体" w:eastAsia="宋体" w:cs="宋体"/>
          <w:b/>
          <w:color w:val="auto"/>
          <w:sz w:val="32"/>
          <w:szCs w:val="32"/>
        </w:rPr>
        <w:t>承诺书Ⅱ</w:t>
      </w:r>
    </w:p>
    <w:tbl>
      <w:tblPr>
        <w:tblStyle w:val="1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98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54631C9">
            <w:pPr>
              <w:snapToGrid w:val="0"/>
              <w:spacing w:line="360" w:lineRule="auto"/>
              <w:textAlignment w:val="baseline"/>
              <w:outlineLvl w:val="9"/>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pacing w:val="-6"/>
                <w:sz w:val="24"/>
                <w:lang w:eastAsia="zh-CN"/>
              </w:rPr>
              <w:t>陕西宏扬项目管理有限公司</w:t>
            </w:r>
            <w:r>
              <w:rPr>
                <w:rFonts w:hint="eastAsia" w:ascii="宋体" w:hAnsi="宋体" w:eastAsia="宋体" w:cs="宋体"/>
                <w:color w:val="auto"/>
                <w:spacing w:val="-6"/>
                <w:sz w:val="24"/>
              </w:rPr>
              <w:t xml:space="preserve"> </w:t>
            </w:r>
          </w:p>
        </w:tc>
      </w:tr>
      <w:tr w14:paraId="02B88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F5AD3B1">
            <w:pPr>
              <w:snapToGrid w:val="0"/>
              <w:spacing w:line="360" w:lineRule="auto"/>
              <w:ind w:firstLine="480" w:firstLineChars="200"/>
              <w:textAlignment w:val="baseline"/>
              <w:outlineLvl w:val="9"/>
              <w:rPr>
                <w:rFonts w:hint="eastAsia" w:ascii="宋体" w:hAnsi="宋体" w:eastAsia="宋体" w:cs="宋体"/>
                <w:color w:val="auto"/>
                <w:sz w:val="24"/>
              </w:rPr>
            </w:pPr>
            <w:r>
              <w:rPr>
                <w:rFonts w:hint="eastAsia" w:ascii="宋体" w:hAnsi="宋体" w:eastAsia="宋体" w:cs="宋体"/>
                <w:color w:val="auto"/>
                <w:sz w:val="24"/>
              </w:rPr>
              <w:t>作为参加贵单位组织的招标采购项目的投标人，本公司承诺：在参加本项目招标之前不存在被依法禁止经营行为、财产被接管或冻结的情况，如有隐瞒实情，愿承担一切责任及后果。</w:t>
            </w:r>
          </w:p>
        </w:tc>
      </w:tr>
      <w:tr w14:paraId="10A15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FBC2C4D">
            <w:pPr>
              <w:snapToGrid w:val="0"/>
              <w:spacing w:line="360" w:lineRule="auto"/>
              <w:jc w:val="center"/>
              <w:textAlignment w:val="baseline"/>
              <w:outlineLvl w:val="9"/>
              <w:rPr>
                <w:rFonts w:hint="eastAsia" w:ascii="宋体" w:hAnsi="宋体" w:eastAsia="宋体" w:cs="宋体"/>
                <w:color w:val="auto"/>
                <w:sz w:val="24"/>
              </w:rPr>
            </w:pPr>
            <w:r>
              <w:rPr>
                <w:rFonts w:hint="eastAsia" w:ascii="宋体" w:hAnsi="宋体" w:eastAsia="宋体" w:cs="宋体"/>
                <w:color w:val="auto"/>
                <w:sz w:val="24"/>
              </w:rPr>
              <w:t>投标人</w:t>
            </w:r>
          </w:p>
        </w:tc>
        <w:tc>
          <w:tcPr>
            <w:tcW w:w="3420" w:type="dxa"/>
            <w:vAlign w:val="center"/>
          </w:tcPr>
          <w:p w14:paraId="2D62B7EE">
            <w:pPr>
              <w:snapToGrid w:val="0"/>
              <w:spacing w:line="360" w:lineRule="auto"/>
              <w:jc w:val="center"/>
              <w:textAlignment w:val="baseline"/>
              <w:outlineLvl w:val="9"/>
              <w:rPr>
                <w:rFonts w:hint="default" w:ascii="宋体" w:hAnsi="宋体" w:eastAsia="宋体" w:cs="宋体"/>
                <w:color w:val="auto"/>
                <w:sz w:val="24"/>
                <w:lang w:val="en-US" w:eastAsia="zh-CN"/>
              </w:rPr>
            </w:pPr>
            <w:r>
              <w:rPr>
                <w:rFonts w:hint="eastAsia" w:ascii="宋体" w:hAnsi="宋体" w:eastAsia="宋体" w:cs="宋体"/>
                <w:color w:val="auto"/>
                <w:sz w:val="24"/>
              </w:rPr>
              <w:t>法定代表人</w:t>
            </w:r>
            <w:r>
              <w:rPr>
                <w:rFonts w:hint="eastAsia" w:ascii="宋体" w:hAnsi="宋体" w:cs="宋体"/>
                <w:color w:val="auto"/>
                <w:sz w:val="24"/>
                <w:lang w:val="en-US" w:eastAsia="zh-CN"/>
              </w:rPr>
              <w:t>/负责人</w:t>
            </w:r>
          </w:p>
        </w:tc>
        <w:tc>
          <w:tcPr>
            <w:tcW w:w="2340" w:type="dxa"/>
            <w:vAlign w:val="center"/>
          </w:tcPr>
          <w:p w14:paraId="08DF6AAE">
            <w:pPr>
              <w:snapToGrid w:val="0"/>
              <w:spacing w:line="360" w:lineRule="auto"/>
              <w:jc w:val="center"/>
              <w:textAlignment w:val="baseline"/>
              <w:outlineLvl w:val="9"/>
              <w:rPr>
                <w:rFonts w:hint="eastAsia" w:ascii="宋体" w:hAnsi="宋体" w:eastAsia="宋体" w:cs="宋体"/>
                <w:color w:val="auto"/>
                <w:sz w:val="24"/>
              </w:rPr>
            </w:pPr>
            <w:r>
              <w:rPr>
                <w:rFonts w:hint="eastAsia" w:ascii="宋体" w:hAnsi="宋体" w:eastAsia="宋体" w:cs="宋体"/>
                <w:color w:val="auto"/>
                <w:sz w:val="24"/>
              </w:rPr>
              <w:t>日  期</w:t>
            </w:r>
          </w:p>
        </w:tc>
      </w:tr>
      <w:tr w14:paraId="1AB71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62AB096">
            <w:pPr>
              <w:snapToGrid w:val="0"/>
              <w:spacing w:line="360" w:lineRule="auto"/>
              <w:jc w:val="center"/>
              <w:textAlignment w:val="baseline"/>
              <w:outlineLvl w:val="9"/>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031C68BC">
            <w:pPr>
              <w:snapToGrid w:val="0"/>
              <w:spacing w:line="360" w:lineRule="auto"/>
              <w:jc w:val="center"/>
              <w:textAlignment w:val="baseline"/>
              <w:outlineLvl w:val="9"/>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vAlign w:val="center"/>
          </w:tcPr>
          <w:p w14:paraId="1987DD23">
            <w:pPr>
              <w:snapToGrid w:val="0"/>
              <w:spacing w:line="360" w:lineRule="auto"/>
              <w:ind w:firstLine="240" w:firstLineChars="100"/>
              <w:jc w:val="center"/>
              <w:textAlignment w:val="baseline"/>
              <w:outlineLvl w:val="9"/>
              <w:rPr>
                <w:rFonts w:hint="eastAsia" w:ascii="宋体" w:hAnsi="宋体" w:eastAsia="宋体" w:cs="宋体"/>
                <w:color w:val="auto"/>
                <w:sz w:val="24"/>
              </w:rPr>
            </w:pPr>
            <w:r>
              <w:rPr>
                <w:rFonts w:hint="eastAsia" w:ascii="宋体" w:hAnsi="宋体" w:eastAsia="宋体" w:cs="宋体"/>
                <w:color w:val="auto"/>
                <w:sz w:val="24"/>
              </w:rPr>
              <w:t>年  月  日</w:t>
            </w:r>
          </w:p>
        </w:tc>
      </w:tr>
    </w:tbl>
    <w:p w14:paraId="52624DC0">
      <w:pPr>
        <w:snapToGrid w:val="0"/>
        <w:spacing w:line="360" w:lineRule="auto"/>
        <w:textAlignment w:val="baseline"/>
        <w:outlineLvl w:val="9"/>
        <w:rPr>
          <w:rFonts w:hint="eastAsia" w:ascii="宋体" w:hAnsi="宋体" w:eastAsia="宋体" w:cs="宋体"/>
          <w:b/>
          <w:color w:val="auto"/>
          <w:sz w:val="32"/>
          <w:szCs w:val="32"/>
        </w:rPr>
      </w:pPr>
    </w:p>
    <w:p w14:paraId="6FE14447">
      <w:pPr>
        <w:snapToGrid w:val="0"/>
        <w:spacing w:line="360" w:lineRule="auto"/>
        <w:jc w:val="center"/>
        <w:textAlignment w:val="baseline"/>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t>承诺书Ⅲ</w:t>
      </w:r>
    </w:p>
    <w:tbl>
      <w:tblPr>
        <w:tblStyle w:val="1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2202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02B93A4">
            <w:pPr>
              <w:snapToGrid w:val="0"/>
              <w:spacing w:line="360" w:lineRule="auto"/>
              <w:textAlignment w:val="baseline"/>
              <w:outlineLvl w:val="9"/>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pacing w:val="-6"/>
                <w:sz w:val="24"/>
                <w:lang w:eastAsia="zh-CN"/>
              </w:rPr>
              <w:t>陕西宏扬项目管理有限公司</w:t>
            </w:r>
            <w:r>
              <w:rPr>
                <w:rFonts w:hint="eastAsia" w:ascii="宋体" w:hAnsi="宋体" w:eastAsia="宋体" w:cs="宋体"/>
                <w:color w:val="auto"/>
                <w:spacing w:val="-6"/>
                <w:sz w:val="24"/>
              </w:rPr>
              <w:t xml:space="preserve"> </w:t>
            </w:r>
          </w:p>
        </w:tc>
      </w:tr>
      <w:tr w14:paraId="29087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5FB9C80E">
            <w:pPr>
              <w:snapToGrid w:val="0"/>
              <w:spacing w:line="360" w:lineRule="auto"/>
              <w:ind w:firstLine="480" w:firstLineChars="200"/>
              <w:textAlignment w:val="baseline"/>
              <w:outlineLvl w:val="9"/>
              <w:rPr>
                <w:rFonts w:hint="eastAsia" w:ascii="宋体" w:hAnsi="宋体" w:eastAsia="宋体" w:cs="宋体"/>
                <w:color w:val="auto"/>
                <w:sz w:val="24"/>
              </w:rPr>
            </w:pPr>
            <w:r>
              <w:rPr>
                <w:rFonts w:hint="eastAsia" w:ascii="宋体" w:hAnsi="宋体" w:eastAsia="宋体" w:cs="宋体"/>
                <w:color w:val="auto"/>
                <w:sz w:val="24"/>
              </w:rPr>
              <w:t>作为参加贵公司组织的招标采购项目的投标人，本公司承诺：参加本次投标提交的所有资质证明文件及业绩证明是真实的、有效的，如有隐瞒实情，愿承担一切责任及后果。</w:t>
            </w:r>
          </w:p>
        </w:tc>
      </w:tr>
      <w:tr w14:paraId="78C1A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EC545BC">
            <w:pPr>
              <w:snapToGrid w:val="0"/>
              <w:spacing w:line="360" w:lineRule="auto"/>
              <w:jc w:val="center"/>
              <w:textAlignment w:val="baseline"/>
              <w:outlineLvl w:val="9"/>
              <w:rPr>
                <w:rFonts w:hint="eastAsia" w:ascii="宋体" w:hAnsi="宋体" w:eastAsia="宋体" w:cs="宋体"/>
                <w:color w:val="auto"/>
                <w:sz w:val="24"/>
              </w:rPr>
            </w:pPr>
            <w:r>
              <w:rPr>
                <w:rFonts w:hint="eastAsia" w:ascii="宋体" w:hAnsi="宋体" w:eastAsia="宋体" w:cs="宋体"/>
                <w:color w:val="auto"/>
                <w:sz w:val="24"/>
              </w:rPr>
              <w:t>投标人</w:t>
            </w:r>
          </w:p>
        </w:tc>
        <w:tc>
          <w:tcPr>
            <w:tcW w:w="3420" w:type="dxa"/>
            <w:vAlign w:val="center"/>
          </w:tcPr>
          <w:p w14:paraId="4646B8A3">
            <w:pPr>
              <w:snapToGrid w:val="0"/>
              <w:spacing w:line="360" w:lineRule="auto"/>
              <w:jc w:val="center"/>
              <w:textAlignment w:val="baseline"/>
              <w:outlineLvl w:val="9"/>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cs="宋体"/>
                <w:color w:val="auto"/>
                <w:sz w:val="24"/>
                <w:lang w:val="en-US" w:eastAsia="zh-CN"/>
              </w:rPr>
              <w:t>/负责人</w:t>
            </w:r>
          </w:p>
        </w:tc>
        <w:tc>
          <w:tcPr>
            <w:tcW w:w="2340" w:type="dxa"/>
            <w:vAlign w:val="center"/>
          </w:tcPr>
          <w:p w14:paraId="65A17DBB">
            <w:pPr>
              <w:snapToGrid w:val="0"/>
              <w:spacing w:line="360" w:lineRule="auto"/>
              <w:jc w:val="center"/>
              <w:textAlignment w:val="baseline"/>
              <w:outlineLvl w:val="9"/>
              <w:rPr>
                <w:rFonts w:hint="eastAsia" w:ascii="宋体" w:hAnsi="宋体" w:eastAsia="宋体" w:cs="宋体"/>
                <w:color w:val="auto"/>
                <w:sz w:val="24"/>
              </w:rPr>
            </w:pPr>
            <w:r>
              <w:rPr>
                <w:rFonts w:hint="eastAsia" w:ascii="宋体" w:hAnsi="宋体" w:eastAsia="宋体" w:cs="宋体"/>
                <w:color w:val="auto"/>
                <w:sz w:val="24"/>
              </w:rPr>
              <w:t>日   期</w:t>
            </w:r>
          </w:p>
        </w:tc>
      </w:tr>
      <w:tr w14:paraId="3C149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73B02043">
            <w:pPr>
              <w:snapToGrid w:val="0"/>
              <w:spacing w:line="360" w:lineRule="auto"/>
              <w:jc w:val="center"/>
              <w:textAlignment w:val="baseline"/>
              <w:outlineLvl w:val="9"/>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118A8BE6">
            <w:pPr>
              <w:snapToGrid w:val="0"/>
              <w:spacing w:line="360" w:lineRule="auto"/>
              <w:jc w:val="center"/>
              <w:textAlignment w:val="baseline"/>
              <w:outlineLvl w:val="9"/>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vAlign w:val="center"/>
          </w:tcPr>
          <w:p w14:paraId="213F94DC">
            <w:pPr>
              <w:snapToGrid w:val="0"/>
              <w:spacing w:line="360" w:lineRule="auto"/>
              <w:ind w:firstLine="240" w:firstLineChars="100"/>
              <w:jc w:val="center"/>
              <w:textAlignment w:val="baseline"/>
              <w:outlineLvl w:val="9"/>
              <w:rPr>
                <w:rFonts w:hint="eastAsia" w:ascii="宋体" w:hAnsi="宋体" w:eastAsia="宋体" w:cs="宋体"/>
                <w:color w:val="auto"/>
                <w:sz w:val="24"/>
              </w:rPr>
            </w:pPr>
            <w:r>
              <w:rPr>
                <w:rFonts w:hint="eastAsia" w:ascii="宋体" w:hAnsi="宋体" w:eastAsia="宋体" w:cs="宋体"/>
                <w:color w:val="auto"/>
                <w:sz w:val="24"/>
              </w:rPr>
              <w:t>年  月  日</w:t>
            </w:r>
          </w:p>
        </w:tc>
      </w:tr>
    </w:tbl>
    <w:p w14:paraId="6829B8CF">
      <w:pPr>
        <w:spacing w:line="360" w:lineRule="auto"/>
        <w:jc w:val="center"/>
        <w:outlineLvl w:val="9"/>
        <w:rPr>
          <w:rFonts w:hint="eastAsia" w:ascii="宋体" w:hAnsi="宋体" w:eastAsia="宋体" w:cs="宋体"/>
          <w:b/>
          <w:color w:val="auto"/>
          <w:sz w:val="32"/>
          <w:szCs w:val="32"/>
        </w:rPr>
      </w:pPr>
    </w:p>
    <w:p w14:paraId="0AC7E88F">
      <w:pPr>
        <w:spacing w:line="360" w:lineRule="auto"/>
        <w:jc w:val="center"/>
        <w:outlineLvl w:val="9"/>
        <w:rPr>
          <w:rFonts w:hint="eastAsia" w:ascii="宋体" w:hAnsi="宋体" w:eastAsia="宋体" w:cs="宋体"/>
          <w:b/>
          <w:color w:val="auto"/>
          <w:sz w:val="32"/>
          <w:szCs w:val="32"/>
        </w:rPr>
      </w:pPr>
    </w:p>
    <w:p w14:paraId="4A6F6131">
      <w:pPr>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611EF54D">
      <w:pPr>
        <w:spacing w:line="360" w:lineRule="auto"/>
        <w:jc w:val="center"/>
        <w:outlineLvl w:val="9"/>
        <w:rPr>
          <w:rFonts w:hint="eastAsia" w:ascii="宋体" w:hAnsi="宋体" w:eastAsia="宋体" w:cs="宋体"/>
          <w:b/>
          <w:color w:val="auto"/>
          <w:sz w:val="32"/>
          <w:szCs w:val="32"/>
        </w:rPr>
      </w:pPr>
      <w:r>
        <w:rPr>
          <w:rFonts w:hint="eastAsia" w:ascii="宋体" w:hAnsi="宋体" w:eastAsia="宋体" w:cs="宋体"/>
          <w:b/>
          <w:color w:val="auto"/>
          <w:sz w:val="32"/>
          <w:szCs w:val="32"/>
        </w:rPr>
        <w:t>承诺书</w:t>
      </w:r>
      <w:r>
        <w:rPr>
          <w:rFonts w:hint="eastAsia" w:ascii="宋体" w:hAnsi="宋体" w:eastAsia="宋体" w:cs="宋体"/>
          <w:b/>
          <w:color w:val="auto"/>
          <w:sz w:val="36"/>
          <w:szCs w:val="36"/>
        </w:rPr>
        <w:t>IV</w:t>
      </w:r>
    </w:p>
    <w:tbl>
      <w:tblPr>
        <w:tblStyle w:val="1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C8BB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4CDF5AB">
            <w:pPr>
              <w:spacing w:line="360" w:lineRule="auto"/>
              <w:outlineLvl w:val="9"/>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pacing w:val="-6"/>
                <w:sz w:val="24"/>
                <w:lang w:eastAsia="zh-CN"/>
              </w:rPr>
              <w:t>陕西宏扬项目管理有限公司</w:t>
            </w:r>
            <w:r>
              <w:rPr>
                <w:rFonts w:hint="eastAsia" w:ascii="宋体" w:hAnsi="宋体" w:eastAsia="宋体" w:cs="宋体"/>
                <w:color w:val="auto"/>
                <w:spacing w:val="-6"/>
                <w:sz w:val="24"/>
              </w:rPr>
              <w:t xml:space="preserve"> </w:t>
            </w:r>
          </w:p>
        </w:tc>
      </w:tr>
      <w:tr w14:paraId="270E1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B5857DD">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作为参加贵公司组织的招标采购项目的供应商，本公司郑重申告：近三年因产品（设备）供货问题（水货、替代品、次品、翻新品等）的不法行为记录为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次（没有填零），如有隐瞒实情，愿承担一切责任及后果。</w:t>
            </w:r>
          </w:p>
          <w:p w14:paraId="2833FDD2">
            <w:pPr>
              <w:spacing w:line="360" w:lineRule="auto"/>
              <w:ind w:firstLine="480" w:firstLineChars="200"/>
              <w:outlineLvl w:val="9"/>
              <w:rPr>
                <w:rFonts w:hint="eastAsia" w:ascii="宋体" w:hAnsi="宋体" w:eastAsia="宋体" w:cs="宋体"/>
                <w:color w:val="auto"/>
                <w:sz w:val="24"/>
              </w:rPr>
            </w:pPr>
            <w:r>
              <w:rPr>
                <w:rFonts w:hint="eastAsia" w:ascii="宋体" w:hAnsi="宋体" w:eastAsia="宋体" w:cs="宋体"/>
                <w:color w:val="auto"/>
                <w:sz w:val="24"/>
              </w:rPr>
              <w:t>本公司承诺：本次招标标的物为正品行货。</w:t>
            </w:r>
          </w:p>
        </w:tc>
      </w:tr>
      <w:tr w14:paraId="7CABF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0DB2F7C3">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投标人</w:t>
            </w:r>
          </w:p>
        </w:tc>
        <w:tc>
          <w:tcPr>
            <w:tcW w:w="3420" w:type="dxa"/>
            <w:vAlign w:val="center"/>
          </w:tcPr>
          <w:p w14:paraId="793E35D9">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cs="宋体"/>
                <w:color w:val="auto"/>
                <w:sz w:val="24"/>
                <w:lang w:val="en-US" w:eastAsia="zh-CN"/>
              </w:rPr>
              <w:t>/负责人</w:t>
            </w:r>
          </w:p>
        </w:tc>
        <w:tc>
          <w:tcPr>
            <w:tcW w:w="2340" w:type="dxa"/>
            <w:vAlign w:val="center"/>
          </w:tcPr>
          <w:p w14:paraId="7293CFEA">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日   期</w:t>
            </w:r>
          </w:p>
        </w:tc>
      </w:tr>
      <w:tr w14:paraId="2A787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6A26C016">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62A00B12">
            <w:pPr>
              <w:spacing w:line="360" w:lineRule="auto"/>
              <w:jc w:val="center"/>
              <w:outlineLvl w:val="9"/>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vAlign w:val="center"/>
          </w:tcPr>
          <w:p w14:paraId="3D0C9EFB">
            <w:pPr>
              <w:spacing w:line="360" w:lineRule="auto"/>
              <w:ind w:firstLine="240" w:firstLineChars="100"/>
              <w:jc w:val="center"/>
              <w:outlineLvl w:val="9"/>
              <w:rPr>
                <w:rFonts w:hint="eastAsia" w:ascii="宋体" w:hAnsi="宋体" w:eastAsia="宋体" w:cs="宋体"/>
                <w:color w:val="auto"/>
                <w:sz w:val="24"/>
              </w:rPr>
            </w:pPr>
            <w:r>
              <w:rPr>
                <w:rFonts w:hint="eastAsia" w:ascii="宋体" w:hAnsi="宋体" w:eastAsia="宋体" w:cs="宋体"/>
                <w:color w:val="auto"/>
                <w:sz w:val="24"/>
              </w:rPr>
              <w:t>年  月  日</w:t>
            </w:r>
          </w:p>
        </w:tc>
      </w:tr>
      <w:bookmarkEnd w:id="3"/>
      <w:bookmarkEnd w:id="4"/>
    </w:tbl>
    <w:p w14:paraId="3D18717D">
      <w:pPr>
        <w:outlineLvl w:val="9"/>
        <w:rPr>
          <w:rFonts w:hint="eastAsia" w:ascii="宋体" w:hAnsi="宋体" w:eastAsia="宋体" w:cs="宋体"/>
          <w:color w:val="auto"/>
        </w:rPr>
      </w:pPr>
    </w:p>
    <w:p w14:paraId="37B1F8CA">
      <w:pPr>
        <w:outlineLvl w:val="9"/>
        <w:rPr>
          <w:rFonts w:hint="eastAsia" w:ascii="宋体" w:hAnsi="宋体" w:eastAsia="宋体" w:cs="宋体"/>
          <w:color w:val="auto"/>
        </w:rPr>
      </w:pPr>
    </w:p>
    <w:p w14:paraId="5442FE10">
      <w:pPr>
        <w:outlineLvl w:val="9"/>
        <w:rPr>
          <w:rFonts w:hint="eastAsia" w:ascii="宋体" w:hAnsi="宋体" w:eastAsia="宋体" w:cs="宋体"/>
          <w:color w:val="auto"/>
        </w:rPr>
      </w:pPr>
    </w:p>
    <w:p w14:paraId="7F783624">
      <w:pPr>
        <w:outlineLvl w:val="9"/>
        <w:rPr>
          <w:rFonts w:hint="eastAsia" w:ascii="宋体" w:hAnsi="宋体" w:eastAsia="宋体" w:cs="宋体"/>
          <w:color w:val="auto"/>
        </w:rPr>
      </w:pPr>
    </w:p>
    <w:p w14:paraId="0012FC5A">
      <w:pPr>
        <w:outlineLvl w:val="9"/>
        <w:rPr>
          <w:rFonts w:hint="eastAsia" w:ascii="宋体" w:hAnsi="宋体" w:eastAsia="宋体" w:cs="宋体"/>
          <w:color w:val="auto"/>
        </w:rPr>
      </w:pPr>
    </w:p>
    <w:p w14:paraId="2BFCCB76">
      <w:pPr>
        <w:outlineLvl w:val="9"/>
        <w:rPr>
          <w:rFonts w:hint="eastAsia" w:ascii="宋体" w:hAnsi="宋体" w:eastAsia="宋体" w:cs="宋体"/>
          <w:color w:val="auto"/>
        </w:rPr>
      </w:pPr>
    </w:p>
    <w:p w14:paraId="704562D2">
      <w:pPr>
        <w:outlineLvl w:val="9"/>
        <w:rPr>
          <w:rFonts w:hint="eastAsia" w:ascii="宋体" w:hAnsi="宋体" w:eastAsia="宋体" w:cs="宋体"/>
          <w:color w:val="auto"/>
        </w:rPr>
      </w:pPr>
    </w:p>
    <w:sectPr>
      <w:footerReference r:id="rId11" w:type="default"/>
      <w:pgSz w:w="11906" w:h="16838"/>
      <w:pgMar w:top="1418" w:right="1134" w:bottom="1418" w:left="1321"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E8DCC">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75C3E">
    <w:pPr>
      <w:pStyle w:val="13"/>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4B92724B">
                          <w:pPr>
                            <w:snapToGrid w:val="0"/>
                            <w:rPr>
                              <w:sz w:val="18"/>
                            </w:rPr>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Bb9c/OAQAApQMAAA4AAABkcnMvZTJvRG9jLnhtbK1TTY7TMBTe&#10;I3EHy3uatNJAFDUdgapBSAiQhjmA67w0lvwnP7dJLwA3YMWGPefqOXh20g4aNrNg47zfz+/7/LK+&#10;HY1mRwionG34clFyBla6Vtl9wx++3r2qOMMobCu0s9DwEyC/3bx8sR58DSvXO91CYARisR58w/sY&#10;fV0UKHswAhfOg6Vk54IRkdywL9ogBkI3uliV5eticKH1wUlApOh2SvIZMTwH0HWdkrB18mDAxgk1&#10;gBaRKGGvPPJNnrbrQMbPXYcQmW44MY35pEvI3qWz2KxFvQ/C90rOI4jnjPCEkxHK0qVXqK2Igh2C&#10;+gfKKBkcui4upDPFRCQrQiyW5RNt7nvhIXMhqdFfRcf/Bys/Hb8EplraBM6sMPTg5x/fzz9/n399&#10;Y8skz+Cxpqp7T3VxfOfGVDrHkYKJ9dgFk77Eh1GexD1dxYUxMpmaqlVVlZSSlLs4hFM8tvuA8T04&#10;w5LR8ECvl0UVx48Yp9JLSbrNujulNcVFrS0bCPWmenOTO64pQtc2VUBehhkncZpmT1Ycd+NMaOfa&#10;E/EcaCEabmn/OdMfLOmddudihIuxm42Ej/7tIdJAec6EOkERv+TQ62Wm86al9fjbz1WPf9fm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hpgkvTAAAABQEAAA8AAAAAAAAAAQAgAAAAIgAAAGRycy9k&#10;b3ducmV2LnhtbFBLAQIUABQAAAAIAIdO4kCAW/XPzgEAAKUDAAAOAAAAAAAAAAEAIAAAACIBAABk&#10;cnMvZTJvRG9jLnhtbFBLBQYAAAAABgAGAFkBAABiBQAAAAA=&#10;">
              <v:fill on="f" focussize="0,0"/>
              <v:stroke on="f" weight="1.25pt"/>
              <v:imagedata o:title=""/>
              <o:lock v:ext="edit" aspectratio="f"/>
              <v:textbox inset="0mm,0mm,0mm,0mm" style="mso-fit-shape-to-text:t;">
                <w:txbxContent>
                  <w:p w14:paraId="4B92724B">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AF5A0">
    <w:pPr>
      <w:pStyle w:val="13"/>
      <w:tabs>
        <w:tab w:val="center" w:pos="4725"/>
        <w:tab w:val="clear" w:pos="4153"/>
        <w:tab w:val="clear" w:pos="8306"/>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CCD08A">
                          <w:pPr>
                            <w:pStyle w:val="13"/>
                          </w:pPr>
                          <w:r>
                            <w:fldChar w:fldCharType="begin"/>
                          </w:r>
                          <w:r>
                            <w:instrText xml:space="preserve"> PAGE  \* MERGEFORMAT </w:instrText>
                          </w:r>
                          <w:r>
                            <w:fldChar w:fldCharType="separate"/>
                          </w:r>
                          <w:r>
                            <w:t>- 3 -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ECCD08A">
                    <w:pPr>
                      <w:pStyle w:val="13"/>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AD233">
    <w:pPr>
      <w:pStyle w:val="1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176F0F">
                          <w:pPr>
                            <w:pStyle w:val="13"/>
                          </w:pPr>
                          <w:r>
                            <w:fldChar w:fldCharType="begin"/>
                          </w:r>
                          <w:r>
                            <w:instrText xml:space="preserve"> PAGE  \* MERGEFORMAT </w:instrText>
                          </w:r>
                          <w:r>
                            <w:fldChar w:fldCharType="separate"/>
                          </w:r>
                          <w:r>
                            <w:t>- 35 -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6176F0F">
                    <w:pPr>
                      <w:pStyle w:val="13"/>
                    </w:pPr>
                    <w:r>
                      <w:fldChar w:fldCharType="begin"/>
                    </w:r>
                    <w:r>
                      <w:instrText xml:space="preserve"> PAGE  \* MERGEFORMAT </w:instrText>
                    </w:r>
                    <w:r>
                      <w:fldChar w:fldCharType="separate"/>
                    </w:r>
                    <w:r>
                      <w:t>- 35 -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7739">
    <w:pPr>
      <w:pStyle w:val="15"/>
      <w:pBdr>
        <w:bottom w:val="none" w:color="auto" w:sz="0" w:space="1"/>
      </w:pBdr>
    </w:pPr>
  </w:p>
  <w:p w14:paraId="38336028">
    <w:pPr>
      <w:pStyle w:val="15"/>
      <w:pBdr>
        <w:bottom w:val="none" w:color="auto" w:sz="0" w:space="1"/>
      </w:pBdr>
      <w:tabs>
        <w:tab w:val="left" w:pos="9375"/>
        <w:tab w:val="clear" w:pos="8306"/>
      </w:tabs>
      <w:ind w:left="7661" w:leftChars="3648"/>
      <w:jc w:val="both"/>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DAD88">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4D9C6">
    <w:pPr>
      <w:pStyle w:val="1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99F58D"/>
    <w:multiLevelType w:val="singleLevel"/>
    <w:tmpl w:val="8199F58D"/>
    <w:lvl w:ilvl="0" w:tentative="0">
      <w:start w:val="2"/>
      <w:numFmt w:val="chineseCounting"/>
      <w:suff w:val="space"/>
      <w:lvlText w:val="第%1部分"/>
      <w:lvlJc w:val="left"/>
      <w:rPr>
        <w:rFonts w:hint="eastAsia"/>
      </w:rPr>
    </w:lvl>
  </w:abstractNum>
  <w:abstractNum w:abstractNumId="1">
    <w:nsid w:val="AF197570"/>
    <w:multiLevelType w:val="singleLevel"/>
    <w:tmpl w:val="AF197570"/>
    <w:lvl w:ilvl="0" w:tentative="0">
      <w:start w:val="4"/>
      <w:numFmt w:val="decimal"/>
      <w:suff w:val="nothing"/>
      <w:lvlText w:val="（%1）"/>
      <w:lvlJc w:val="left"/>
    </w:lvl>
  </w:abstractNum>
  <w:abstractNum w:abstractNumId="2">
    <w:nsid w:val="B5D88279"/>
    <w:multiLevelType w:val="singleLevel"/>
    <w:tmpl w:val="B5D88279"/>
    <w:lvl w:ilvl="0" w:tentative="0">
      <w:start w:val="1"/>
      <w:numFmt w:val="decimal"/>
      <w:lvlText w:val="%1)"/>
      <w:lvlJc w:val="left"/>
      <w:pPr>
        <w:ind w:left="425" w:hanging="425"/>
      </w:pPr>
      <w:rPr>
        <w:rFonts w:hint="default" w:ascii="宋体" w:hAnsi="宋体" w:eastAsia="宋体" w:cs="宋体"/>
        <w:sz w:val="24"/>
        <w:szCs w:val="24"/>
      </w:rPr>
    </w:lvl>
  </w:abstractNum>
  <w:abstractNum w:abstractNumId="3">
    <w:nsid w:val="BE77A268"/>
    <w:multiLevelType w:val="singleLevel"/>
    <w:tmpl w:val="BE77A268"/>
    <w:lvl w:ilvl="0" w:tentative="0">
      <w:start w:val="1"/>
      <w:numFmt w:val="decimal"/>
      <w:lvlText w:val="%1)"/>
      <w:lvlJc w:val="left"/>
      <w:pPr>
        <w:ind w:left="425" w:hanging="425"/>
      </w:pPr>
      <w:rPr>
        <w:rFonts w:hint="default"/>
        <w:sz w:val="24"/>
        <w:szCs w:val="24"/>
      </w:rPr>
    </w:lvl>
  </w:abstractNum>
  <w:abstractNum w:abstractNumId="4">
    <w:nsid w:val="EB8A88FA"/>
    <w:multiLevelType w:val="singleLevel"/>
    <w:tmpl w:val="EB8A88FA"/>
    <w:lvl w:ilvl="0" w:tentative="0">
      <w:start w:val="16"/>
      <w:numFmt w:val="decimal"/>
      <w:suff w:val="nothing"/>
      <w:lvlText w:val="（%1）"/>
      <w:lvlJc w:val="left"/>
    </w:lvl>
  </w:abstractNum>
  <w:abstractNum w:abstractNumId="5">
    <w:nsid w:val="0000000E"/>
    <w:multiLevelType w:val="multilevel"/>
    <w:tmpl w:val="0000000E"/>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660"/>
        </w:tabs>
        <w:ind w:left="660" w:hanging="420"/>
      </w:pPr>
      <w:rPr>
        <w:rFonts w:hint="default" w:ascii="Wingdings" w:hAnsi="Wingdings"/>
      </w:rPr>
    </w:lvl>
    <w:lvl w:ilvl="2" w:tentative="0">
      <w:start w:val="1"/>
      <w:numFmt w:val="bullet"/>
      <w:lvlText w:val=""/>
      <w:lvlJc w:val="left"/>
      <w:pPr>
        <w:tabs>
          <w:tab w:val="left" w:pos="1080"/>
        </w:tabs>
        <w:ind w:left="1080" w:hanging="420"/>
      </w:pPr>
      <w:rPr>
        <w:rFonts w:hint="default" w:ascii="Wingdings" w:hAnsi="Wingdings"/>
      </w:rPr>
    </w:lvl>
    <w:lvl w:ilvl="3" w:tentative="0">
      <w:start w:val="1"/>
      <w:numFmt w:val="bullet"/>
      <w:lvlText w:val=""/>
      <w:lvlJc w:val="left"/>
      <w:pPr>
        <w:tabs>
          <w:tab w:val="left" w:pos="1500"/>
        </w:tabs>
        <w:ind w:left="1500" w:hanging="420"/>
      </w:pPr>
      <w:rPr>
        <w:rFonts w:hint="default" w:ascii="Wingdings" w:hAnsi="Wingdings"/>
      </w:rPr>
    </w:lvl>
    <w:lvl w:ilvl="4" w:tentative="0">
      <w:start w:val="1"/>
      <w:numFmt w:val="bullet"/>
      <w:lvlText w:val=""/>
      <w:lvlJc w:val="left"/>
      <w:pPr>
        <w:tabs>
          <w:tab w:val="left" w:pos="1920"/>
        </w:tabs>
        <w:ind w:left="1920" w:hanging="420"/>
      </w:pPr>
      <w:rPr>
        <w:rFonts w:hint="default" w:ascii="Wingdings" w:hAnsi="Wingdings"/>
      </w:rPr>
    </w:lvl>
    <w:lvl w:ilvl="5" w:tentative="0">
      <w:start w:val="1"/>
      <w:numFmt w:val="bullet"/>
      <w:lvlText w:val=""/>
      <w:lvlJc w:val="left"/>
      <w:pPr>
        <w:tabs>
          <w:tab w:val="left" w:pos="2340"/>
        </w:tabs>
        <w:ind w:left="2340" w:hanging="420"/>
      </w:pPr>
      <w:rPr>
        <w:rFonts w:hint="default" w:ascii="Wingdings" w:hAnsi="Wingdings"/>
      </w:rPr>
    </w:lvl>
    <w:lvl w:ilvl="6" w:tentative="0">
      <w:start w:val="1"/>
      <w:numFmt w:val="bullet"/>
      <w:lvlText w:val=""/>
      <w:lvlJc w:val="left"/>
      <w:pPr>
        <w:tabs>
          <w:tab w:val="left" w:pos="2760"/>
        </w:tabs>
        <w:ind w:left="2760" w:hanging="420"/>
      </w:pPr>
      <w:rPr>
        <w:rFonts w:hint="default" w:ascii="Wingdings" w:hAnsi="Wingdings"/>
      </w:rPr>
    </w:lvl>
    <w:lvl w:ilvl="7" w:tentative="0">
      <w:start w:val="1"/>
      <w:numFmt w:val="bullet"/>
      <w:lvlText w:val=""/>
      <w:lvlJc w:val="left"/>
      <w:pPr>
        <w:tabs>
          <w:tab w:val="left" w:pos="3180"/>
        </w:tabs>
        <w:ind w:left="3180" w:hanging="420"/>
      </w:pPr>
      <w:rPr>
        <w:rFonts w:hint="default" w:ascii="Wingdings" w:hAnsi="Wingdings"/>
      </w:rPr>
    </w:lvl>
    <w:lvl w:ilvl="8" w:tentative="0">
      <w:start w:val="1"/>
      <w:numFmt w:val="bullet"/>
      <w:lvlText w:val=""/>
      <w:lvlJc w:val="left"/>
      <w:pPr>
        <w:tabs>
          <w:tab w:val="left" w:pos="3600"/>
        </w:tabs>
        <w:ind w:left="3600" w:hanging="420"/>
      </w:pPr>
      <w:rPr>
        <w:rFonts w:hint="default" w:ascii="Wingdings" w:hAnsi="Wingdings"/>
      </w:rPr>
    </w:lvl>
  </w:abstractNum>
  <w:abstractNum w:abstractNumId="6">
    <w:nsid w:val="1F0C6A59"/>
    <w:multiLevelType w:val="singleLevel"/>
    <w:tmpl w:val="1F0C6A59"/>
    <w:lvl w:ilvl="0" w:tentative="0">
      <w:start w:val="1"/>
      <w:numFmt w:val="decimal"/>
      <w:lvlText w:val="%1)"/>
      <w:lvlJc w:val="left"/>
      <w:pPr>
        <w:ind w:left="425" w:hanging="425"/>
      </w:pPr>
      <w:rPr>
        <w:rFonts w:hint="default"/>
      </w:rPr>
    </w:lvl>
  </w:abstractNum>
  <w:abstractNum w:abstractNumId="7">
    <w:nsid w:val="20B3923C"/>
    <w:multiLevelType w:val="singleLevel"/>
    <w:tmpl w:val="20B3923C"/>
    <w:lvl w:ilvl="0" w:tentative="0">
      <w:start w:val="2"/>
      <w:numFmt w:val="chineseCounting"/>
      <w:suff w:val="nothing"/>
      <w:lvlText w:val="%1、"/>
      <w:lvlJc w:val="left"/>
      <w:rPr>
        <w:rFonts w:hint="eastAsia"/>
      </w:rPr>
    </w:lvl>
  </w:abstractNum>
  <w:abstractNum w:abstractNumId="8">
    <w:nsid w:val="5694B7E5"/>
    <w:multiLevelType w:val="singleLevel"/>
    <w:tmpl w:val="5694B7E5"/>
    <w:lvl w:ilvl="0" w:tentative="0">
      <w:start w:val="1"/>
      <w:numFmt w:val="decimal"/>
      <w:suff w:val="nothing"/>
      <w:lvlText w:val="%1、"/>
      <w:lvlJc w:val="left"/>
    </w:lvl>
  </w:abstractNum>
  <w:abstractNum w:abstractNumId="9">
    <w:nsid w:val="5A053233"/>
    <w:multiLevelType w:val="singleLevel"/>
    <w:tmpl w:val="5A053233"/>
    <w:lvl w:ilvl="0" w:tentative="0">
      <w:start w:val="1"/>
      <w:numFmt w:val="decimal"/>
      <w:lvlText w:val="%1)"/>
      <w:lvlJc w:val="left"/>
      <w:pPr>
        <w:ind w:left="425" w:hanging="425"/>
      </w:pPr>
      <w:rPr>
        <w:rFonts w:hint="default" w:ascii="宋体" w:hAnsi="宋体" w:eastAsia="宋体" w:cs="宋体"/>
        <w:sz w:val="24"/>
        <w:szCs w:val="24"/>
      </w:rPr>
    </w:lvl>
  </w:abstractNum>
  <w:abstractNum w:abstractNumId="10">
    <w:nsid w:val="6EC771C0"/>
    <w:multiLevelType w:val="singleLevel"/>
    <w:tmpl w:val="6EC771C0"/>
    <w:lvl w:ilvl="0" w:tentative="0">
      <w:start w:val="1"/>
      <w:numFmt w:val="decimal"/>
      <w:suff w:val="space"/>
      <w:lvlText w:val="%1."/>
      <w:lvlJc w:val="left"/>
    </w:lvl>
  </w:abstractNum>
  <w:num w:numId="1">
    <w:abstractNumId w:val="5"/>
  </w:num>
  <w:num w:numId="2">
    <w:abstractNumId w:val="1"/>
  </w:num>
  <w:num w:numId="3">
    <w:abstractNumId w:val="4"/>
  </w:num>
  <w:num w:numId="4">
    <w:abstractNumId w:val="3"/>
  </w:num>
  <w:num w:numId="5">
    <w:abstractNumId w:val="9"/>
  </w:num>
  <w:num w:numId="6">
    <w:abstractNumId w:val="2"/>
  </w:num>
  <w:num w:numId="7">
    <w:abstractNumId w:val="6"/>
  </w:num>
  <w:num w:numId="8">
    <w:abstractNumId w:val="0"/>
  </w:num>
  <w:num w:numId="9">
    <w:abstractNumId w:val="8"/>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0B7E8D"/>
    <w:rsid w:val="009A7605"/>
    <w:rsid w:val="016D6DB0"/>
    <w:rsid w:val="01826A17"/>
    <w:rsid w:val="01B56A63"/>
    <w:rsid w:val="01CB6BE4"/>
    <w:rsid w:val="01CE57B8"/>
    <w:rsid w:val="0324150A"/>
    <w:rsid w:val="048760F2"/>
    <w:rsid w:val="065B5A88"/>
    <w:rsid w:val="07761A22"/>
    <w:rsid w:val="08470072"/>
    <w:rsid w:val="095020BF"/>
    <w:rsid w:val="097172D8"/>
    <w:rsid w:val="09C77645"/>
    <w:rsid w:val="09F204B1"/>
    <w:rsid w:val="0A0340AF"/>
    <w:rsid w:val="0AA01CBB"/>
    <w:rsid w:val="0B1A381C"/>
    <w:rsid w:val="0B8E5FB8"/>
    <w:rsid w:val="0F756628"/>
    <w:rsid w:val="0F89508C"/>
    <w:rsid w:val="10A51DDA"/>
    <w:rsid w:val="10BC5375"/>
    <w:rsid w:val="10E548CC"/>
    <w:rsid w:val="11C950E1"/>
    <w:rsid w:val="12D35D26"/>
    <w:rsid w:val="15E51A8E"/>
    <w:rsid w:val="17BE2A8F"/>
    <w:rsid w:val="189E6D1B"/>
    <w:rsid w:val="18AD3F21"/>
    <w:rsid w:val="19B376A6"/>
    <w:rsid w:val="19E06FBC"/>
    <w:rsid w:val="1B214753"/>
    <w:rsid w:val="20C52024"/>
    <w:rsid w:val="20C65ED3"/>
    <w:rsid w:val="224132E0"/>
    <w:rsid w:val="236F60CB"/>
    <w:rsid w:val="24A501A2"/>
    <w:rsid w:val="24E744EC"/>
    <w:rsid w:val="26831A63"/>
    <w:rsid w:val="26952BE4"/>
    <w:rsid w:val="282D2989"/>
    <w:rsid w:val="287629C1"/>
    <w:rsid w:val="2A987D45"/>
    <w:rsid w:val="2AB729DE"/>
    <w:rsid w:val="2C4046C7"/>
    <w:rsid w:val="2C5524AE"/>
    <w:rsid w:val="2D6706EB"/>
    <w:rsid w:val="300A1812"/>
    <w:rsid w:val="30E178CC"/>
    <w:rsid w:val="30FD7E36"/>
    <w:rsid w:val="312C3623"/>
    <w:rsid w:val="315326A5"/>
    <w:rsid w:val="35656C57"/>
    <w:rsid w:val="35CD6C0F"/>
    <w:rsid w:val="360B0081"/>
    <w:rsid w:val="36894391"/>
    <w:rsid w:val="391F00CC"/>
    <w:rsid w:val="399D5494"/>
    <w:rsid w:val="3A015A23"/>
    <w:rsid w:val="3A134F3F"/>
    <w:rsid w:val="3AD96C13"/>
    <w:rsid w:val="3D2A5291"/>
    <w:rsid w:val="3D3B1193"/>
    <w:rsid w:val="3D915310"/>
    <w:rsid w:val="3E530817"/>
    <w:rsid w:val="3EAC6954"/>
    <w:rsid w:val="3FAC6431"/>
    <w:rsid w:val="402A198A"/>
    <w:rsid w:val="42356893"/>
    <w:rsid w:val="4290203A"/>
    <w:rsid w:val="44C97E40"/>
    <w:rsid w:val="49104251"/>
    <w:rsid w:val="4B1858A0"/>
    <w:rsid w:val="4BCF3BD3"/>
    <w:rsid w:val="4C15535E"/>
    <w:rsid w:val="4F8D48B2"/>
    <w:rsid w:val="51CE4933"/>
    <w:rsid w:val="533254A4"/>
    <w:rsid w:val="53DF072C"/>
    <w:rsid w:val="540B7E8D"/>
    <w:rsid w:val="54A8045F"/>
    <w:rsid w:val="54C30C68"/>
    <w:rsid w:val="5709588E"/>
    <w:rsid w:val="581314C9"/>
    <w:rsid w:val="58640F85"/>
    <w:rsid w:val="5949288F"/>
    <w:rsid w:val="594E0FAC"/>
    <w:rsid w:val="59682F71"/>
    <w:rsid w:val="5A4E03B9"/>
    <w:rsid w:val="5A795638"/>
    <w:rsid w:val="5A981634"/>
    <w:rsid w:val="5AF319E8"/>
    <w:rsid w:val="5BC1452F"/>
    <w:rsid w:val="5DFB2606"/>
    <w:rsid w:val="5E203E1A"/>
    <w:rsid w:val="608B1DE7"/>
    <w:rsid w:val="60D4479F"/>
    <w:rsid w:val="6155027F"/>
    <w:rsid w:val="61F23D20"/>
    <w:rsid w:val="63C91ECB"/>
    <w:rsid w:val="648543C8"/>
    <w:rsid w:val="658A115B"/>
    <w:rsid w:val="663C5A5D"/>
    <w:rsid w:val="664B1C51"/>
    <w:rsid w:val="66710E9F"/>
    <w:rsid w:val="66B71DB0"/>
    <w:rsid w:val="66D26971"/>
    <w:rsid w:val="66D460EA"/>
    <w:rsid w:val="685612B9"/>
    <w:rsid w:val="690C3894"/>
    <w:rsid w:val="6B654E85"/>
    <w:rsid w:val="6B6A5A4B"/>
    <w:rsid w:val="6BD94877"/>
    <w:rsid w:val="6C180C70"/>
    <w:rsid w:val="6D0112BB"/>
    <w:rsid w:val="6F3C2A3F"/>
    <w:rsid w:val="6F6873CF"/>
    <w:rsid w:val="70E4517B"/>
    <w:rsid w:val="739F35DC"/>
    <w:rsid w:val="73FB528C"/>
    <w:rsid w:val="75BC3FAB"/>
    <w:rsid w:val="767779D2"/>
    <w:rsid w:val="76880F39"/>
    <w:rsid w:val="7AF6094A"/>
    <w:rsid w:val="7BFB65B9"/>
    <w:rsid w:val="7C2D5C29"/>
    <w:rsid w:val="7E9F0934"/>
    <w:rsid w:val="7F1D03C2"/>
    <w:rsid w:val="7F340E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Cs/>
      <w:kern w:val="44"/>
      <w:sz w:val="30"/>
      <w:szCs w:val="44"/>
    </w:rPr>
  </w:style>
  <w:style w:type="paragraph" w:styleId="3">
    <w:name w:val="heading 2"/>
    <w:basedOn w:val="1"/>
    <w:next w:val="1"/>
    <w:qFormat/>
    <w:uiPriority w:val="0"/>
    <w:pPr>
      <w:keepNext/>
      <w:keepLines/>
      <w:spacing w:before="120" w:after="120" w:line="360" w:lineRule="auto"/>
      <w:jc w:val="center"/>
      <w:outlineLvl w:val="1"/>
    </w:pPr>
    <w:rPr>
      <w:rFonts w:ascii="Arial" w:hAnsi="Arial"/>
      <w:bCs/>
      <w:sz w:val="28"/>
      <w:szCs w:val="32"/>
    </w:rPr>
  </w:style>
  <w:style w:type="paragraph" w:styleId="4">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5"/>
    <w:basedOn w:val="1"/>
    <w:next w:val="1"/>
    <w:semiHidden/>
    <w:unhideWhenUsed/>
    <w:qFormat/>
    <w:uiPriority w:val="0"/>
    <w:pPr>
      <w:keepNext/>
      <w:keepLines/>
      <w:spacing w:before="280" w:beforeLines="0" w:beforeAutospacing="0" w:after="290" w:afterLines="0" w:afterAutospacing="0" w:line="372" w:lineRule="auto"/>
      <w:outlineLvl w:val="4"/>
    </w:pPr>
    <w:rPr>
      <w:b/>
      <w:sz w:val="28"/>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8">
    <w:name w:val="Body Text"/>
    <w:basedOn w:val="1"/>
    <w:next w:val="1"/>
    <w:qFormat/>
    <w:uiPriority w:val="0"/>
    <w:rPr>
      <w:color w:val="993300"/>
      <w:sz w:val="24"/>
    </w:rPr>
  </w:style>
  <w:style w:type="paragraph" w:styleId="9">
    <w:name w:val="Body Text Indent"/>
    <w:basedOn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Date"/>
    <w:basedOn w:val="1"/>
    <w:next w:val="1"/>
    <w:qFormat/>
    <w:uiPriority w:val="0"/>
    <w:pPr>
      <w:spacing w:line="360" w:lineRule="auto"/>
    </w:pPr>
    <w:rPr>
      <w:rFonts w:ascii="宋体"/>
      <w:sz w:val="24"/>
      <w:szCs w:val="20"/>
    </w:rPr>
  </w:style>
  <w:style w:type="paragraph" w:styleId="12">
    <w:name w:val="Body Text Indent 2"/>
    <w:basedOn w:val="1"/>
    <w:qFormat/>
    <w:uiPriority w:val="0"/>
    <w:pPr>
      <w:spacing w:after="120" w:line="480" w:lineRule="auto"/>
      <w:ind w:left="420" w:leftChars="200"/>
    </w:p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envelope return"/>
    <w:basedOn w:val="1"/>
    <w:qFormat/>
    <w:uiPriority w:val="0"/>
    <w:pPr>
      <w:snapToGrid w:val="0"/>
    </w:pPr>
    <w:rPr>
      <w:rFonts w:ascii="Arial" w:hAnsi="Arial"/>
    </w:rPr>
  </w:style>
  <w:style w:type="paragraph" w:styleId="15">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6">
    <w:name w:val="Normal (Web)"/>
    <w:basedOn w:val="1"/>
    <w:qFormat/>
    <w:uiPriority w:val="0"/>
    <w:pPr>
      <w:widowControl/>
      <w:spacing w:before="100" w:beforeAutospacing="1" w:after="100" w:afterAutospacing="1" w:line="240" w:lineRule="auto"/>
      <w:jc w:val="left"/>
    </w:pPr>
    <w:rPr>
      <w:rFonts w:ascii="宋体" w:hAnsi="宋体" w:cs="宋体"/>
      <w:kern w:val="0"/>
      <w:sz w:val="24"/>
    </w:rPr>
  </w:style>
  <w:style w:type="paragraph" w:styleId="17">
    <w:name w:val="Body Text First Indent"/>
    <w:basedOn w:val="8"/>
    <w:qFormat/>
    <w:uiPriority w:val="0"/>
    <w:pPr>
      <w:adjustRightInd w:val="0"/>
      <w:spacing w:after="120" w:line="312" w:lineRule="atLeast"/>
      <w:ind w:firstLine="420"/>
      <w:textAlignment w:val="baseline"/>
    </w:pPr>
    <w:rPr>
      <w:color w:val="auto"/>
      <w:kern w:val="0"/>
      <w:sz w:val="21"/>
      <w:szCs w:val="20"/>
    </w:rPr>
  </w:style>
  <w:style w:type="paragraph" w:styleId="18">
    <w:name w:val="Body Text First Indent 2"/>
    <w:basedOn w:val="9"/>
    <w:qFormat/>
    <w:uiPriority w:val="0"/>
    <w:pPr>
      <w:spacing w:after="120"/>
      <w:ind w:left="420" w:leftChars="200" w:firstLine="420" w:firstLineChars="200"/>
    </w:pPr>
    <w:rPr>
      <w:rFonts w:ascii="Times New Roman" w:hAnsi="Times New Roman"/>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0"/>
    <w:rPr>
      <w:b/>
    </w:rPr>
  </w:style>
  <w:style w:type="character" w:styleId="23">
    <w:name w:val="Emphasis"/>
    <w:basedOn w:val="21"/>
    <w:qFormat/>
    <w:uiPriority w:val="0"/>
    <w:rPr>
      <w:i/>
    </w:rPr>
  </w:style>
  <w:style w:type="paragraph" w:customStyle="1" w:styleId="24">
    <w:name w:val="列出段落2"/>
    <w:basedOn w:val="1"/>
    <w:autoRedefine/>
    <w:qFormat/>
    <w:uiPriority w:val="0"/>
    <w:pPr>
      <w:spacing w:line="240" w:lineRule="auto"/>
      <w:ind w:firstLine="420" w:firstLineChars="200"/>
    </w:pPr>
    <w:rPr>
      <w:kern w:val="0"/>
      <w:sz w:val="24"/>
      <w:szCs w:val="20"/>
    </w:rPr>
  </w:style>
  <w:style w:type="paragraph" w:customStyle="1" w:styleId="25">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6">
    <w:name w:val="※正文"/>
    <w:basedOn w:val="1"/>
    <w:next w:val="1"/>
    <w:autoRedefine/>
    <w:qFormat/>
    <w:uiPriority w:val="0"/>
    <w:pPr>
      <w:widowControl/>
      <w:wordWrap w:val="0"/>
      <w:spacing w:line="400" w:lineRule="exact"/>
    </w:pPr>
    <w:rPr>
      <w:rFonts w:ascii="Calibri Light" w:hAnsi="Calibri Light" w:eastAsia="华文仿宋"/>
      <w:sz w:val="28"/>
      <w:szCs w:val="28"/>
    </w:rPr>
  </w:style>
  <w:style w:type="paragraph" w:customStyle="1" w:styleId="27">
    <w:name w:val="列出段落1"/>
    <w:basedOn w:val="1"/>
    <w:autoRedefine/>
    <w:qFormat/>
    <w:uiPriority w:val="34"/>
    <w:pPr>
      <w:ind w:firstLine="420" w:firstLineChars="200"/>
    </w:pPr>
  </w:style>
  <w:style w:type="table" w:customStyle="1" w:styleId="28">
    <w:name w:val="Table Normal"/>
    <w:semiHidden/>
    <w:unhideWhenUsed/>
    <w:qFormat/>
    <w:uiPriority w:val="0"/>
    <w:tblPr>
      <w:tblCellMar>
        <w:top w:w="0" w:type="dxa"/>
        <w:left w:w="0" w:type="dxa"/>
        <w:bottom w:w="0" w:type="dxa"/>
        <w:right w:w="0" w:type="dxa"/>
      </w:tblCellMar>
    </w:tblPr>
  </w:style>
  <w:style w:type="paragraph" w:customStyle="1" w:styleId="29">
    <w:name w:val="Table Text"/>
    <w:basedOn w:val="1"/>
    <w:semiHidden/>
    <w:qFormat/>
    <w:uiPriority w:val="0"/>
    <w:rPr>
      <w:rFonts w:ascii="宋体" w:hAnsi="宋体" w:eastAsia="宋体" w:cs="宋体"/>
      <w:sz w:val="20"/>
      <w:szCs w:val="20"/>
      <w:lang w:val="en-US" w:eastAsia="en-US" w:bidi="ar-SA"/>
    </w:rPr>
  </w:style>
  <w:style w:type="paragraph" w:customStyle="1" w:styleId="3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11367</Words>
  <Characters>11750</Characters>
  <Lines>0</Lines>
  <Paragraphs>0</Paragraphs>
  <TotalTime>14</TotalTime>
  <ScaleCrop>false</ScaleCrop>
  <LinksUpToDate>false</LinksUpToDate>
  <CharactersWithSpaces>11830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2026-02-26T09:12:00Z</dcterms:created>
  <dc:creator>。</dc:creator>
  <cp:lastModifiedBy>陕西中振项目咨询有限公司（账号）</cp:lastModifiedBy>
  <cp:lastPrinted>2026-08-03T08:43:00Z</cp:lastPrinted>
  <dcterms:modified xsi:type="dcterms:W3CDTF">2026-08-04T05:28:00Z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7AA6981A0714437B8F239657218A5351_13</vt:lpwstr>
  </property>
  <property fmtid="{D5CDD505-2E9C-101B-9397-08002B2CF9AE}" pid="4" name="KSOTemplateDocerSaveRecord">
    <vt:lpwstr>eyJoZGlkIjoiYWFmNjk2NDUwNTYyZjgzZTI4MzE1ZDhmOGVlZDAwYWEiLCJ1c2VySWQiOiIyOTY2Njk3MjAifQ==</vt:lpwstr>
  </property>
</Properties>
</file>