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7C454">
      <w:pPr>
        <w:spacing w:before="353" w:line="228" w:lineRule="auto"/>
        <w:ind w:left="2699"/>
        <w:outlineLvl w:val="0"/>
        <w:rPr>
          <w:rFonts w:ascii="楷体" w:hAnsi="楷体" w:eastAsia="楷体" w:cs="楷体"/>
          <w:sz w:val="35"/>
          <w:szCs w:val="35"/>
        </w:rPr>
      </w:pPr>
      <w:bookmarkStart w:id="0" w:name="_GoBack"/>
      <w:bookmarkEnd w:id="0"/>
      <w:r>
        <w:rPr>
          <w:rFonts w:ascii="楷体" w:hAnsi="楷体" w:eastAsia="楷体" w:cs="楷体"/>
          <w:b/>
          <w:bCs/>
          <w:spacing w:val="5"/>
          <w:sz w:val="31"/>
          <w:szCs w:val="31"/>
        </w:rPr>
        <w:t>第三章</w:t>
      </w:r>
      <w:r>
        <w:rPr>
          <w:rFonts w:ascii="楷体" w:hAnsi="楷体" w:eastAsia="楷体" w:cs="楷体"/>
          <w:spacing w:val="5"/>
          <w:sz w:val="31"/>
          <w:szCs w:val="31"/>
        </w:rPr>
        <w:t xml:space="preserve">  </w:t>
      </w:r>
      <w:r>
        <w:rPr>
          <w:rFonts w:ascii="楷体" w:hAnsi="楷体" w:eastAsia="楷体" w:cs="楷体"/>
          <w:b/>
          <w:bCs/>
          <w:spacing w:val="5"/>
          <w:sz w:val="35"/>
          <w:szCs w:val="35"/>
        </w:rPr>
        <w:t>合同条款及格式</w:t>
      </w:r>
    </w:p>
    <w:p w14:paraId="0AE5273B">
      <w:pPr>
        <w:spacing w:before="210" w:line="229" w:lineRule="auto"/>
        <w:ind w:left="297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7"/>
          <w:sz w:val="31"/>
          <w:szCs w:val="31"/>
        </w:rPr>
        <w:t>合同条款及格式前附表</w:t>
      </w:r>
    </w:p>
    <w:p w14:paraId="57530EC0">
      <w:pPr>
        <w:spacing w:before="202" w:line="220" w:lineRule="auto"/>
        <w:ind w:left="539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1"/>
          <w:sz w:val="24"/>
          <w:szCs w:val="24"/>
        </w:rPr>
        <w:t>本表是对合同条款的具体补充和修改，如有矛盾，应以本资料表为准。</w:t>
      </w:r>
    </w:p>
    <w:p w14:paraId="7F9763B6">
      <w:pPr>
        <w:spacing w:line="66" w:lineRule="exact"/>
      </w:pPr>
    </w:p>
    <w:tbl>
      <w:tblPr>
        <w:tblStyle w:val="7"/>
        <w:tblW w:w="9823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1"/>
        <w:gridCol w:w="9152"/>
      </w:tblGrid>
      <w:tr w14:paraId="1B257A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71" w:type="dxa"/>
            <w:tcBorders>
              <w:top w:val="single" w:color="000000" w:sz="10" w:space="0"/>
              <w:left w:val="single" w:color="000000" w:sz="10" w:space="0"/>
            </w:tcBorders>
            <w:noWrap w:val="0"/>
            <w:vAlign w:val="top"/>
          </w:tcPr>
          <w:p w14:paraId="1768E081">
            <w:pPr>
              <w:pStyle w:val="6"/>
              <w:spacing w:before="119" w:line="225" w:lineRule="auto"/>
              <w:ind w:left="84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9152" w:type="dxa"/>
            <w:tcBorders>
              <w:top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08462857">
            <w:pPr>
              <w:pStyle w:val="6"/>
              <w:spacing w:before="119" w:line="225" w:lineRule="auto"/>
              <w:ind w:left="4004"/>
            </w:pPr>
            <w:r>
              <w:rPr>
                <w:b/>
                <w:bCs/>
                <w:spacing w:val="-24"/>
              </w:rPr>
              <w:t>内</w:t>
            </w:r>
            <w:r>
              <w:rPr>
                <w:spacing w:val="1"/>
              </w:rPr>
              <w:t xml:space="preserve">      </w:t>
            </w:r>
            <w:r>
              <w:rPr>
                <w:b/>
                <w:bCs/>
                <w:spacing w:val="-24"/>
              </w:rPr>
              <w:t>容</w:t>
            </w:r>
          </w:p>
        </w:tc>
      </w:tr>
      <w:tr w14:paraId="6661BD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</w:trPr>
        <w:tc>
          <w:tcPr>
            <w:tcW w:w="671" w:type="dxa"/>
            <w:tcBorders>
              <w:left w:val="single" w:color="000000" w:sz="10" w:space="0"/>
            </w:tcBorders>
            <w:noWrap w:val="0"/>
            <w:vAlign w:val="top"/>
          </w:tcPr>
          <w:p w14:paraId="18DD3288">
            <w:pPr>
              <w:spacing w:line="241" w:lineRule="auto"/>
              <w:rPr>
                <w:rFonts w:ascii="Arial"/>
                <w:sz w:val="21"/>
              </w:rPr>
            </w:pPr>
          </w:p>
          <w:p w14:paraId="175B47F0">
            <w:pPr>
              <w:spacing w:line="241" w:lineRule="auto"/>
              <w:rPr>
                <w:rFonts w:ascii="Arial"/>
                <w:sz w:val="21"/>
              </w:rPr>
            </w:pPr>
          </w:p>
          <w:p w14:paraId="3C2841F2">
            <w:pPr>
              <w:spacing w:line="241" w:lineRule="auto"/>
              <w:rPr>
                <w:rFonts w:ascii="Arial"/>
                <w:sz w:val="21"/>
              </w:rPr>
            </w:pPr>
          </w:p>
          <w:p w14:paraId="20D57438">
            <w:pPr>
              <w:spacing w:line="242" w:lineRule="auto"/>
              <w:rPr>
                <w:rFonts w:ascii="Arial"/>
                <w:sz w:val="21"/>
              </w:rPr>
            </w:pPr>
          </w:p>
          <w:p w14:paraId="6F68C423">
            <w:pPr>
              <w:pStyle w:val="6"/>
              <w:spacing w:before="78" w:line="325" w:lineRule="exact"/>
              <w:ind w:left="280"/>
            </w:pPr>
            <w:r>
              <w:rPr>
                <w:position w:val="1"/>
              </w:rPr>
              <w:t>1</w:t>
            </w:r>
          </w:p>
        </w:tc>
        <w:tc>
          <w:tcPr>
            <w:tcW w:w="9152" w:type="dxa"/>
            <w:tcBorders>
              <w:right w:val="single" w:color="000000" w:sz="10" w:space="0"/>
            </w:tcBorders>
            <w:noWrap w:val="0"/>
            <w:vAlign w:val="top"/>
          </w:tcPr>
          <w:p w14:paraId="027D2FF5">
            <w:pPr>
              <w:pStyle w:val="6"/>
              <w:spacing w:before="112" w:line="227" w:lineRule="auto"/>
              <w:ind w:left="17"/>
            </w:pPr>
            <w:r>
              <w:rPr>
                <w:b/>
                <w:bCs/>
                <w:spacing w:val="-1"/>
              </w:rPr>
              <w:t>采购人信息：</w:t>
            </w:r>
          </w:p>
          <w:p w14:paraId="3B1DF749">
            <w:pPr>
              <w:pStyle w:val="6"/>
              <w:spacing w:before="173" w:line="224" w:lineRule="auto"/>
              <w:ind w:left="22"/>
              <w:rPr>
                <w:rFonts w:hint="eastAsia" w:eastAsia="楷体"/>
                <w:lang w:val="en-US" w:eastAsia="zh-CN"/>
              </w:rPr>
            </w:pPr>
            <w:r>
              <w:rPr>
                <w:b/>
                <w:bCs/>
                <w:spacing w:val="6"/>
              </w:rPr>
              <w:t>地址：</w:t>
            </w:r>
            <w:r>
              <w:rPr>
                <w:rFonts w:hint="eastAsia"/>
                <w:spacing w:val="6"/>
                <w:lang w:val="en-US" w:eastAsia="zh-CN"/>
              </w:rPr>
              <w:t xml:space="preserve"> </w:t>
            </w:r>
          </w:p>
          <w:p w14:paraId="6F4A85EF">
            <w:pPr>
              <w:pStyle w:val="6"/>
              <w:spacing w:before="176" w:line="360" w:lineRule="auto"/>
              <w:ind w:left="12" w:right="18" w:firstLine="12"/>
              <w:rPr>
                <w:rFonts w:hint="eastAsia"/>
                <w:lang w:val="en-US" w:eastAsia="zh-CN"/>
              </w:rPr>
            </w:pPr>
            <w:r>
              <w:rPr>
                <w:b/>
                <w:bCs/>
              </w:rPr>
              <w:t>项</w:t>
            </w:r>
            <w:r>
              <w:rPr>
                <w:spacing w:val="-53"/>
              </w:rPr>
              <w:t xml:space="preserve"> </w:t>
            </w:r>
            <w:r>
              <w:rPr>
                <w:b/>
                <w:bCs/>
              </w:rPr>
              <w:t>目名称：</w:t>
            </w:r>
            <w:r>
              <w:rPr>
                <w:rFonts w:hint="eastAsia"/>
                <w:lang w:val="en-US" w:eastAsia="zh-CN"/>
              </w:rPr>
              <w:t xml:space="preserve"> 蓝田县鲜食核桃示范园建设项目</w:t>
            </w:r>
          </w:p>
          <w:p w14:paraId="08793200">
            <w:pPr>
              <w:pStyle w:val="6"/>
              <w:spacing w:line="222" w:lineRule="auto"/>
              <w:ind w:left="32"/>
              <w:rPr>
                <w:rFonts w:hint="eastAsia" w:eastAsia="楷体"/>
                <w:lang w:eastAsia="zh-CN"/>
              </w:rPr>
            </w:pPr>
            <w:r>
              <w:rPr>
                <w:b/>
                <w:bCs/>
                <w:spacing w:val="-2"/>
              </w:rPr>
              <w:t>资金来源：</w:t>
            </w:r>
            <w:r>
              <w:rPr>
                <w:rFonts w:hint="eastAsia"/>
                <w:spacing w:val="-2"/>
                <w:lang w:val="en-US" w:eastAsia="zh-CN"/>
              </w:rPr>
              <w:t xml:space="preserve"> </w:t>
            </w:r>
          </w:p>
        </w:tc>
      </w:tr>
      <w:tr w14:paraId="4EAB6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6" w:hRule="atLeast"/>
        </w:trPr>
        <w:tc>
          <w:tcPr>
            <w:tcW w:w="671" w:type="dxa"/>
            <w:tcBorders>
              <w:left w:val="single" w:color="000000" w:sz="10" w:space="0"/>
            </w:tcBorders>
            <w:noWrap w:val="0"/>
            <w:vAlign w:val="top"/>
          </w:tcPr>
          <w:p w14:paraId="264225B3">
            <w:pPr>
              <w:spacing w:line="253" w:lineRule="auto"/>
              <w:rPr>
                <w:rFonts w:ascii="Arial"/>
                <w:sz w:val="21"/>
              </w:rPr>
            </w:pPr>
          </w:p>
          <w:p w14:paraId="0406F7A9">
            <w:pPr>
              <w:spacing w:line="253" w:lineRule="auto"/>
              <w:rPr>
                <w:rFonts w:ascii="Arial"/>
                <w:sz w:val="21"/>
              </w:rPr>
            </w:pPr>
          </w:p>
          <w:p w14:paraId="584DDF2D">
            <w:pPr>
              <w:pStyle w:val="6"/>
              <w:spacing w:before="78" w:line="326" w:lineRule="exact"/>
              <w:ind w:left="266"/>
            </w:pPr>
            <w:r>
              <w:rPr>
                <w:position w:val="1"/>
              </w:rPr>
              <w:t>2</w:t>
            </w:r>
          </w:p>
        </w:tc>
        <w:tc>
          <w:tcPr>
            <w:tcW w:w="9152" w:type="dxa"/>
            <w:tcBorders>
              <w:right w:val="single" w:color="000000" w:sz="10" w:space="0"/>
            </w:tcBorders>
            <w:noWrap w:val="0"/>
            <w:vAlign w:val="top"/>
          </w:tcPr>
          <w:p w14:paraId="6B4A3068">
            <w:pPr>
              <w:pStyle w:val="6"/>
              <w:spacing w:before="120" w:line="327" w:lineRule="auto"/>
              <w:ind w:left="26" w:right="476" w:hanging="8"/>
              <w:jc w:val="both"/>
            </w:pPr>
            <w:r>
              <w:rPr>
                <w:b/>
                <w:bCs/>
                <w:spacing w:val="-2"/>
              </w:rPr>
              <w:t>名词解释：</w:t>
            </w:r>
            <w:r>
              <w:rPr>
                <w:spacing w:val="-2"/>
              </w:rPr>
              <w:t>本章节中出现的“供应商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”，在磋商阶段措辞为“供应</w:t>
            </w:r>
            <w:r>
              <w:rPr>
                <w:spacing w:val="-3"/>
              </w:rPr>
              <w:t>商</w:t>
            </w:r>
            <w:r>
              <w:rPr>
                <w:spacing w:val="-88"/>
              </w:rPr>
              <w:t xml:space="preserve"> </w:t>
            </w:r>
            <w:r>
              <w:rPr>
                <w:spacing w:val="-3"/>
              </w:rPr>
              <w:t>”；在项目磋</w:t>
            </w:r>
            <w:r>
              <w:rPr>
                <w:spacing w:val="-2"/>
              </w:rPr>
              <w:t>商结束，成交结果确定后，措辞由“供应商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”转为“成交单位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</w:t>
            </w:r>
            <w:r>
              <w:rPr>
                <w:spacing w:val="-3"/>
              </w:rPr>
              <w:t>；在采购人与成交</w:t>
            </w:r>
            <w:r>
              <w:rPr>
                <w:spacing w:val="-2"/>
              </w:rPr>
              <w:t>单位签订合同，履约、实施阶段，措辞由“成交单位</w:t>
            </w:r>
            <w:r>
              <w:rPr>
                <w:spacing w:val="-73"/>
              </w:rPr>
              <w:t xml:space="preserve"> </w:t>
            </w:r>
            <w:r>
              <w:rPr>
                <w:spacing w:val="-2"/>
              </w:rPr>
              <w:t>”转为“供应商</w:t>
            </w:r>
            <w:r>
              <w:rPr>
                <w:spacing w:val="-88"/>
              </w:rPr>
              <w:t xml:space="preserve"> </w:t>
            </w:r>
            <w:r>
              <w:rPr>
                <w:spacing w:val="-2"/>
              </w:rPr>
              <w:t>”。</w:t>
            </w:r>
          </w:p>
        </w:tc>
      </w:tr>
      <w:tr w14:paraId="6EA56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71" w:type="dxa"/>
            <w:tcBorders>
              <w:left w:val="single" w:color="000000" w:sz="10" w:space="0"/>
            </w:tcBorders>
            <w:noWrap w:val="0"/>
            <w:vAlign w:val="top"/>
          </w:tcPr>
          <w:p w14:paraId="4B80D276">
            <w:pPr>
              <w:pStyle w:val="6"/>
              <w:spacing w:before="122" w:line="322" w:lineRule="exact"/>
              <w:ind w:left="268"/>
            </w:pPr>
            <w:r>
              <w:rPr>
                <w:position w:val="1"/>
              </w:rPr>
              <w:t>3</w:t>
            </w:r>
          </w:p>
        </w:tc>
        <w:tc>
          <w:tcPr>
            <w:tcW w:w="9152" w:type="dxa"/>
            <w:tcBorders>
              <w:right w:val="single" w:color="000000" w:sz="10" w:space="0"/>
            </w:tcBorders>
            <w:noWrap w:val="0"/>
            <w:vAlign w:val="top"/>
          </w:tcPr>
          <w:p w14:paraId="22305669">
            <w:pPr>
              <w:pStyle w:val="6"/>
              <w:spacing w:before="122" w:line="227" w:lineRule="auto"/>
              <w:ind w:left="24"/>
            </w:pPr>
            <w:r>
              <w:rPr>
                <w:b/>
                <w:bCs/>
                <w:spacing w:val="-2"/>
              </w:rPr>
              <w:t>项目实施地点：</w:t>
            </w:r>
            <w:r>
              <w:rPr>
                <w:rFonts w:hint="eastAsia"/>
                <w:spacing w:val="-2"/>
                <w:lang w:val="en-US" w:eastAsia="zh-CN"/>
              </w:rPr>
              <w:t>蓝田县三里镇南王村。</w:t>
            </w:r>
          </w:p>
        </w:tc>
      </w:tr>
      <w:tr w14:paraId="086775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71" w:type="dxa"/>
            <w:tcBorders>
              <w:left w:val="single" w:color="000000" w:sz="10" w:space="0"/>
            </w:tcBorders>
            <w:noWrap w:val="0"/>
            <w:vAlign w:val="top"/>
          </w:tcPr>
          <w:p w14:paraId="4E9B71F9">
            <w:pPr>
              <w:pStyle w:val="6"/>
              <w:spacing w:before="122" w:line="326" w:lineRule="exact"/>
              <w:ind w:left="261"/>
            </w:pPr>
            <w:r>
              <w:rPr>
                <w:position w:val="1"/>
              </w:rPr>
              <w:t>4</w:t>
            </w:r>
          </w:p>
        </w:tc>
        <w:tc>
          <w:tcPr>
            <w:tcW w:w="9152" w:type="dxa"/>
            <w:tcBorders>
              <w:right w:val="single" w:color="000000" w:sz="10" w:space="0"/>
            </w:tcBorders>
            <w:noWrap w:val="0"/>
            <w:vAlign w:val="top"/>
          </w:tcPr>
          <w:p w14:paraId="03FE9835">
            <w:pPr>
              <w:pStyle w:val="6"/>
              <w:spacing w:before="122" w:line="220" w:lineRule="auto"/>
              <w:ind w:left="12"/>
            </w:pPr>
            <w:r>
              <w:rPr>
                <w:b/>
                <w:bCs/>
                <w:spacing w:val="-1"/>
              </w:rPr>
              <w:t>服务期：</w:t>
            </w:r>
            <w:r>
              <w:rPr>
                <w:spacing w:val="-2"/>
              </w:rPr>
              <w:t xml:space="preserve"> </w:t>
            </w:r>
            <w:r>
              <w:rPr>
                <w:rFonts w:hint="eastAsia"/>
                <w:spacing w:val="-2"/>
                <w:lang w:val="en-US" w:eastAsia="zh-CN"/>
              </w:rPr>
              <w:t>合同签订之日起至2026年12月31日。</w:t>
            </w:r>
          </w:p>
        </w:tc>
      </w:tr>
      <w:tr w14:paraId="16327E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1" w:hRule="atLeast"/>
        </w:trPr>
        <w:tc>
          <w:tcPr>
            <w:tcW w:w="671" w:type="dxa"/>
            <w:tcBorders>
              <w:left w:val="single" w:color="000000" w:sz="10" w:space="0"/>
            </w:tcBorders>
            <w:noWrap w:val="0"/>
            <w:vAlign w:val="top"/>
          </w:tcPr>
          <w:p w14:paraId="4F605271">
            <w:pPr>
              <w:spacing w:line="278" w:lineRule="auto"/>
              <w:rPr>
                <w:rFonts w:ascii="Arial"/>
                <w:sz w:val="21"/>
              </w:rPr>
            </w:pPr>
          </w:p>
          <w:p w14:paraId="2754595E">
            <w:pPr>
              <w:spacing w:line="279" w:lineRule="auto"/>
              <w:rPr>
                <w:rFonts w:ascii="Arial"/>
                <w:sz w:val="21"/>
              </w:rPr>
            </w:pPr>
          </w:p>
          <w:p w14:paraId="079F3DA1">
            <w:pPr>
              <w:spacing w:line="279" w:lineRule="auto"/>
              <w:rPr>
                <w:rFonts w:ascii="Arial"/>
                <w:sz w:val="21"/>
              </w:rPr>
            </w:pPr>
          </w:p>
          <w:p w14:paraId="482CC82B">
            <w:pPr>
              <w:spacing w:line="279" w:lineRule="auto"/>
              <w:rPr>
                <w:rFonts w:ascii="Arial"/>
                <w:sz w:val="21"/>
              </w:rPr>
            </w:pPr>
          </w:p>
          <w:p w14:paraId="5EFE9180">
            <w:pPr>
              <w:spacing w:line="279" w:lineRule="auto"/>
              <w:rPr>
                <w:rFonts w:ascii="Arial"/>
                <w:sz w:val="21"/>
              </w:rPr>
            </w:pPr>
          </w:p>
          <w:p w14:paraId="114E6B92">
            <w:pPr>
              <w:spacing w:line="279" w:lineRule="auto"/>
              <w:rPr>
                <w:rFonts w:ascii="Arial"/>
                <w:sz w:val="21"/>
              </w:rPr>
            </w:pPr>
          </w:p>
          <w:p w14:paraId="657FAD93">
            <w:pPr>
              <w:pStyle w:val="6"/>
              <w:spacing w:before="78" w:line="322" w:lineRule="exact"/>
              <w:ind w:left="262"/>
            </w:pPr>
            <w:r>
              <w:rPr>
                <w:position w:val="1"/>
              </w:rPr>
              <w:t>5</w:t>
            </w:r>
          </w:p>
        </w:tc>
        <w:tc>
          <w:tcPr>
            <w:tcW w:w="9152" w:type="dxa"/>
            <w:tcBorders>
              <w:right w:val="single" w:color="000000" w:sz="10" w:space="0"/>
            </w:tcBorders>
            <w:noWrap w:val="0"/>
            <w:vAlign w:val="top"/>
          </w:tcPr>
          <w:p w14:paraId="509DFC7E">
            <w:pPr>
              <w:pStyle w:val="6"/>
              <w:spacing w:before="123" w:line="229" w:lineRule="auto"/>
              <w:ind w:left="17"/>
            </w:pPr>
            <w:r>
              <w:rPr>
                <w:b/>
                <w:bCs/>
                <w:spacing w:val="-4"/>
              </w:rPr>
              <w:t>付款：</w:t>
            </w:r>
          </w:p>
          <w:p w14:paraId="7B0D7346">
            <w:pPr>
              <w:pStyle w:val="6"/>
              <w:spacing w:before="120" w:line="327" w:lineRule="auto"/>
              <w:ind w:left="26" w:right="476" w:hanging="8"/>
              <w:jc w:val="both"/>
              <w:rPr>
                <w:rFonts w:hint="eastAsia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① 合同签订且乙方提供等额发票后，达到付款条件起 7 个工作日内，甲方向乙方支付合同总金额的 40% 作为预付款。</w:t>
            </w:r>
          </w:p>
          <w:p w14:paraId="00A0B6DF">
            <w:pPr>
              <w:pStyle w:val="6"/>
              <w:spacing w:before="120" w:line="327" w:lineRule="auto"/>
              <w:ind w:left="26" w:right="476" w:hanging="8"/>
              <w:jc w:val="both"/>
              <w:rPr>
                <w:rFonts w:hint="eastAsia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② 服务期满且验收合格后，达到付款条件起 7 个工作日内，甲方向乙方支付至合同总金额的 97%。</w:t>
            </w:r>
          </w:p>
          <w:p w14:paraId="35021DCB">
            <w:pPr>
              <w:pStyle w:val="6"/>
              <w:spacing w:before="120" w:line="327" w:lineRule="auto"/>
              <w:ind w:left="26" w:right="476" w:hanging="8"/>
              <w:jc w:val="both"/>
              <w:rPr>
                <w:rFonts w:hint="eastAsia"/>
                <w:spacing w:val="-2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③质保期满无质量问题，达到付款条件起 7 个工作日内甲方向乙方支付至合同总金额的 3%（无息支付）。</w:t>
            </w:r>
          </w:p>
          <w:p w14:paraId="74876BB0">
            <w:pPr>
              <w:pStyle w:val="6"/>
              <w:spacing w:before="120" w:line="327" w:lineRule="auto"/>
              <w:ind w:left="26" w:right="476" w:hanging="8"/>
              <w:jc w:val="both"/>
            </w:pPr>
            <w:r>
              <w:rPr>
                <w:spacing w:val="-2"/>
              </w:rPr>
              <w:t>支付方式：银行转账</w:t>
            </w:r>
          </w:p>
        </w:tc>
      </w:tr>
      <w:tr w14:paraId="66A44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4" w:hRule="atLeast"/>
        </w:trPr>
        <w:tc>
          <w:tcPr>
            <w:tcW w:w="671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78170C39">
            <w:pPr>
              <w:spacing w:line="241" w:lineRule="auto"/>
              <w:rPr>
                <w:rFonts w:ascii="Arial"/>
                <w:sz w:val="21"/>
              </w:rPr>
            </w:pPr>
          </w:p>
          <w:p w14:paraId="741FA2E4">
            <w:pPr>
              <w:spacing w:line="241" w:lineRule="auto"/>
              <w:rPr>
                <w:rFonts w:ascii="Arial"/>
                <w:sz w:val="21"/>
              </w:rPr>
            </w:pPr>
          </w:p>
          <w:p w14:paraId="3D184255">
            <w:pPr>
              <w:spacing w:line="241" w:lineRule="auto"/>
              <w:rPr>
                <w:rFonts w:ascii="Arial"/>
                <w:sz w:val="21"/>
              </w:rPr>
            </w:pPr>
          </w:p>
          <w:p w14:paraId="1FF4B3DC">
            <w:pPr>
              <w:spacing w:line="242" w:lineRule="auto"/>
              <w:rPr>
                <w:rFonts w:ascii="Arial"/>
                <w:sz w:val="21"/>
              </w:rPr>
            </w:pPr>
          </w:p>
          <w:p w14:paraId="2892D421">
            <w:pPr>
              <w:spacing w:line="242" w:lineRule="auto"/>
              <w:rPr>
                <w:rFonts w:ascii="Arial"/>
                <w:sz w:val="21"/>
              </w:rPr>
            </w:pPr>
          </w:p>
          <w:p w14:paraId="1A9166D1">
            <w:pPr>
              <w:spacing w:line="242" w:lineRule="auto"/>
              <w:rPr>
                <w:rFonts w:ascii="Arial"/>
                <w:sz w:val="21"/>
              </w:rPr>
            </w:pPr>
          </w:p>
          <w:p w14:paraId="0152C220">
            <w:pPr>
              <w:pStyle w:val="6"/>
              <w:spacing w:before="78" w:line="322" w:lineRule="exact"/>
              <w:ind w:left="267"/>
            </w:pPr>
            <w:r>
              <w:rPr>
                <w:position w:val="1"/>
              </w:rPr>
              <w:t>6</w:t>
            </w:r>
          </w:p>
        </w:tc>
        <w:tc>
          <w:tcPr>
            <w:tcW w:w="9152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4C6A5143">
            <w:pPr>
              <w:pStyle w:val="6"/>
              <w:spacing w:before="132" w:line="227" w:lineRule="auto"/>
              <w:ind w:left="23"/>
              <w:outlineLvl w:val="0"/>
            </w:pPr>
            <w:r>
              <w:rPr>
                <w:b/>
                <w:bCs/>
                <w:spacing w:val="-1"/>
              </w:rPr>
              <w:t>质量标准：</w:t>
            </w:r>
            <w:r>
              <w:rPr>
                <w:spacing w:val="-1"/>
              </w:rPr>
              <w:t>符合国家及行业质量验收合格标准。</w:t>
            </w:r>
          </w:p>
          <w:p w14:paraId="3B666B95">
            <w:pPr>
              <w:pStyle w:val="6"/>
              <w:spacing w:before="173" w:line="227" w:lineRule="auto"/>
              <w:ind w:left="23"/>
            </w:pPr>
            <w:r>
              <w:rPr>
                <w:b/>
                <w:bCs/>
                <w:spacing w:val="-5"/>
              </w:rPr>
              <w:t>质量保证：</w:t>
            </w:r>
          </w:p>
          <w:p w14:paraId="7D708229">
            <w:pPr>
              <w:pStyle w:val="6"/>
              <w:spacing w:before="172" w:line="220" w:lineRule="auto"/>
              <w:ind w:left="514"/>
            </w:pPr>
            <w:r>
              <w:rPr>
                <w:spacing w:val="-1"/>
              </w:rPr>
              <w:t>1、在服务范围内按工作内容和要求制定详细的方案，方案科学、合理、可靠。</w:t>
            </w:r>
          </w:p>
          <w:p w14:paraId="6E9EC05C">
            <w:pPr>
              <w:pStyle w:val="6"/>
              <w:spacing w:before="181" w:line="358" w:lineRule="auto"/>
              <w:ind w:left="16" w:right="18" w:firstLine="483"/>
            </w:pPr>
            <w:r>
              <w:rPr>
                <w:spacing w:val="1"/>
              </w:rPr>
              <w:t>2、人员配备合理。有针对本项目的专项服务小组，项</w:t>
            </w:r>
            <w:r>
              <w:rPr>
                <w:spacing w:val="-53"/>
              </w:rPr>
              <w:t xml:space="preserve"> </w:t>
            </w:r>
            <w:r>
              <w:rPr>
                <w:spacing w:val="1"/>
              </w:rPr>
              <w:t>目负责</w:t>
            </w:r>
            <w:r>
              <w:t>人、工作人员分工明</w:t>
            </w:r>
            <w:r>
              <w:rPr>
                <w:spacing w:val="-1"/>
              </w:rPr>
              <w:t>确（应有具体成员名单，包括姓名、工作职责。）</w:t>
            </w:r>
          </w:p>
          <w:p w14:paraId="65528D32">
            <w:pPr>
              <w:pStyle w:val="6"/>
              <w:spacing w:before="5" w:line="220" w:lineRule="auto"/>
              <w:ind w:left="502"/>
            </w:pPr>
            <w:r>
              <w:rPr>
                <w:spacing w:val="-1"/>
              </w:rPr>
              <w:t>3、有各类突发事件的应急预案和措施，有明确具体的承诺。</w:t>
            </w:r>
          </w:p>
          <w:p w14:paraId="5EA15DC3">
            <w:pPr>
              <w:pStyle w:val="6"/>
              <w:spacing w:before="182" w:line="220" w:lineRule="auto"/>
              <w:jc w:val="right"/>
            </w:pPr>
            <w:r>
              <w:rPr>
                <w:spacing w:val="3"/>
              </w:rPr>
              <w:t>4、供应商所拟派的工作人员，若在服务期间发生任何伤害，</w:t>
            </w:r>
            <w:r>
              <w:rPr>
                <w:spacing w:val="2"/>
              </w:rPr>
              <w:t>采购人概不负责，由</w:t>
            </w:r>
          </w:p>
        </w:tc>
      </w:tr>
    </w:tbl>
    <w:p w14:paraId="1905B18E">
      <w:pPr>
        <w:pStyle w:val="2"/>
        <w:spacing w:line="233" w:lineRule="exact"/>
        <w:rPr>
          <w:sz w:val="20"/>
        </w:rPr>
      </w:pPr>
    </w:p>
    <w:p w14:paraId="6EE707D3">
      <w:pPr>
        <w:spacing w:line="219" w:lineRule="exact"/>
      </w:pPr>
    </w:p>
    <w:tbl>
      <w:tblPr>
        <w:tblStyle w:val="7"/>
        <w:tblW w:w="9823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1"/>
        <w:gridCol w:w="9152"/>
      </w:tblGrid>
      <w:tr w14:paraId="092A57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6" w:hRule="atLeast"/>
        </w:trPr>
        <w:tc>
          <w:tcPr>
            <w:tcW w:w="671" w:type="dxa"/>
            <w:tcBorders>
              <w:top w:val="single" w:color="000000" w:sz="10" w:space="0"/>
              <w:left w:val="single" w:color="000000" w:sz="10" w:space="0"/>
            </w:tcBorders>
            <w:noWrap w:val="0"/>
            <w:vAlign w:val="top"/>
          </w:tcPr>
          <w:p w14:paraId="05380BB4">
            <w:pPr>
              <w:rPr>
                <w:rFonts w:ascii="Arial"/>
                <w:sz w:val="21"/>
              </w:rPr>
            </w:pPr>
          </w:p>
        </w:tc>
        <w:tc>
          <w:tcPr>
            <w:tcW w:w="9152" w:type="dxa"/>
            <w:tcBorders>
              <w:top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6E2AA01F">
            <w:pPr>
              <w:pStyle w:val="6"/>
              <w:spacing w:before="105" w:line="224" w:lineRule="auto"/>
              <w:ind w:left="12"/>
            </w:pPr>
            <w:r>
              <w:t>供应商自行处理。</w:t>
            </w:r>
          </w:p>
          <w:p w14:paraId="12C3B427">
            <w:pPr>
              <w:pStyle w:val="6"/>
              <w:spacing w:before="175" w:line="329" w:lineRule="auto"/>
              <w:ind w:left="31" w:right="16" w:firstLine="465"/>
              <w:jc w:val="both"/>
            </w:pPr>
            <w:r>
              <w:rPr>
                <w:spacing w:val="12"/>
              </w:rPr>
              <w:t>5、</w:t>
            </w:r>
            <w:r>
              <w:rPr>
                <w:spacing w:val="-67"/>
              </w:rPr>
              <w:t xml:space="preserve"> </w:t>
            </w:r>
            <w:r>
              <w:rPr>
                <w:spacing w:val="12"/>
              </w:rPr>
              <w:t>乙方提供的服务应全面满足磋商内容的要求,</w:t>
            </w:r>
            <w:r>
              <w:rPr>
                <w:spacing w:val="11"/>
              </w:rPr>
              <w:t>磋商文件未明确要求的内容，</w:t>
            </w:r>
            <w:r>
              <w:rPr>
                <w:spacing w:val="-1"/>
              </w:rPr>
              <w:t>乙方须按国家最新发布的规范标准执行或以甲方的补充要求为准，如发生质量问题由乙</w:t>
            </w:r>
            <w:r>
              <w:rPr>
                <w:spacing w:val="-3"/>
              </w:rPr>
              <w:t>方承担全部责任。</w:t>
            </w:r>
          </w:p>
        </w:tc>
      </w:tr>
      <w:tr w14:paraId="093C7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5" w:hRule="atLeast"/>
        </w:trPr>
        <w:tc>
          <w:tcPr>
            <w:tcW w:w="671" w:type="dxa"/>
            <w:tcBorders>
              <w:left w:val="single" w:color="000000" w:sz="10" w:space="0"/>
            </w:tcBorders>
            <w:noWrap w:val="0"/>
            <w:vAlign w:val="top"/>
          </w:tcPr>
          <w:p w14:paraId="7D1D1BA4">
            <w:pPr>
              <w:spacing w:line="286" w:lineRule="auto"/>
              <w:rPr>
                <w:rFonts w:ascii="Arial"/>
                <w:sz w:val="21"/>
              </w:rPr>
            </w:pPr>
          </w:p>
          <w:p w14:paraId="0023B1F1">
            <w:pPr>
              <w:spacing w:line="286" w:lineRule="auto"/>
              <w:rPr>
                <w:rFonts w:ascii="Arial"/>
                <w:sz w:val="21"/>
              </w:rPr>
            </w:pPr>
          </w:p>
          <w:p w14:paraId="2180033C">
            <w:pPr>
              <w:spacing w:line="286" w:lineRule="auto"/>
              <w:rPr>
                <w:rFonts w:ascii="Arial"/>
                <w:sz w:val="21"/>
              </w:rPr>
            </w:pPr>
          </w:p>
          <w:p w14:paraId="4AA7B43B">
            <w:pPr>
              <w:spacing w:line="287" w:lineRule="auto"/>
              <w:rPr>
                <w:rFonts w:ascii="Arial"/>
                <w:sz w:val="21"/>
              </w:rPr>
            </w:pPr>
          </w:p>
          <w:p w14:paraId="3482DDF8">
            <w:pPr>
              <w:spacing w:line="287" w:lineRule="auto"/>
              <w:rPr>
                <w:rFonts w:ascii="Arial"/>
                <w:sz w:val="21"/>
              </w:rPr>
            </w:pPr>
          </w:p>
          <w:p w14:paraId="7A041A93">
            <w:pPr>
              <w:pStyle w:val="6"/>
              <w:spacing w:before="78" w:line="326" w:lineRule="exact"/>
              <w:ind w:left="269"/>
            </w:pPr>
            <w:r>
              <w:rPr>
                <w:position w:val="1"/>
              </w:rPr>
              <w:t>7</w:t>
            </w:r>
          </w:p>
        </w:tc>
        <w:tc>
          <w:tcPr>
            <w:tcW w:w="9152" w:type="dxa"/>
            <w:tcBorders>
              <w:right w:val="single" w:color="000000" w:sz="10" w:space="0"/>
            </w:tcBorders>
            <w:noWrap w:val="0"/>
            <w:vAlign w:val="top"/>
          </w:tcPr>
          <w:p w14:paraId="11D9AFF5">
            <w:pPr>
              <w:pStyle w:val="6"/>
              <w:spacing w:before="115" w:line="228" w:lineRule="auto"/>
              <w:ind w:left="24"/>
            </w:pPr>
            <w:r>
              <w:rPr>
                <w:b/>
                <w:bCs/>
                <w:spacing w:val="-13"/>
              </w:rPr>
              <w:t>项</w:t>
            </w:r>
            <w:r>
              <w:rPr>
                <w:spacing w:val="-55"/>
              </w:rPr>
              <w:t xml:space="preserve"> </w:t>
            </w:r>
            <w:r>
              <w:rPr>
                <w:b/>
                <w:bCs/>
                <w:spacing w:val="-13"/>
              </w:rPr>
              <w:t>目团队要求：</w:t>
            </w:r>
          </w:p>
          <w:p w14:paraId="44465B1E">
            <w:pPr>
              <w:pStyle w:val="6"/>
              <w:spacing w:before="171" w:line="359" w:lineRule="auto"/>
              <w:ind w:left="12" w:right="15" w:firstLine="501"/>
            </w:pPr>
            <w:r>
              <w:rPr>
                <w:spacing w:val="-1"/>
              </w:rPr>
              <w:t>1.若因不可抗力因素，成交供应商确需更换项目负责人，新更换的项目负责人须与</w:t>
            </w:r>
            <w:r>
              <w:t>磋商时所承诺的专业、资格等级、技术职称等内容</w:t>
            </w:r>
            <w:r>
              <w:rPr>
                <w:spacing w:val="-1"/>
              </w:rPr>
              <w:t>一致或高于原资格条件；同时，要求</w:t>
            </w:r>
            <w:r>
              <w:rPr>
                <w:spacing w:val="-2"/>
              </w:rPr>
              <w:t>至少提前</w:t>
            </w:r>
            <w:r>
              <w:rPr>
                <w:spacing w:val="-50"/>
              </w:rPr>
              <w:t xml:space="preserve"> </w:t>
            </w:r>
            <w:r>
              <w:rPr>
                <w:spacing w:val="-2"/>
              </w:rPr>
              <w:t>7</w:t>
            </w:r>
            <w:r>
              <w:rPr>
                <w:spacing w:val="-55"/>
              </w:rPr>
              <w:t xml:space="preserve"> </w:t>
            </w:r>
            <w:r>
              <w:rPr>
                <w:spacing w:val="-2"/>
              </w:rPr>
              <w:t>个工作</w:t>
            </w:r>
            <w:r>
              <w:rPr>
                <w:spacing w:val="-60"/>
              </w:rPr>
              <w:t xml:space="preserve"> </w:t>
            </w:r>
            <w:r>
              <w:rPr>
                <w:spacing w:val="-2"/>
              </w:rPr>
              <w:t>日以书面形式通知采购人，并将拟</w:t>
            </w:r>
            <w:r>
              <w:rPr>
                <w:spacing w:val="-3"/>
              </w:rPr>
              <w:t>更换的人员个人资料一并上报，经</w:t>
            </w:r>
            <w:r>
              <w:rPr>
                <w:spacing w:val="-1"/>
              </w:rPr>
              <w:t>采购人审核同意后，方可更换。</w:t>
            </w:r>
          </w:p>
          <w:p w14:paraId="5E7A20FD">
            <w:pPr>
              <w:pStyle w:val="6"/>
              <w:spacing w:before="6" w:line="311" w:lineRule="auto"/>
              <w:ind w:left="17" w:right="16" w:firstLine="482"/>
            </w:pPr>
            <w:r>
              <w:rPr>
                <w:spacing w:val="-1"/>
              </w:rPr>
              <w:t>2.签订合同之前，成交供应商须提供项目组人员一览表，与磋商响应文件的人员一览表进行比对，人员变更须征得采购人同意。</w:t>
            </w:r>
          </w:p>
        </w:tc>
      </w:tr>
      <w:tr w14:paraId="0B2E3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3" w:hRule="atLeast"/>
        </w:trPr>
        <w:tc>
          <w:tcPr>
            <w:tcW w:w="671" w:type="dxa"/>
            <w:tcBorders>
              <w:left w:val="single" w:color="000000" w:sz="10" w:space="0"/>
            </w:tcBorders>
            <w:noWrap w:val="0"/>
            <w:vAlign w:val="top"/>
          </w:tcPr>
          <w:p w14:paraId="1653A575">
            <w:pPr>
              <w:spacing w:line="247" w:lineRule="auto"/>
              <w:rPr>
                <w:rFonts w:ascii="Arial"/>
                <w:sz w:val="21"/>
              </w:rPr>
            </w:pPr>
          </w:p>
          <w:p w14:paraId="21482560">
            <w:pPr>
              <w:spacing w:line="247" w:lineRule="auto"/>
              <w:rPr>
                <w:rFonts w:ascii="Arial"/>
                <w:sz w:val="21"/>
              </w:rPr>
            </w:pPr>
          </w:p>
          <w:p w14:paraId="3CB2EA3B">
            <w:pPr>
              <w:spacing w:line="247" w:lineRule="auto"/>
              <w:rPr>
                <w:rFonts w:ascii="Arial"/>
                <w:sz w:val="21"/>
              </w:rPr>
            </w:pPr>
          </w:p>
          <w:p w14:paraId="78ED13D1">
            <w:pPr>
              <w:pStyle w:val="6"/>
              <w:spacing w:before="78" w:line="323" w:lineRule="exact"/>
              <w:ind w:left="265"/>
            </w:pPr>
            <w:r>
              <w:rPr>
                <w:position w:val="1"/>
              </w:rPr>
              <w:t>8</w:t>
            </w:r>
          </w:p>
        </w:tc>
        <w:tc>
          <w:tcPr>
            <w:tcW w:w="9152" w:type="dxa"/>
            <w:tcBorders>
              <w:right w:val="single" w:color="000000" w:sz="10" w:space="0"/>
            </w:tcBorders>
            <w:noWrap w:val="0"/>
            <w:vAlign w:val="top"/>
          </w:tcPr>
          <w:p w14:paraId="161437E6">
            <w:pPr>
              <w:pStyle w:val="6"/>
              <w:spacing w:before="121" w:line="224" w:lineRule="auto"/>
              <w:ind w:left="18"/>
            </w:pPr>
            <w:r>
              <w:rPr>
                <w:b/>
                <w:bCs/>
                <w:spacing w:val="-3"/>
              </w:rPr>
              <w:t>保密条款：</w:t>
            </w:r>
          </w:p>
          <w:p w14:paraId="69FEA633">
            <w:pPr>
              <w:pStyle w:val="6"/>
              <w:spacing w:before="176" w:line="220" w:lineRule="auto"/>
              <w:ind w:left="514"/>
            </w:pPr>
            <w:r>
              <w:rPr>
                <w:spacing w:val="-1"/>
              </w:rPr>
              <w:t>1.成交供应商应严格遵守采购人有关保密规定，不得泄漏一切机密；</w:t>
            </w:r>
          </w:p>
          <w:p w14:paraId="613975C0">
            <w:pPr>
              <w:pStyle w:val="6"/>
              <w:spacing w:before="181" w:line="310" w:lineRule="auto"/>
              <w:ind w:left="32" w:right="16" w:firstLine="467"/>
            </w:pPr>
            <w:r>
              <w:rPr>
                <w:spacing w:val="-1"/>
              </w:rPr>
              <w:t>2.在技术服务期间，成交供应商对接触到的有关采购人商业活动、技术情报和技术</w:t>
            </w:r>
            <w:r>
              <w:rPr>
                <w:spacing w:val="-2"/>
              </w:rPr>
              <w:t>资料等文件进行保密。</w:t>
            </w:r>
          </w:p>
        </w:tc>
      </w:tr>
      <w:tr w14:paraId="491B2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6" w:hRule="atLeast"/>
        </w:trPr>
        <w:tc>
          <w:tcPr>
            <w:tcW w:w="671" w:type="dxa"/>
            <w:tcBorders>
              <w:left w:val="single" w:color="000000" w:sz="10" w:space="0"/>
            </w:tcBorders>
            <w:noWrap w:val="0"/>
            <w:vAlign w:val="top"/>
          </w:tcPr>
          <w:p w14:paraId="4641265C">
            <w:pPr>
              <w:spacing w:line="267" w:lineRule="auto"/>
              <w:rPr>
                <w:rFonts w:ascii="Arial"/>
                <w:sz w:val="21"/>
              </w:rPr>
            </w:pPr>
          </w:p>
          <w:p w14:paraId="253F9236">
            <w:pPr>
              <w:spacing w:line="267" w:lineRule="auto"/>
              <w:rPr>
                <w:rFonts w:ascii="Arial"/>
                <w:sz w:val="21"/>
              </w:rPr>
            </w:pPr>
          </w:p>
          <w:p w14:paraId="65F85B74">
            <w:pPr>
              <w:spacing w:line="267" w:lineRule="auto"/>
              <w:rPr>
                <w:rFonts w:ascii="Arial"/>
                <w:sz w:val="21"/>
              </w:rPr>
            </w:pPr>
          </w:p>
          <w:p w14:paraId="0B055F51">
            <w:pPr>
              <w:spacing w:line="267" w:lineRule="auto"/>
              <w:rPr>
                <w:rFonts w:ascii="Arial"/>
                <w:sz w:val="21"/>
              </w:rPr>
            </w:pPr>
          </w:p>
          <w:p w14:paraId="3CEC10DB">
            <w:pPr>
              <w:spacing w:line="268" w:lineRule="auto"/>
              <w:rPr>
                <w:rFonts w:ascii="Arial"/>
                <w:sz w:val="21"/>
              </w:rPr>
            </w:pPr>
          </w:p>
          <w:p w14:paraId="734DAD59">
            <w:pPr>
              <w:spacing w:line="268" w:lineRule="auto"/>
              <w:rPr>
                <w:rFonts w:ascii="Arial"/>
                <w:sz w:val="21"/>
              </w:rPr>
            </w:pPr>
          </w:p>
          <w:p w14:paraId="156E412B">
            <w:pPr>
              <w:spacing w:line="268" w:lineRule="auto"/>
              <w:rPr>
                <w:rFonts w:ascii="Arial"/>
                <w:sz w:val="21"/>
              </w:rPr>
            </w:pPr>
          </w:p>
          <w:p w14:paraId="13EA4275">
            <w:pPr>
              <w:spacing w:line="268" w:lineRule="auto"/>
              <w:rPr>
                <w:rFonts w:ascii="Arial"/>
                <w:sz w:val="21"/>
              </w:rPr>
            </w:pPr>
          </w:p>
          <w:p w14:paraId="081E1B83">
            <w:pPr>
              <w:pStyle w:val="6"/>
              <w:spacing w:before="78" w:line="323" w:lineRule="exact"/>
              <w:ind w:left="261"/>
            </w:pPr>
            <w:r>
              <w:rPr>
                <w:position w:val="1"/>
              </w:rPr>
              <w:t>9</w:t>
            </w:r>
          </w:p>
        </w:tc>
        <w:tc>
          <w:tcPr>
            <w:tcW w:w="9152" w:type="dxa"/>
            <w:tcBorders>
              <w:right w:val="single" w:color="000000" w:sz="10" w:space="0"/>
            </w:tcBorders>
            <w:noWrap w:val="0"/>
            <w:vAlign w:val="top"/>
          </w:tcPr>
          <w:p w14:paraId="4BD07B39">
            <w:pPr>
              <w:pStyle w:val="6"/>
              <w:spacing w:before="127" w:line="227" w:lineRule="auto"/>
              <w:ind w:left="23"/>
            </w:pPr>
            <w:r>
              <w:rPr>
                <w:b/>
                <w:bCs/>
                <w:spacing w:val="-5"/>
              </w:rPr>
              <w:t>考核验收：</w:t>
            </w:r>
          </w:p>
          <w:p w14:paraId="55C3359E">
            <w:pPr>
              <w:pStyle w:val="6"/>
              <w:spacing w:before="172" w:line="360" w:lineRule="auto"/>
              <w:ind w:left="19" w:right="16" w:firstLine="508"/>
            </w:pPr>
            <w:r>
              <w:rPr>
                <w:spacing w:val="-1"/>
              </w:rPr>
              <w:t>由采购人和成交供应商共同对项目进行整体验收</w:t>
            </w:r>
            <w:r>
              <w:rPr>
                <w:spacing w:val="-2"/>
              </w:rPr>
              <w:t>。其内容包括是否按照采购人要求</w:t>
            </w:r>
            <w:r>
              <w:rPr>
                <w:spacing w:val="-1"/>
              </w:rPr>
              <w:t>进行服务、是否在规定时间内服务完毕。</w:t>
            </w:r>
          </w:p>
          <w:p w14:paraId="076F868F">
            <w:pPr>
              <w:pStyle w:val="6"/>
              <w:spacing w:line="224" w:lineRule="auto"/>
              <w:ind w:left="25"/>
            </w:pPr>
            <w:r>
              <w:rPr>
                <w:spacing w:val="-3"/>
              </w:rPr>
              <w:t>其他事项：</w:t>
            </w:r>
          </w:p>
          <w:p w14:paraId="4E974277">
            <w:pPr>
              <w:pStyle w:val="6"/>
              <w:spacing w:before="176" w:line="220" w:lineRule="auto"/>
              <w:ind w:left="514"/>
            </w:pPr>
            <w:r>
              <w:rPr>
                <w:spacing w:val="-1"/>
              </w:rPr>
              <w:t>1、验收合格后，填写政府采购项目验收单作为对本服务的最终认可。</w:t>
            </w:r>
          </w:p>
          <w:p w14:paraId="49479683">
            <w:pPr>
              <w:pStyle w:val="6"/>
              <w:spacing w:before="181" w:line="222" w:lineRule="auto"/>
              <w:ind w:left="500"/>
            </w:pPr>
            <w:r>
              <w:t>2、服务商向采购人提供服务过程中的所有资料,以便采购</w:t>
            </w:r>
            <w:r>
              <w:rPr>
                <w:spacing w:val="-1"/>
              </w:rPr>
              <w:t>人日后管理和维护。</w:t>
            </w:r>
          </w:p>
          <w:p w14:paraId="6202A48D">
            <w:pPr>
              <w:pStyle w:val="6"/>
              <w:spacing w:before="180" w:line="234" w:lineRule="auto"/>
              <w:ind w:left="502"/>
            </w:pPr>
            <w:r>
              <w:rPr>
                <w:spacing w:val="-2"/>
              </w:rPr>
              <w:t>3、验收依据</w:t>
            </w:r>
          </w:p>
          <w:p w14:paraId="1A83C5C9">
            <w:pPr>
              <w:pStyle w:val="6"/>
              <w:spacing w:before="163" w:line="223" w:lineRule="auto"/>
              <w:ind w:left="502"/>
            </w:pPr>
            <w:r>
              <w:rPr>
                <w:spacing w:val="-1"/>
              </w:rPr>
              <w:t>3.1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磋商文件、磋商响应文件、澄清表（函</w:t>
            </w:r>
            <w:r>
              <w:rPr>
                <w:spacing w:val="4"/>
              </w:rPr>
              <w:t>）；</w:t>
            </w:r>
          </w:p>
          <w:p w14:paraId="2FE725AA">
            <w:pPr>
              <w:pStyle w:val="6"/>
              <w:spacing w:before="178" w:line="223" w:lineRule="auto"/>
              <w:ind w:left="502"/>
            </w:pPr>
            <w:r>
              <w:rPr>
                <w:spacing w:val="-3"/>
              </w:rPr>
              <w:t>3.2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本合同及附件文本；</w:t>
            </w:r>
          </w:p>
          <w:p w14:paraId="3B3B81CD">
            <w:pPr>
              <w:pStyle w:val="6"/>
              <w:spacing w:before="178" w:line="227" w:lineRule="auto"/>
              <w:ind w:left="502"/>
            </w:pPr>
            <w:r>
              <w:rPr>
                <w:spacing w:val="-5"/>
              </w:rPr>
              <w:t>3.3 国家相应的标准、规范。</w:t>
            </w:r>
          </w:p>
        </w:tc>
      </w:tr>
      <w:tr w14:paraId="1680F8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3" w:hRule="atLeast"/>
        </w:trPr>
        <w:tc>
          <w:tcPr>
            <w:tcW w:w="671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1C82F69A">
            <w:pPr>
              <w:spacing w:line="251" w:lineRule="auto"/>
              <w:rPr>
                <w:rFonts w:ascii="Arial"/>
                <w:sz w:val="21"/>
              </w:rPr>
            </w:pPr>
          </w:p>
          <w:p w14:paraId="4A275707">
            <w:pPr>
              <w:spacing w:line="251" w:lineRule="auto"/>
              <w:rPr>
                <w:rFonts w:ascii="Arial"/>
                <w:sz w:val="21"/>
              </w:rPr>
            </w:pPr>
          </w:p>
          <w:p w14:paraId="331B4C3A">
            <w:pPr>
              <w:spacing w:line="251" w:lineRule="auto"/>
              <w:rPr>
                <w:rFonts w:ascii="Arial"/>
                <w:sz w:val="21"/>
              </w:rPr>
            </w:pPr>
          </w:p>
          <w:p w14:paraId="425AD75B">
            <w:pPr>
              <w:pStyle w:val="6"/>
              <w:spacing w:before="78" w:line="319" w:lineRule="exact"/>
              <w:ind w:left="220"/>
            </w:pPr>
            <w:r>
              <w:rPr>
                <w:spacing w:val="-11"/>
                <w:position w:val="1"/>
              </w:rPr>
              <w:t>10</w:t>
            </w:r>
          </w:p>
        </w:tc>
        <w:tc>
          <w:tcPr>
            <w:tcW w:w="9152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57D36AB6">
            <w:pPr>
              <w:pStyle w:val="6"/>
              <w:spacing w:before="135" w:line="224" w:lineRule="auto"/>
              <w:ind w:left="21"/>
            </w:pPr>
            <w:r>
              <w:rPr>
                <w:b/>
                <w:bCs/>
                <w:spacing w:val="-4"/>
              </w:rPr>
              <w:t>违约责任：</w:t>
            </w:r>
          </w:p>
          <w:p w14:paraId="475C57C2">
            <w:pPr>
              <w:pStyle w:val="6"/>
              <w:spacing w:before="176" w:line="224" w:lineRule="auto"/>
              <w:jc w:val="right"/>
            </w:pPr>
            <w:r>
              <w:rPr>
                <w:spacing w:val="-7"/>
              </w:rPr>
              <w:t>按《中华人民共和国政府采购法》、《中华人民共和国民法典》中的相关条款执行。</w:t>
            </w:r>
          </w:p>
          <w:p w14:paraId="54F327C8">
            <w:pPr>
              <w:pStyle w:val="6"/>
              <w:spacing w:before="176" w:line="312" w:lineRule="auto"/>
              <w:ind w:left="49" w:right="15" w:firstLine="463"/>
            </w:pPr>
            <w:r>
              <w:rPr>
                <w:spacing w:val="-1"/>
              </w:rPr>
              <w:t>未按合同或磋商文件要求的或者质量不能满足采购人要求的，采购单位有权终止合</w:t>
            </w:r>
            <w:r>
              <w:rPr>
                <w:spacing w:val="-3"/>
              </w:rPr>
              <w:t>同，甚至对供应商违约行为进行追究。</w:t>
            </w:r>
          </w:p>
        </w:tc>
      </w:tr>
    </w:tbl>
    <w:p w14:paraId="4F6391E3">
      <w:pPr>
        <w:pStyle w:val="2"/>
      </w:pPr>
    </w:p>
    <w:p w14:paraId="120492F4">
      <w:pPr>
        <w:sectPr>
          <w:footerReference r:id="rId5" w:type="default"/>
          <w:pgSz w:w="11906" w:h="16839"/>
          <w:pgMar w:top="1163" w:right="682" w:bottom="1180" w:left="1374" w:header="833" w:footer="1018" w:gutter="0"/>
          <w:cols w:space="720" w:num="1"/>
        </w:sectPr>
      </w:pPr>
    </w:p>
    <w:p w14:paraId="75134AD9">
      <w:pPr>
        <w:spacing w:line="219" w:lineRule="exact"/>
      </w:pPr>
    </w:p>
    <w:tbl>
      <w:tblPr>
        <w:tblStyle w:val="7"/>
        <w:tblW w:w="9823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1"/>
        <w:gridCol w:w="9152"/>
      </w:tblGrid>
      <w:tr w14:paraId="286E7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</w:trPr>
        <w:tc>
          <w:tcPr>
            <w:tcW w:w="671" w:type="dxa"/>
            <w:tcBorders>
              <w:top w:val="single" w:color="000000" w:sz="10" w:space="0"/>
              <w:left w:val="single" w:color="000000" w:sz="10" w:space="0"/>
            </w:tcBorders>
            <w:noWrap w:val="0"/>
            <w:vAlign w:val="top"/>
          </w:tcPr>
          <w:p w14:paraId="734DE359">
            <w:pPr>
              <w:rPr>
                <w:rFonts w:ascii="Arial"/>
                <w:sz w:val="21"/>
              </w:rPr>
            </w:pPr>
          </w:p>
        </w:tc>
        <w:tc>
          <w:tcPr>
            <w:tcW w:w="9152" w:type="dxa"/>
            <w:tcBorders>
              <w:top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6579EF63">
            <w:pPr>
              <w:pStyle w:val="6"/>
              <w:spacing w:before="104" w:line="314" w:lineRule="auto"/>
              <w:ind w:left="17" w:right="16" w:firstLine="475"/>
            </w:pPr>
            <w:r>
              <w:t>供应商的磋商响应文件为签订正式书面合同书</w:t>
            </w:r>
            <w:r>
              <w:rPr>
                <w:spacing w:val="-1"/>
              </w:rPr>
              <w:t>不可分割的部分，磋商响应应履行相应的责任。</w:t>
            </w:r>
          </w:p>
        </w:tc>
      </w:tr>
      <w:tr w14:paraId="3B57A1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7" w:hRule="atLeast"/>
        </w:trPr>
        <w:tc>
          <w:tcPr>
            <w:tcW w:w="671" w:type="dxa"/>
            <w:tcBorders>
              <w:left w:val="single" w:color="000000" w:sz="10" w:space="0"/>
            </w:tcBorders>
            <w:noWrap w:val="0"/>
            <w:vAlign w:val="top"/>
          </w:tcPr>
          <w:p w14:paraId="2B471089">
            <w:pPr>
              <w:spacing w:line="245" w:lineRule="auto"/>
              <w:rPr>
                <w:rFonts w:ascii="Arial"/>
                <w:sz w:val="21"/>
              </w:rPr>
            </w:pPr>
          </w:p>
          <w:p w14:paraId="41089FF8">
            <w:pPr>
              <w:spacing w:line="245" w:lineRule="auto"/>
              <w:rPr>
                <w:rFonts w:ascii="Arial"/>
                <w:sz w:val="21"/>
              </w:rPr>
            </w:pPr>
          </w:p>
          <w:p w14:paraId="1A0904B0">
            <w:pPr>
              <w:spacing w:line="245" w:lineRule="auto"/>
              <w:rPr>
                <w:rFonts w:ascii="Arial"/>
                <w:sz w:val="21"/>
              </w:rPr>
            </w:pPr>
          </w:p>
          <w:p w14:paraId="1DC56205">
            <w:pPr>
              <w:spacing w:line="245" w:lineRule="auto"/>
              <w:rPr>
                <w:rFonts w:ascii="Arial"/>
                <w:sz w:val="21"/>
              </w:rPr>
            </w:pPr>
          </w:p>
          <w:p w14:paraId="206F6F8C">
            <w:pPr>
              <w:spacing w:line="245" w:lineRule="auto"/>
              <w:rPr>
                <w:rFonts w:ascii="Arial"/>
                <w:sz w:val="21"/>
              </w:rPr>
            </w:pPr>
          </w:p>
          <w:p w14:paraId="5B47DDE6">
            <w:pPr>
              <w:spacing w:line="245" w:lineRule="auto"/>
              <w:rPr>
                <w:rFonts w:ascii="Arial"/>
                <w:sz w:val="21"/>
              </w:rPr>
            </w:pPr>
          </w:p>
          <w:p w14:paraId="7865682E">
            <w:pPr>
              <w:spacing w:line="245" w:lineRule="auto"/>
              <w:rPr>
                <w:rFonts w:ascii="Arial"/>
                <w:sz w:val="21"/>
              </w:rPr>
            </w:pPr>
          </w:p>
          <w:p w14:paraId="0A36F924">
            <w:pPr>
              <w:spacing w:line="245" w:lineRule="auto"/>
              <w:rPr>
                <w:rFonts w:ascii="Arial"/>
                <w:sz w:val="21"/>
              </w:rPr>
            </w:pPr>
          </w:p>
          <w:p w14:paraId="65274339">
            <w:pPr>
              <w:spacing w:line="245" w:lineRule="auto"/>
              <w:rPr>
                <w:rFonts w:ascii="Arial"/>
                <w:sz w:val="21"/>
              </w:rPr>
            </w:pPr>
          </w:p>
          <w:p w14:paraId="71E75A3C">
            <w:pPr>
              <w:spacing w:line="245" w:lineRule="auto"/>
              <w:rPr>
                <w:rFonts w:ascii="Arial"/>
                <w:sz w:val="21"/>
              </w:rPr>
            </w:pPr>
          </w:p>
          <w:p w14:paraId="1E513DFB">
            <w:pPr>
              <w:spacing w:line="245" w:lineRule="auto"/>
              <w:rPr>
                <w:rFonts w:ascii="Arial"/>
                <w:sz w:val="21"/>
              </w:rPr>
            </w:pPr>
          </w:p>
          <w:p w14:paraId="0AEB2D9C">
            <w:pPr>
              <w:spacing w:line="245" w:lineRule="auto"/>
              <w:rPr>
                <w:rFonts w:ascii="Arial"/>
                <w:sz w:val="21"/>
              </w:rPr>
            </w:pPr>
          </w:p>
          <w:p w14:paraId="32B99C59">
            <w:pPr>
              <w:spacing w:line="245" w:lineRule="auto"/>
              <w:rPr>
                <w:rFonts w:ascii="Arial"/>
                <w:sz w:val="21"/>
              </w:rPr>
            </w:pPr>
          </w:p>
          <w:p w14:paraId="6BF7FA48">
            <w:pPr>
              <w:spacing w:line="245" w:lineRule="auto"/>
              <w:rPr>
                <w:rFonts w:ascii="Arial"/>
                <w:sz w:val="21"/>
              </w:rPr>
            </w:pPr>
          </w:p>
          <w:p w14:paraId="43217C41">
            <w:pPr>
              <w:spacing w:line="246" w:lineRule="auto"/>
              <w:rPr>
                <w:rFonts w:ascii="Arial"/>
                <w:sz w:val="21"/>
              </w:rPr>
            </w:pPr>
          </w:p>
          <w:p w14:paraId="27912210">
            <w:pPr>
              <w:spacing w:line="246" w:lineRule="auto"/>
              <w:rPr>
                <w:rFonts w:ascii="Arial"/>
                <w:sz w:val="21"/>
              </w:rPr>
            </w:pPr>
          </w:p>
          <w:p w14:paraId="752F5BA5">
            <w:pPr>
              <w:spacing w:line="246" w:lineRule="auto"/>
              <w:rPr>
                <w:rFonts w:ascii="Arial"/>
                <w:sz w:val="21"/>
              </w:rPr>
            </w:pPr>
          </w:p>
          <w:p w14:paraId="0C72FDAF">
            <w:pPr>
              <w:spacing w:line="246" w:lineRule="auto"/>
              <w:rPr>
                <w:rFonts w:ascii="Arial"/>
                <w:sz w:val="21"/>
              </w:rPr>
            </w:pPr>
          </w:p>
          <w:p w14:paraId="5227E938">
            <w:pPr>
              <w:spacing w:line="246" w:lineRule="auto"/>
              <w:rPr>
                <w:rFonts w:ascii="Arial"/>
                <w:sz w:val="21"/>
              </w:rPr>
            </w:pPr>
          </w:p>
          <w:p w14:paraId="0C848C75">
            <w:pPr>
              <w:spacing w:line="246" w:lineRule="auto"/>
              <w:rPr>
                <w:rFonts w:ascii="Arial"/>
                <w:sz w:val="21"/>
              </w:rPr>
            </w:pPr>
          </w:p>
          <w:p w14:paraId="76E2F49C">
            <w:pPr>
              <w:spacing w:line="246" w:lineRule="auto"/>
              <w:rPr>
                <w:rFonts w:ascii="Arial"/>
                <w:sz w:val="21"/>
              </w:rPr>
            </w:pPr>
          </w:p>
          <w:p w14:paraId="5264A45F">
            <w:pPr>
              <w:pStyle w:val="6"/>
              <w:spacing w:before="78" w:line="326" w:lineRule="exact"/>
              <w:ind w:left="220"/>
            </w:pPr>
            <w:r>
              <w:rPr>
                <w:spacing w:val="-11"/>
                <w:position w:val="1"/>
              </w:rPr>
              <w:t>11</w:t>
            </w:r>
          </w:p>
        </w:tc>
        <w:tc>
          <w:tcPr>
            <w:tcW w:w="9152" w:type="dxa"/>
            <w:tcBorders>
              <w:right w:val="single" w:color="000000" w:sz="10" w:space="0"/>
            </w:tcBorders>
            <w:noWrap w:val="0"/>
            <w:vAlign w:val="top"/>
          </w:tcPr>
          <w:p w14:paraId="51D74943">
            <w:pPr>
              <w:pStyle w:val="6"/>
              <w:spacing w:before="114" w:line="223" w:lineRule="auto"/>
              <w:ind w:left="20"/>
            </w:pPr>
            <w:r>
              <w:rPr>
                <w:b/>
                <w:bCs/>
                <w:spacing w:val="-3"/>
              </w:rPr>
              <w:t>政府采购合同：</w:t>
            </w:r>
          </w:p>
          <w:p w14:paraId="65D8CE55">
            <w:pPr>
              <w:pStyle w:val="6"/>
              <w:spacing w:before="178" w:line="359" w:lineRule="auto"/>
              <w:ind w:left="17" w:firstLine="480"/>
            </w:pPr>
            <w:r>
              <w:rPr>
                <w:spacing w:val="-7"/>
              </w:rPr>
              <w:t>政府采购合同适用《中华人民共和国民法典》。采购人和供应商之间的权利和义务，</w:t>
            </w:r>
            <w:r>
              <w:rPr>
                <w:spacing w:val="-5"/>
              </w:rPr>
              <w:t>应当按照平等、</w:t>
            </w:r>
            <w:r>
              <w:rPr>
                <w:spacing w:val="-50"/>
              </w:rPr>
              <w:t xml:space="preserve"> </w:t>
            </w:r>
            <w:r>
              <w:rPr>
                <w:spacing w:val="-5"/>
              </w:rPr>
              <w:t>自愿的原则以合同方式约定。</w:t>
            </w:r>
          </w:p>
          <w:p w14:paraId="193371F0">
            <w:pPr>
              <w:pStyle w:val="6"/>
              <w:spacing w:before="1" w:line="358" w:lineRule="auto"/>
              <w:ind w:left="53" w:right="16" w:firstLine="444"/>
            </w:pPr>
            <w:r>
              <w:rPr>
                <w:spacing w:val="-1"/>
              </w:rPr>
              <w:t>采购人可以委托采购代理机构代表其与供应商签订政府采购合同。由采购代理机构以采购人名义签订合同的，应当提交采购人的授权委托</w:t>
            </w:r>
            <w:r>
              <w:rPr>
                <w:spacing w:val="-2"/>
              </w:rPr>
              <w:t>书，作为合同附件。</w:t>
            </w:r>
          </w:p>
          <w:p w14:paraId="74943661">
            <w:pPr>
              <w:pStyle w:val="6"/>
              <w:spacing w:before="5" w:line="223" w:lineRule="auto"/>
              <w:ind w:left="500"/>
            </w:pPr>
            <w:r>
              <w:rPr>
                <w:spacing w:val="-1"/>
              </w:rPr>
              <w:t>政府采购合同应当采用书面形式。</w:t>
            </w:r>
          </w:p>
          <w:p w14:paraId="4BDB12DF">
            <w:pPr>
              <w:pStyle w:val="6"/>
              <w:spacing w:before="178" w:line="360" w:lineRule="auto"/>
              <w:ind w:left="16" w:right="16" w:firstLine="514"/>
            </w:pPr>
            <w:r>
              <w:rPr>
                <w:spacing w:val="-2"/>
              </w:rPr>
              <w:t>国务院政府采购监督管理部门应当会同国务院有关部门，规定政府采购合同必须具</w:t>
            </w:r>
            <w:r>
              <w:rPr>
                <w:spacing w:val="-1"/>
              </w:rPr>
              <w:t>备的条款。</w:t>
            </w:r>
          </w:p>
          <w:p w14:paraId="4F0D4194">
            <w:pPr>
              <w:pStyle w:val="6"/>
              <w:spacing w:before="1" w:line="359" w:lineRule="auto"/>
              <w:ind w:left="32" w:right="15" w:firstLine="465"/>
            </w:pPr>
            <w:r>
              <w:rPr>
                <w:spacing w:val="-1"/>
              </w:rPr>
              <w:t>采购人与中标、成交供应商应当在中标、成交通知书发出之日起三十日内，按照磋</w:t>
            </w:r>
            <w:r>
              <w:rPr>
                <w:spacing w:val="-2"/>
              </w:rPr>
              <w:t>商文件确定的事项签订政府采购合同。</w:t>
            </w:r>
          </w:p>
          <w:p w14:paraId="2FF4E2F4">
            <w:pPr>
              <w:pStyle w:val="6"/>
              <w:spacing w:line="359" w:lineRule="auto"/>
              <w:ind w:left="34" w:right="16" w:firstLine="495"/>
              <w:jc w:val="both"/>
            </w:pPr>
            <w:r>
              <w:rPr>
                <w:spacing w:val="-1"/>
              </w:rPr>
              <w:t>中标、成交通知书对采购人和中标、成交供</w:t>
            </w:r>
            <w:r>
              <w:rPr>
                <w:spacing w:val="-2"/>
              </w:rPr>
              <w:t>应商均具有法律效力。中标、成交通知</w:t>
            </w:r>
            <w:r>
              <w:rPr>
                <w:spacing w:val="-1"/>
              </w:rPr>
              <w:t>书发出后，采购人改变中标、成交结果的，或者中标、成交供应商放弃中标、成交项目</w:t>
            </w:r>
            <w:r>
              <w:rPr>
                <w:spacing w:val="-2"/>
              </w:rPr>
              <w:t>的，应当依法承担法律责任。</w:t>
            </w:r>
          </w:p>
          <w:p w14:paraId="4859C81C">
            <w:pPr>
              <w:pStyle w:val="6"/>
              <w:spacing w:before="6" w:line="360" w:lineRule="auto"/>
              <w:ind w:left="25" w:right="16" w:firstLine="483"/>
              <w:jc w:val="both"/>
            </w:pPr>
            <w:r>
              <w:rPr>
                <w:spacing w:val="-1"/>
              </w:rPr>
              <w:t>经采购人同意，中标、成交供应商可以依法采取分包方式履行合同。政府采购合同分包履行的，中标、成交供应商就采购项目和分包项目向采购人负责，分包供应商就分</w:t>
            </w:r>
            <w:r>
              <w:rPr>
                <w:spacing w:val="-2"/>
              </w:rPr>
              <w:t>包项目承担责任。</w:t>
            </w:r>
          </w:p>
          <w:p w14:paraId="5A16D68A">
            <w:pPr>
              <w:pStyle w:val="6"/>
              <w:spacing w:before="2" w:line="359" w:lineRule="auto"/>
              <w:ind w:left="25" w:right="15" w:firstLine="475"/>
              <w:jc w:val="both"/>
            </w:pPr>
            <w:r>
              <w:rPr>
                <w:spacing w:val="-1"/>
              </w:rPr>
              <w:t>政府采购合同履行中，采购人需追加与合同标的相同的货物、工程或者服务的，在不改变合同其他条款的前提下，可以与供应商协商签订补充合同，但所有补充合同的采购金额不得超过原合同采购金额的百分之十。</w:t>
            </w:r>
          </w:p>
          <w:p w14:paraId="7E164721">
            <w:pPr>
              <w:pStyle w:val="6"/>
              <w:spacing w:before="1" w:line="223" w:lineRule="auto"/>
              <w:ind w:left="500"/>
            </w:pPr>
            <w:r>
              <w:t>政府采购合同的双方当事人不得擅自变更、</w:t>
            </w:r>
            <w:r>
              <w:rPr>
                <w:spacing w:val="-1"/>
              </w:rPr>
              <w:t>中止或者终止合同。</w:t>
            </w:r>
          </w:p>
          <w:p w14:paraId="0E51D4C0">
            <w:pPr>
              <w:pStyle w:val="6"/>
              <w:spacing w:before="177" w:line="324" w:lineRule="auto"/>
              <w:ind w:left="36" w:right="16" w:firstLine="463"/>
            </w:pPr>
            <w:r>
              <w:rPr>
                <w:spacing w:val="-1"/>
              </w:rPr>
              <w:t>政府采购合同继续履行将损害国家利益和社会公共利益的，双方当事人应当变更、中止或者终止合同。有过错的一方应当承担赔偿责任，双方都有过错的，各自承担相应</w:t>
            </w:r>
            <w:r>
              <w:rPr>
                <w:spacing w:val="-6"/>
              </w:rPr>
              <w:t>的责任。</w:t>
            </w:r>
          </w:p>
        </w:tc>
      </w:tr>
      <w:tr w14:paraId="7F0EB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9823" w:type="dxa"/>
            <w:gridSpan w:val="2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697179CE">
            <w:pPr>
              <w:pStyle w:val="6"/>
              <w:spacing w:before="136" w:line="220" w:lineRule="auto"/>
              <w:ind w:left="518"/>
            </w:pPr>
            <w:r>
              <w:rPr>
                <w:b/>
                <w:bCs/>
                <w:spacing w:val="-3"/>
              </w:rPr>
              <w:t>注：磋商文件中若有未尽事宜，以最终合同为准。</w:t>
            </w:r>
          </w:p>
        </w:tc>
      </w:tr>
    </w:tbl>
    <w:p w14:paraId="072202CF">
      <w:pPr>
        <w:pStyle w:val="2"/>
      </w:pPr>
    </w:p>
    <w:p w14:paraId="0EF059A4">
      <w:pPr>
        <w:sectPr>
          <w:footerReference r:id="rId6" w:type="default"/>
          <w:pgSz w:w="11906" w:h="16839"/>
          <w:pgMar w:top="1163" w:right="682" w:bottom="1180" w:left="1374" w:header="833" w:footer="1018" w:gutter="0"/>
          <w:cols w:space="720" w:num="1"/>
        </w:sectPr>
      </w:pPr>
    </w:p>
    <w:p w14:paraId="3A4C2A6F">
      <w:pPr>
        <w:pStyle w:val="2"/>
        <w:spacing w:line="254" w:lineRule="auto"/>
      </w:pPr>
    </w:p>
    <w:p w14:paraId="71A26FFA">
      <w:pPr>
        <w:pStyle w:val="2"/>
        <w:spacing w:line="255" w:lineRule="auto"/>
      </w:pPr>
    </w:p>
    <w:p w14:paraId="6F1FA985">
      <w:pPr>
        <w:pStyle w:val="2"/>
        <w:spacing w:line="255" w:lineRule="auto"/>
      </w:pPr>
    </w:p>
    <w:p w14:paraId="7CAD0B80">
      <w:pPr>
        <w:pStyle w:val="2"/>
        <w:spacing w:line="255" w:lineRule="auto"/>
      </w:pPr>
    </w:p>
    <w:p w14:paraId="4BA55764">
      <w:pPr>
        <w:pStyle w:val="2"/>
        <w:spacing w:line="255" w:lineRule="auto"/>
      </w:pPr>
    </w:p>
    <w:p w14:paraId="6665188B">
      <w:pPr>
        <w:pStyle w:val="2"/>
        <w:spacing w:line="255" w:lineRule="auto"/>
      </w:pPr>
    </w:p>
    <w:p w14:paraId="5956AD9D">
      <w:pPr>
        <w:pStyle w:val="2"/>
        <w:spacing w:line="255" w:lineRule="auto"/>
      </w:pPr>
    </w:p>
    <w:p w14:paraId="6BDB610B">
      <w:pPr>
        <w:pStyle w:val="2"/>
        <w:spacing w:line="255" w:lineRule="auto"/>
      </w:pPr>
    </w:p>
    <w:p w14:paraId="15EDA572">
      <w:pPr>
        <w:pStyle w:val="2"/>
        <w:spacing w:line="255" w:lineRule="auto"/>
      </w:pPr>
    </w:p>
    <w:p w14:paraId="4FFA5723">
      <w:pPr>
        <w:pStyle w:val="2"/>
        <w:spacing w:line="255" w:lineRule="auto"/>
        <w:jc w:val="center"/>
        <w:rPr>
          <w:rFonts w:hint="default" w:eastAsia="宋体"/>
          <w:sz w:val="52"/>
          <w:szCs w:val="52"/>
          <w:lang w:val="en-US" w:eastAsia="zh-CN"/>
        </w:rPr>
      </w:pPr>
      <w:r>
        <w:rPr>
          <w:rFonts w:hint="eastAsia" w:eastAsia="宋体"/>
          <w:sz w:val="52"/>
          <w:szCs w:val="52"/>
          <w:lang w:val="en-US" w:eastAsia="zh-CN"/>
        </w:rPr>
        <w:t>项目名称</w:t>
      </w:r>
    </w:p>
    <w:p w14:paraId="6DEE7E70">
      <w:pPr>
        <w:pStyle w:val="2"/>
        <w:spacing w:line="255" w:lineRule="auto"/>
      </w:pPr>
    </w:p>
    <w:p w14:paraId="5976453D">
      <w:pPr>
        <w:pStyle w:val="2"/>
        <w:spacing w:line="255" w:lineRule="auto"/>
      </w:pPr>
    </w:p>
    <w:p w14:paraId="596482AB">
      <w:pPr>
        <w:pStyle w:val="2"/>
        <w:spacing w:line="244" w:lineRule="auto"/>
      </w:pPr>
    </w:p>
    <w:p w14:paraId="18E29DB4">
      <w:pPr>
        <w:pStyle w:val="2"/>
        <w:spacing w:line="244" w:lineRule="auto"/>
      </w:pPr>
    </w:p>
    <w:p w14:paraId="0975662E">
      <w:pPr>
        <w:pStyle w:val="2"/>
        <w:spacing w:line="244" w:lineRule="auto"/>
      </w:pPr>
    </w:p>
    <w:p w14:paraId="70E996FB">
      <w:pPr>
        <w:pStyle w:val="2"/>
        <w:spacing w:line="244" w:lineRule="auto"/>
      </w:pPr>
    </w:p>
    <w:p w14:paraId="235F55DD">
      <w:pPr>
        <w:pStyle w:val="2"/>
        <w:spacing w:line="244" w:lineRule="auto"/>
      </w:pPr>
    </w:p>
    <w:p w14:paraId="46D332F1">
      <w:pPr>
        <w:spacing w:before="153" w:line="227" w:lineRule="auto"/>
        <w:ind w:left="3210"/>
        <w:rPr>
          <w:rFonts w:ascii="楷体" w:hAnsi="楷体" w:eastAsia="楷体" w:cs="楷体"/>
          <w:sz w:val="47"/>
          <w:szCs w:val="47"/>
        </w:rPr>
      </w:pPr>
      <w:r>
        <w:rPr>
          <w:rFonts w:ascii="楷体" w:hAnsi="楷体" w:eastAsia="楷体" w:cs="楷体"/>
          <w:b/>
          <w:bCs/>
          <w:spacing w:val="-3"/>
          <w:sz w:val="47"/>
          <w:szCs w:val="47"/>
        </w:rPr>
        <w:t>服</w:t>
      </w:r>
      <w:r>
        <w:rPr>
          <w:rFonts w:ascii="楷体" w:hAnsi="楷体" w:eastAsia="楷体" w:cs="楷体"/>
          <w:spacing w:val="41"/>
          <w:sz w:val="47"/>
          <w:szCs w:val="47"/>
        </w:rPr>
        <w:t xml:space="preserve"> </w:t>
      </w:r>
      <w:r>
        <w:rPr>
          <w:rFonts w:ascii="楷体" w:hAnsi="楷体" w:eastAsia="楷体" w:cs="楷体"/>
          <w:b/>
          <w:bCs/>
          <w:spacing w:val="-3"/>
          <w:sz w:val="47"/>
          <w:szCs w:val="47"/>
        </w:rPr>
        <w:t>务</w:t>
      </w:r>
      <w:r>
        <w:rPr>
          <w:rFonts w:ascii="楷体" w:hAnsi="楷体" w:eastAsia="楷体" w:cs="楷体"/>
          <w:spacing w:val="-3"/>
          <w:sz w:val="47"/>
          <w:szCs w:val="47"/>
        </w:rPr>
        <w:t xml:space="preserve"> </w:t>
      </w:r>
      <w:r>
        <w:rPr>
          <w:rFonts w:ascii="楷体" w:hAnsi="楷体" w:eastAsia="楷体" w:cs="楷体"/>
          <w:b/>
          <w:bCs/>
          <w:spacing w:val="-3"/>
          <w:sz w:val="47"/>
          <w:szCs w:val="47"/>
        </w:rPr>
        <w:t>合</w:t>
      </w:r>
      <w:r>
        <w:rPr>
          <w:rFonts w:ascii="楷体" w:hAnsi="楷体" w:eastAsia="楷体" w:cs="楷体"/>
          <w:spacing w:val="80"/>
          <w:sz w:val="47"/>
          <w:szCs w:val="47"/>
        </w:rPr>
        <w:t xml:space="preserve"> </w:t>
      </w:r>
      <w:r>
        <w:rPr>
          <w:rFonts w:ascii="楷体" w:hAnsi="楷体" w:eastAsia="楷体" w:cs="楷体"/>
          <w:b/>
          <w:bCs/>
          <w:spacing w:val="-3"/>
          <w:sz w:val="47"/>
          <w:szCs w:val="47"/>
        </w:rPr>
        <w:t>同</w:t>
      </w:r>
    </w:p>
    <w:p w14:paraId="40145E5B">
      <w:pPr>
        <w:pStyle w:val="2"/>
        <w:spacing w:line="283" w:lineRule="auto"/>
      </w:pPr>
    </w:p>
    <w:p w14:paraId="23EFE211">
      <w:pPr>
        <w:pStyle w:val="2"/>
        <w:spacing w:line="283" w:lineRule="auto"/>
      </w:pPr>
    </w:p>
    <w:p w14:paraId="30329907">
      <w:pPr>
        <w:pStyle w:val="2"/>
        <w:spacing w:line="284" w:lineRule="auto"/>
      </w:pPr>
    </w:p>
    <w:p w14:paraId="42D8D98E">
      <w:pPr>
        <w:pStyle w:val="2"/>
        <w:spacing w:line="284" w:lineRule="auto"/>
      </w:pPr>
    </w:p>
    <w:p w14:paraId="2236E8A2">
      <w:pPr>
        <w:spacing w:before="153" w:line="229" w:lineRule="auto"/>
        <w:ind w:left="3145"/>
        <w:rPr>
          <w:rFonts w:ascii="楷体" w:hAnsi="楷体" w:eastAsia="楷体" w:cs="楷体"/>
          <w:sz w:val="47"/>
          <w:szCs w:val="47"/>
        </w:rPr>
      </w:pPr>
      <w:r>
        <w:rPr>
          <w:rFonts w:ascii="楷体" w:hAnsi="楷体" w:eastAsia="楷体" w:cs="楷体"/>
          <w:b/>
          <w:bCs/>
          <w:spacing w:val="-5"/>
          <w:sz w:val="47"/>
          <w:szCs w:val="47"/>
        </w:rPr>
        <w:t>（示范文本）</w:t>
      </w:r>
    </w:p>
    <w:p w14:paraId="56B0C8CD">
      <w:pPr>
        <w:pStyle w:val="2"/>
        <w:spacing w:line="335" w:lineRule="auto"/>
      </w:pPr>
    </w:p>
    <w:p w14:paraId="261746EF">
      <w:pPr>
        <w:pStyle w:val="2"/>
        <w:spacing w:line="335" w:lineRule="auto"/>
      </w:pPr>
    </w:p>
    <w:p w14:paraId="5593EDED">
      <w:pPr>
        <w:spacing w:before="91" w:line="224" w:lineRule="auto"/>
        <w:ind w:left="90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成交供应商和采购人也可根据项目特点自行拟定合同条款。</w:t>
      </w:r>
    </w:p>
    <w:p w14:paraId="3F807055">
      <w:pPr>
        <w:spacing w:line="224" w:lineRule="auto"/>
        <w:rPr>
          <w:rFonts w:ascii="楷体" w:hAnsi="楷体" w:eastAsia="楷体" w:cs="楷体"/>
          <w:sz w:val="28"/>
          <w:szCs w:val="28"/>
        </w:rPr>
        <w:sectPr>
          <w:headerReference r:id="rId7" w:type="default"/>
          <w:footerReference r:id="rId8" w:type="default"/>
          <w:pgSz w:w="11906" w:h="16839"/>
          <w:pgMar w:top="1163" w:right="1416" w:bottom="1180" w:left="1417" w:header="833" w:footer="1018" w:gutter="0"/>
          <w:cols w:space="720" w:num="1"/>
        </w:sectPr>
      </w:pPr>
    </w:p>
    <w:p w14:paraId="23575AED">
      <w:pPr>
        <w:pStyle w:val="2"/>
        <w:spacing w:line="271" w:lineRule="auto"/>
      </w:pPr>
    </w:p>
    <w:p w14:paraId="2B3C95E9">
      <w:pPr>
        <w:spacing w:before="100" w:line="230" w:lineRule="auto"/>
        <w:ind w:left="328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z w:val="31"/>
          <w:szCs w:val="31"/>
        </w:rPr>
        <w:t>第一部分</w:t>
      </w:r>
      <w:r>
        <w:rPr>
          <w:rFonts w:ascii="楷体" w:hAnsi="楷体" w:eastAsia="楷体" w:cs="楷体"/>
          <w:spacing w:val="17"/>
          <w:sz w:val="31"/>
          <w:szCs w:val="31"/>
        </w:rPr>
        <w:t xml:space="preserve">  </w:t>
      </w:r>
      <w:r>
        <w:rPr>
          <w:rFonts w:ascii="楷体" w:hAnsi="楷体" w:eastAsia="楷体" w:cs="楷体"/>
          <w:b/>
          <w:bCs/>
          <w:sz w:val="31"/>
          <w:szCs w:val="31"/>
        </w:rPr>
        <w:t>协议书</w:t>
      </w:r>
    </w:p>
    <w:p w14:paraId="776A0C3A">
      <w:pPr>
        <w:spacing w:before="121" w:line="227" w:lineRule="auto"/>
        <w:ind w:left="483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-3"/>
          <w:sz w:val="24"/>
          <w:szCs w:val="24"/>
        </w:rPr>
        <w:t>采购人（全称</w:t>
      </w:r>
      <w:r>
        <w:rPr>
          <w:rFonts w:ascii="楷体" w:hAnsi="楷体" w:eastAsia="楷体" w:cs="楷体"/>
          <w:b/>
          <w:bCs/>
          <w:spacing w:val="-1"/>
          <w:sz w:val="24"/>
          <w:szCs w:val="24"/>
        </w:rPr>
        <w:t>）：</w:t>
      </w:r>
      <w:r>
        <w:rPr>
          <w:rFonts w:ascii="楷体" w:hAnsi="楷体" w:eastAsia="楷体" w:cs="楷体"/>
          <w:sz w:val="24"/>
          <w:szCs w:val="24"/>
          <w:u w:val="single" w:color="auto"/>
        </w:rPr>
        <w:t xml:space="preserve">                                           </w:t>
      </w:r>
    </w:p>
    <w:p w14:paraId="4EE7C799">
      <w:pPr>
        <w:spacing w:before="170" w:line="224" w:lineRule="auto"/>
        <w:ind w:left="478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-2"/>
          <w:sz w:val="24"/>
          <w:szCs w:val="24"/>
        </w:rPr>
        <w:t>供应商（全称）：</w:t>
      </w:r>
      <w:r>
        <w:rPr>
          <w:rFonts w:ascii="楷体" w:hAnsi="楷体" w:eastAsia="楷体" w:cs="楷体"/>
          <w:sz w:val="24"/>
          <w:szCs w:val="24"/>
          <w:u w:val="single" w:color="auto"/>
        </w:rPr>
        <w:t xml:space="preserve">                                           </w:t>
      </w:r>
    </w:p>
    <w:p w14:paraId="6EF79FDF">
      <w:pPr>
        <w:spacing w:before="173" w:line="358" w:lineRule="auto"/>
        <w:ind w:left="2" w:right="1" w:firstLine="480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3"/>
          <w:sz w:val="24"/>
          <w:szCs w:val="24"/>
        </w:rPr>
        <w:t>根据《中华人民共和国民法典》及其他有关法律、法规，遵循平等、</w:t>
      </w:r>
      <w:r>
        <w:rPr>
          <w:rFonts w:ascii="楷体" w:hAnsi="楷体" w:eastAsia="楷体" w:cs="楷体"/>
          <w:spacing w:val="-65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3"/>
          <w:sz w:val="24"/>
          <w:szCs w:val="24"/>
        </w:rPr>
        <w:t>自愿、公平和</w:t>
      </w:r>
      <w:r>
        <w:rPr>
          <w:rFonts w:ascii="楷体" w:hAnsi="楷体" w:eastAsia="楷体" w:cs="楷体"/>
          <w:sz w:val="24"/>
          <w:szCs w:val="24"/>
        </w:rPr>
        <w:t>诚信的原则，双方就下述项目范围与相关服务事项协商一致，订</w:t>
      </w:r>
      <w:r>
        <w:rPr>
          <w:rFonts w:ascii="楷体" w:hAnsi="楷体" w:eastAsia="楷体" w:cs="楷体"/>
          <w:spacing w:val="-1"/>
          <w:sz w:val="24"/>
          <w:szCs w:val="24"/>
        </w:rPr>
        <w:t>立本合同。</w:t>
      </w:r>
    </w:p>
    <w:p w14:paraId="657951AD">
      <w:pPr>
        <w:spacing w:before="82" w:line="232" w:lineRule="auto"/>
        <w:ind w:left="12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-15"/>
          <w:sz w:val="24"/>
          <w:szCs w:val="24"/>
        </w:rPr>
        <w:t>一、项</w:t>
      </w:r>
      <w:r>
        <w:rPr>
          <w:rFonts w:ascii="楷体" w:hAnsi="楷体" w:eastAsia="楷体" w:cs="楷体"/>
          <w:spacing w:val="-55"/>
          <w:sz w:val="24"/>
          <w:szCs w:val="24"/>
        </w:rPr>
        <w:t xml:space="preserve"> </w:t>
      </w:r>
      <w:r>
        <w:rPr>
          <w:rFonts w:ascii="楷体" w:hAnsi="楷体" w:eastAsia="楷体" w:cs="楷体"/>
          <w:b/>
          <w:bCs/>
          <w:spacing w:val="-15"/>
          <w:sz w:val="24"/>
          <w:szCs w:val="24"/>
        </w:rPr>
        <w:t>目概况</w:t>
      </w:r>
    </w:p>
    <w:p w14:paraId="1DFDCFEA">
      <w:pPr>
        <w:spacing w:before="90" w:line="235" w:lineRule="auto"/>
        <w:ind w:left="495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8"/>
          <w:sz w:val="24"/>
          <w:szCs w:val="24"/>
        </w:rPr>
        <w:t>1.项</w:t>
      </w:r>
      <w:r>
        <w:rPr>
          <w:rFonts w:ascii="楷体" w:hAnsi="楷体" w:eastAsia="楷体" w:cs="楷体"/>
          <w:spacing w:val="-55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8"/>
          <w:sz w:val="24"/>
          <w:szCs w:val="24"/>
        </w:rPr>
        <w:t>目名称：</w:t>
      </w:r>
      <w:r>
        <w:rPr>
          <w:rFonts w:ascii="楷体" w:hAnsi="楷体" w:eastAsia="楷体" w:cs="楷体"/>
          <w:spacing w:val="-8"/>
          <w:sz w:val="24"/>
          <w:szCs w:val="24"/>
          <w:u w:val="single" w:color="auto"/>
        </w:rPr>
        <w:t xml:space="preserve">                                                 </w:t>
      </w:r>
    </w:p>
    <w:p w14:paraId="28708D6A">
      <w:pPr>
        <w:spacing w:before="159" w:line="229" w:lineRule="auto"/>
        <w:ind w:left="48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10"/>
          <w:sz w:val="24"/>
          <w:szCs w:val="24"/>
        </w:rPr>
        <w:t>2.项</w:t>
      </w:r>
      <w:r>
        <w:rPr>
          <w:rFonts w:ascii="楷体" w:hAnsi="楷体" w:eastAsia="楷体" w:cs="楷体"/>
          <w:spacing w:val="-59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10"/>
          <w:sz w:val="24"/>
          <w:szCs w:val="24"/>
        </w:rPr>
        <w:t>目地点：</w:t>
      </w:r>
      <w:r>
        <w:rPr>
          <w:rFonts w:ascii="楷体" w:hAnsi="楷体" w:eastAsia="楷体" w:cs="楷体"/>
          <w:sz w:val="24"/>
          <w:szCs w:val="24"/>
          <w:u w:val="single" w:color="auto"/>
        </w:rPr>
        <w:t xml:space="preserve">                                              </w:t>
      </w:r>
    </w:p>
    <w:p w14:paraId="354187B4">
      <w:pPr>
        <w:spacing w:before="171" w:line="225" w:lineRule="auto"/>
        <w:ind w:left="488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11"/>
          <w:sz w:val="24"/>
          <w:szCs w:val="24"/>
        </w:rPr>
        <w:t>3.项</w:t>
      </w:r>
      <w:r>
        <w:rPr>
          <w:rFonts w:ascii="楷体" w:hAnsi="楷体" w:eastAsia="楷体" w:cs="楷体"/>
          <w:spacing w:val="-54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11"/>
          <w:sz w:val="24"/>
          <w:szCs w:val="24"/>
        </w:rPr>
        <w:t>目内容：</w:t>
      </w:r>
      <w:r>
        <w:rPr>
          <w:rFonts w:ascii="楷体" w:hAnsi="楷体" w:eastAsia="楷体" w:cs="楷体"/>
          <w:sz w:val="24"/>
          <w:szCs w:val="24"/>
          <w:u w:val="single" w:color="auto"/>
        </w:rPr>
        <w:t xml:space="preserve">                                              </w:t>
      </w:r>
    </w:p>
    <w:p w14:paraId="71B7C7AB">
      <w:pPr>
        <w:spacing w:before="173" w:line="223" w:lineRule="auto"/>
        <w:ind w:left="9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-3"/>
          <w:sz w:val="24"/>
          <w:szCs w:val="24"/>
        </w:rPr>
        <w:t>二、组成本合同的文件</w:t>
      </w:r>
    </w:p>
    <w:p w14:paraId="280C5D08">
      <w:pPr>
        <w:spacing w:before="178" w:line="229" w:lineRule="auto"/>
        <w:ind w:left="500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7"/>
          <w:sz w:val="24"/>
          <w:szCs w:val="24"/>
        </w:rPr>
        <w:t>1.</w:t>
      </w:r>
      <w:r>
        <w:rPr>
          <w:rFonts w:ascii="楷体" w:hAnsi="楷体" w:eastAsia="楷体" w:cs="楷体"/>
          <w:spacing w:val="19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7"/>
          <w:sz w:val="24"/>
          <w:szCs w:val="24"/>
        </w:rPr>
        <w:t>协议书；</w:t>
      </w:r>
    </w:p>
    <w:p w14:paraId="4F78A543">
      <w:pPr>
        <w:spacing w:before="168" w:line="223" w:lineRule="auto"/>
        <w:ind w:left="486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2. 成交通知书、磋商响应文件、磋商文件、澄清、磋商</w:t>
      </w:r>
      <w:r>
        <w:rPr>
          <w:rFonts w:ascii="楷体" w:hAnsi="楷体" w:eastAsia="楷体" w:cs="楷体"/>
          <w:spacing w:val="-1"/>
          <w:sz w:val="24"/>
          <w:szCs w:val="24"/>
        </w:rPr>
        <w:t>补充文件（或委托书</w:t>
      </w:r>
      <w:r>
        <w:rPr>
          <w:rFonts w:ascii="楷体" w:hAnsi="楷体" w:eastAsia="楷体" w:cs="楷体"/>
          <w:sz w:val="24"/>
          <w:szCs w:val="24"/>
        </w:rPr>
        <w:t>）；</w:t>
      </w:r>
    </w:p>
    <w:p w14:paraId="49AF3DDF">
      <w:pPr>
        <w:spacing w:before="178" w:line="225" w:lineRule="auto"/>
        <w:ind w:left="488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1"/>
          <w:sz w:val="24"/>
          <w:szCs w:val="24"/>
        </w:rPr>
        <w:t>3.相关服务建议书；</w:t>
      </w:r>
    </w:p>
    <w:p w14:paraId="67A214D3">
      <w:pPr>
        <w:spacing w:before="173" w:line="220" w:lineRule="auto"/>
        <w:ind w:left="48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1"/>
          <w:sz w:val="24"/>
          <w:szCs w:val="24"/>
        </w:rPr>
        <w:t>4. 附录，即：附表内相关服务的范围和内容；</w:t>
      </w:r>
    </w:p>
    <w:p w14:paraId="1B484714">
      <w:pPr>
        <w:spacing w:before="182" w:line="220" w:lineRule="auto"/>
        <w:ind w:left="496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1"/>
          <w:sz w:val="24"/>
          <w:szCs w:val="24"/>
        </w:rPr>
        <w:t>本合同签订后，双方依法签订的补充协议也是本合同文件的组成部分。</w:t>
      </w:r>
    </w:p>
    <w:p w14:paraId="5B734309">
      <w:pPr>
        <w:spacing w:before="180" w:line="223" w:lineRule="auto"/>
        <w:ind w:left="4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-3"/>
          <w:sz w:val="24"/>
          <w:szCs w:val="24"/>
        </w:rPr>
        <w:t>三、合同价款</w:t>
      </w:r>
    </w:p>
    <w:p w14:paraId="2C10D8A8">
      <w:pPr>
        <w:pStyle w:val="2"/>
        <w:spacing w:before="178" w:line="223" w:lineRule="auto"/>
        <w:ind w:left="500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4"/>
          <w:sz w:val="24"/>
          <w:szCs w:val="24"/>
        </w:rPr>
        <w:t>1.合同金额（大写</w:t>
      </w:r>
      <w:r>
        <w:rPr>
          <w:rFonts w:ascii="楷体" w:hAnsi="楷体" w:eastAsia="楷体" w:cs="楷体"/>
          <w:sz w:val="24"/>
          <w:szCs w:val="24"/>
        </w:rPr>
        <w:t>）：</w:t>
      </w:r>
      <w:r>
        <w:rPr>
          <w:rFonts w:ascii="楷体" w:hAnsi="楷体" w:eastAsia="楷体" w:cs="楷体"/>
          <w:sz w:val="24"/>
          <w:szCs w:val="24"/>
          <w:u w:val="single" w:color="auto"/>
        </w:rPr>
        <w:t xml:space="preserve">                            </w:t>
      </w:r>
      <w:r>
        <w:rPr>
          <w:rFonts w:ascii="楷体" w:hAnsi="楷体" w:eastAsia="楷体" w:cs="楷体"/>
          <w:spacing w:val="25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4"/>
          <w:sz w:val="24"/>
          <w:szCs w:val="24"/>
        </w:rPr>
        <w:t>(</w:t>
      </w:r>
      <w:r>
        <w:rPr>
          <w:spacing w:val="-4"/>
          <w:sz w:val="24"/>
          <w:szCs w:val="24"/>
        </w:rPr>
        <w:t xml:space="preserve">¥               </w:t>
      </w:r>
      <w:r>
        <w:rPr>
          <w:rFonts w:ascii="楷体" w:hAnsi="楷体" w:eastAsia="楷体" w:cs="楷体"/>
          <w:spacing w:val="-4"/>
          <w:sz w:val="24"/>
          <w:szCs w:val="24"/>
        </w:rPr>
        <w:t>)</w:t>
      </w:r>
      <w:r>
        <w:rPr>
          <w:rFonts w:ascii="楷体" w:hAnsi="楷体" w:eastAsia="楷体" w:cs="楷体"/>
          <w:spacing w:val="25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4"/>
          <w:sz w:val="24"/>
          <w:szCs w:val="24"/>
        </w:rPr>
        <w:t>。</w:t>
      </w:r>
    </w:p>
    <w:p w14:paraId="6564068A">
      <w:pPr>
        <w:spacing w:before="178" w:line="220" w:lineRule="auto"/>
        <w:ind w:left="48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2.合同总价即成交价，不受市场价变化或实际</w:t>
      </w:r>
      <w:r>
        <w:rPr>
          <w:rFonts w:ascii="楷体" w:hAnsi="楷体" w:eastAsia="楷体" w:cs="楷体"/>
          <w:spacing w:val="-1"/>
          <w:sz w:val="24"/>
          <w:szCs w:val="24"/>
        </w:rPr>
        <w:t>工作量变化的影响。</w:t>
      </w:r>
    </w:p>
    <w:p w14:paraId="50C7ADC2">
      <w:pPr>
        <w:spacing w:before="180" w:line="223" w:lineRule="auto"/>
        <w:ind w:left="19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1"/>
          <w:sz w:val="24"/>
          <w:szCs w:val="24"/>
        </w:rPr>
        <w:t>四、项目实施地点、服务期限：</w:t>
      </w:r>
      <w:r>
        <w:rPr>
          <w:rFonts w:ascii="楷体" w:hAnsi="楷体" w:eastAsia="楷体" w:cs="楷体"/>
          <w:spacing w:val="1"/>
          <w:sz w:val="24"/>
          <w:szCs w:val="24"/>
        </w:rPr>
        <w:t>详见“第三章合同条款及格式前附表</w:t>
      </w:r>
      <w:r>
        <w:rPr>
          <w:rFonts w:ascii="楷体" w:hAnsi="楷体" w:eastAsia="楷体" w:cs="楷体"/>
          <w:spacing w:val="-79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1"/>
          <w:sz w:val="24"/>
          <w:szCs w:val="24"/>
        </w:rPr>
        <w:t>”</w:t>
      </w:r>
    </w:p>
    <w:p w14:paraId="588FFB97">
      <w:pPr>
        <w:spacing w:before="175" w:line="223" w:lineRule="auto"/>
        <w:ind w:left="10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2"/>
          <w:sz w:val="24"/>
          <w:szCs w:val="24"/>
        </w:rPr>
        <w:t>五、付款方式：</w:t>
      </w:r>
      <w:r>
        <w:rPr>
          <w:rFonts w:ascii="楷体" w:hAnsi="楷体" w:eastAsia="楷体" w:cs="楷体"/>
          <w:spacing w:val="2"/>
          <w:sz w:val="24"/>
          <w:szCs w:val="24"/>
        </w:rPr>
        <w:t>详见“第三章合同条款及格式前附表</w:t>
      </w:r>
      <w:r>
        <w:rPr>
          <w:rFonts w:ascii="楷体" w:hAnsi="楷体" w:eastAsia="楷体" w:cs="楷体"/>
          <w:spacing w:val="-76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2"/>
          <w:sz w:val="24"/>
          <w:szCs w:val="24"/>
        </w:rPr>
        <w:t>”</w:t>
      </w:r>
    </w:p>
    <w:p w14:paraId="6B3A8771">
      <w:pPr>
        <w:spacing w:before="178" w:line="223" w:lineRule="auto"/>
        <w:ind w:left="14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-1"/>
          <w:sz w:val="24"/>
          <w:szCs w:val="24"/>
        </w:rPr>
        <w:t>六、质量保证、项</w:t>
      </w:r>
      <w:r>
        <w:rPr>
          <w:rFonts w:ascii="楷体" w:hAnsi="楷体" w:eastAsia="楷体" w:cs="楷体"/>
          <w:spacing w:val="-44"/>
          <w:sz w:val="24"/>
          <w:szCs w:val="24"/>
        </w:rPr>
        <w:t xml:space="preserve"> </w:t>
      </w:r>
      <w:r>
        <w:rPr>
          <w:rFonts w:ascii="楷体" w:hAnsi="楷体" w:eastAsia="楷体" w:cs="楷体"/>
          <w:b/>
          <w:bCs/>
          <w:spacing w:val="-1"/>
          <w:sz w:val="24"/>
          <w:szCs w:val="24"/>
        </w:rPr>
        <w:t>目团队要求：</w:t>
      </w:r>
      <w:r>
        <w:rPr>
          <w:rFonts w:ascii="楷体" w:hAnsi="楷体" w:eastAsia="楷体" w:cs="楷体"/>
          <w:spacing w:val="-1"/>
          <w:sz w:val="24"/>
          <w:szCs w:val="24"/>
        </w:rPr>
        <w:t>详见“第三章合同条款及格式前附表</w:t>
      </w:r>
      <w:r>
        <w:rPr>
          <w:rFonts w:ascii="楷体" w:hAnsi="楷体" w:eastAsia="楷体" w:cs="楷体"/>
          <w:spacing w:val="-88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1"/>
          <w:sz w:val="24"/>
          <w:szCs w:val="24"/>
        </w:rPr>
        <w:t>”</w:t>
      </w:r>
    </w:p>
    <w:p w14:paraId="023BE251">
      <w:pPr>
        <w:spacing w:before="176" w:line="223" w:lineRule="auto"/>
        <w:ind w:left="13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2"/>
          <w:sz w:val="24"/>
          <w:szCs w:val="24"/>
        </w:rPr>
        <w:t>七、保密条款：</w:t>
      </w:r>
      <w:r>
        <w:rPr>
          <w:rFonts w:ascii="楷体" w:hAnsi="楷体" w:eastAsia="楷体" w:cs="楷体"/>
          <w:spacing w:val="2"/>
          <w:sz w:val="24"/>
          <w:szCs w:val="24"/>
        </w:rPr>
        <w:t>详见“第三章合同条款及格式前附表</w:t>
      </w:r>
      <w:r>
        <w:rPr>
          <w:rFonts w:ascii="楷体" w:hAnsi="楷体" w:eastAsia="楷体" w:cs="楷体"/>
          <w:spacing w:val="-79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2"/>
          <w:sz w:val="24"/>
          <w:szCs w:val="24"/>
        </w:rPr>
        <w:t>”</w:t>
      </w:r>
    </w:p>
    <w:p w14:paraId="6AD325C6">
      <w:pPr>
        <w:spacing w:before="178" w:line="223" w:lineRule="auto"/>
        <w:ind w:left="1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2"/>
          <w:sz w:val="24"/>
          <w:szCs w:val="24"/>
        </w:rPr>
        <w:t>八、知识产权、违约责任：</w:t>
      </w:r>
      <w:r>
        <w:rPr>
          <w:rFonts w:ascii="楷体" w:hAnsi="楷体" w:eastAsia="楷体" w:cs="楷体"/>
          <w:spacing w:val="2"/>
          <w:sz w:val="24"/>
          <w:szCs w:val="24"/>
        </w:rPr>
        <w:t>详见“第三章合同条款</w:t>
      </w:r>
      <w:r>
        <w:rPr>
          <w:rFonts w:ascii="楷体" w:hAnsi="楷体" w:eastAsia="楷体" w:cs="楷体"/>
          <w:spacing w:val="1"/>
          <w:sz w:val="24"/>
          <w:szCs w:val="24"/>
        </w:rPr>
        <w:t>及格式前附表</w:t>
      </w:r>
      <w:r>
        <w:rPr>
          <w:rFonts w:ascii="楷体" w:hAnsi="楷体" w:eastAsia="楷体" w:cs="楷体"/>
          <w:spacing w:val="-88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1"/>
          <w:sz w:val="24"/>
          <w:szCs w:val="24"/>
        </w:rPr>
        <w:t>”</w:t>
      </w:r>
    </w:p>
    <w:p w14:paraId="175FD6DA">
      <w:pPr>
        <w:spacing w:before="178" w:line="223" w:lineRule="auto"/>
        <w:ind w:left="10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2"/>
          <w:sz w:val="24"/>
          <w:szCs w:val="24"/>
        </w:rPr>
        <w:t>九、考核验收：</w:t>
      </w:r>
      <w:r>
        <w:rPr>
          <w:rFonts w:ascii="楷体" w:hAnsi="楷体" w:eastAsia="楷体" w:cs="楷体"/>
          <w:spacing w:val="2"/>
          <w:sz w:val="24"/>
          <w:szCs w:val="24"/>
        </w:rPr>
        <w:t>详见“第三章合同条款及格式前附表</w:t>
      </w:r>
      <w:r>
        <w:rPr>
          <w:rFonts w:ascii="楷体" w:hAnsi="楷体" w:eastAsia="楷体" w:cs="楷体"/>
          <w:spacing w:val="-76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2"/>
          <w:sz w:val="24"/>
          <w:szCs w:val="24"/>
        </w:rPr>
        <w:t>”</w:t>
      </w:r>
    </w:p>
    <w:p w14:paraId="10297BA8">
      <w:pPr>
        <w:spacing w:before="176" w:line="223" w:lineRule="auto"/>
        <w:ind w:left="14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2"/>
          <w:sz w:val="24"/>
          <w:szCs w:val="24"/>
        </w:rPr>
        <w:t>十、政府采购合同：</w:t>
      </w:r>
      <w:r>
        <w:rPr>
          <w:rFonts w:ascii="楷体" w:hAnsi="楷体" w:eastAsia="楷体" w:cs="楷体"/>
          <w:spacing w:val="2"/>
          <w:sz w:val="24"/>
          <w:szCs w:val="24"/>
        </w:rPr>
        <w:t>详见“第三章合同条款及格式前附表</w:t>
      </w:r>
      <w:r>
        <w:rPr>
          <w:rFonts w:ascii="楷体" w:hAnsi="楷体" w:eastAsia="楷体" w:cs="楷体"/>
          <w:spacing w:val="-87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2"/>
          <w:sz w:val="24"/>
          <w:szCs w:val="24"/>
        </w:rPr>
        <w:t>”</w:t>
      </w:r>
    </w:p>
    <w:p w14:paraId="1B406CBA">
      <w:pPr>
        <w:spacing w:before="178" w:line="223" w:lineRule="auto"/>
        <w:ind w:left="14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-4"/>
          <w:sz w:val="24"/>
          <w:szCs w:val="24"/>
        </w:rPr>
        <w:t>十一、合同争议的解决</w:t>
      </w:r>
    </w:p>
    <w:p w14:paraId="586E3B83">
      <w:pPr>
        <w:spacing w:before="175" w:line="360" w:lineRule="auto"/>
        <w:ind w:left="8" w:firstLine="475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2"/>
          <w:sz w:val="24"/>
          <w:szCs w:val="24"/>
        </w:rPr>
        <w:t>合同执</w:t>
      </w:r>
      <w:r>
        <w:rPr>
          <w:rFonts w:ascii="楷体" w:hAnsi="楷体" w:eastAsia="楷体" w:cs="楷体"/>
          <w:spacing w:val="-1"/>
          <w:sz w:val="24"/>
          <w:szCs w:val="24"/>
        </w:rPr>
        <w:t>行中发生争议的，当事人双方应协商解</w:t>
      </w:r>
      <w:r>
        <w:rPr>
          <w:rFonts w:ascii="楷体" w:hAnsi="楷体" w:eastAsia="楷体" w:cs="楷体"/>
          <w:spacing w:val="-2"/>
          <w:sz w:val="24"/>
          <w:szCs w:val="24"/>
        </w:rPr>
        <w:t>决，协商达不成一致时，可向采购</w:t>
      </w:r>
      <w:r>
        <w:rPr>
          <w:rFonts w:ascii="楷体" w:hAnsi="楷体" w:eastAsia="楷体" w:cs="楷体"/>
          <w:spacing w:val="1"/>
          <w:sz w:val="24"/>
          <w:szCs w:val="24"/>
        </w:rPr>
        <w:t>人</w:t>
      </w:r>
      <w:r>
        <w:rPr>
          <w:rFonts w:ascii="楷体" w:hAnsi="楷体" w:eastAsia="楷体" w:cs="楷体"/>
          <w:spacing w:val="-1"/>
          <w:sz w:val="24"/>
          <w:szCs w:val="24"/>
        </w:rPr>
        <w:t>所在地人民法院提请诉讼。</w:t>
      </w:r>
    </w:p>
    <w:p w14:paraId="38AF8896">
      <w:pPr>
        <w:spacing w:before="78" w:line="224" w:lineRule="auto"/>
        <w:ind w:left="14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-3"/>
          <w:sz w:val="24"/>
          <w:szCs w:val="24"/>
        </w:rPr>
        <w:t>十二、不可抗力情况下的免责约定</w:t>
      </w:r>
    </w:p>
    <w:p w14:paraId="45144A3C">
      <w:pPr>
        <w:spacing w:line="224" w:lineRule="auto"/>
        <w:rPr>
          <w:rFonts w:ascii="楷体" w:hAnsi="楷体" w:eastAsia="楷体" w:cs="楷体"/>
          <w:sz w:val="24"/>
          <w:szCs w:val="24"/>
        </w:rPr>
        <w:sectPr>
          <w:headerReference r:id="rId9" w:type="default"/>
          <w:footerReference r:id="rId10" w:type="default"/>
          <w:pgSz w:w="11906" w:h="16839"/>
          <w:pgMar w:top="1163" w:right="1416" w:bottom="1180" w:left="1417" w:header="833" w:footer="1018" w:gutter="0"/>
          <w:cols w:space="720" w:num="1"/>
        </w:sectPr>
      </w:pPr>
    </w:p>
    <w:p w14:paraId="07A97B21">
      <w:pPr>
        <w:pStyle w:val="2"/>
        <w:spacing w:line="256" w:lineRule="auto"/>
      </w:pPr>
    </w:p>
    <w:p w14:paraId="01320CF5">
      <w:pPr>
        <w:spacing w:before="78" w:line="360" w:lineRule="auto"/>
        <w:ind w:left="10" w:right="12" w:firstLine="474"/>
        <w:jc w:val="both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2"/>
          <w:sz w:val="24"/>
          <w:szCs w:val="24"/>
        </w:rPr>
        <w:t>双方约定不可抗力情况指：双方不可预见、不可避免、不可克服的客观情况，但不包括双方的违约或疏忽。这些事件包括但不限于：战争、严重火灾、洪水、台风、地震</w:t>
      </w:r>
      <w:r>
        <w:rPr>
          <w:rFonts w:ascii="楷体" w:hAnsi="楷体" w:eastAsia="楷体" w:cs="楷体"/>
          <w:spacing w:val="-6"/>
          <w:sz w:val="24"/>
          <w:szCs w:val="24"/>
        </w:rPr>
        <w:t>等。</w:t>
      </w:r>
    </w:p>
    <w:p w14:paraId="30B9105E">
      <w:pPr>
        <w:spacing w:before="1" w:line="222" w:lineRule="auto"/>
        <w:ind w:left="14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-2"/>
          <w:sz w:val="24"/>
          <w:szCs w:val="24"/>
        </w:rPr>
        <w:t>十三、其他（</w:t>
      </w:r>
      <w:r>
        <w:rPr>
          <w:rFonts w:ascii="楷体" w:hAnsi="楷体" w:eastAsia="楷体" w:cs="楷体"/>
          <w:spacing w:val="-2"/>
          <w:sz w:val="24"/>
          <w:szCs w:val="24"/>
        </w:rPr>
        <w:t>在合同中具体明确）</w:t>
      </w:r>
    </w:p>
    <w:p w14:paraId="2352D812">
      <w:pPr>
        <w:spacing w:before="178" w:line="223" w:lineRule="auto"/>
        <w:ind w:left="14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-5"/>
          <w:sz w:val="24"/>
          <w:szCs w:val="24"/>
        </w:rPr>
        <w:t>十四、合同订立</w:t>
      </w:r>
    </w:p>
    <w:p w14:paraId="02D84A49">
      <w:pPr>
        <w:spacing w:before="99" w:line="225" w:lineRule="auto"/>
        <w:ind w:left="495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10"/>
          <w:sz w:val="24"/>
          <w:szCs w:val="24"/>
        </w:rPr>
        <w:t>1. 订立时间：</w:t>
      </w:r>
      <w:r>
        <w:rPr>
          <w:rFonts w:ascii="楷体" w:hAnsi="楷体" w:eastAsia="楷体" w:cs="楷体"/>
          <w:sz w:val="24"/>
          <w:szCs w:val="24"/>
          <w:u w:val="single" w:color="auto"/>
        </w:rPr>
        <w:t xml:space="preserve">         </w:t>
      </w:r>
      <w:r>
        <w:rPr>
          <w:rFonts w:ascii="楷体" w:hAnsi="楷体" w:eastAsia="楷体" w:cs="楷体"/>
          <w:spacing w:val="-104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10"/>
          <w:sz w:val="24"/>
          <w:szCs w:val="24"/>
        </w:rPr>
        <w:t>年</w:t>
      </w:r>
      <w:r>
        <w:rPr>
          <w:rFonts w:ascii="楷体" w:hAnsi="楷体" w:eastAsia="楷体" w:cs="楷体"/>
          <w:spacing w:val="15"/>
          <w:sz w:val="24"/>
          <w:szCs w:val="24"/>
          <w:u w:val="single" w:color="auto"/>
        </w:rPr>
        <w:t xml:space="preserve">        </w:t>
      </w:r>
      <w:r>
        <w:rPr>
          <w:rFonts w:ascii="楷体" w:hAnsi="楷体" w:eastAsia="楷体" w:cs="楷体"/>
          <w:spacing w:val="-99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10"/>
          <w:sz w:val="24"/>
          <w:szCs w:val="24"/>
        </w:rPr>
        <w:t>月</w:t>
      </w:r>
      <w:r>
        <w:rPr>
          <w:rFonts w:ascii="楷体" w:hAnsi="楷体" w:eastAsia="楷体" w:cs="楷体"/>
          <w:spacing w:val="15"/>
          <w:sz w:val="24"/>
          <w:szCs w:val="24"/>
          <w:u w:val="single" w:color="auto"/>
        </w:rPr>
        <w:t xml:space="preserve">        </w:t>
      </w:r>
      <w:r>
        <w:rPr>
          <w:rFonts w:ascii="楷体" w:hAnsi="楷体" w:eastAsia="楷体" w:cs="楷体"/>
          <w:spacing w:val="-60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10"/>
          <w:sz w:val="24"/>
          <w:szCs w:val="24"/>
        </w:rPr>
        <w:t>日。</w:t>
      </w:r>
    </w:p>
    <w:p w14:paraId="497C2700">
      <w:pPr>
        <w:spacing w:before="172" w:line="229" w:lineRule="auto"/>
        <w:ind w:left="48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3"/>
          <w:sz w:val="24"/>
          <w:szCs w:val="24"/>
        </w:rPr>
        <w:t>2.</w:t>
      </w:r>
      <w:r>
        <w:rPr>
          <w:rFonts w:ascii="楷体" w:hAnsi="楷体" w:eastAsia="楷体" w:cs="楷体"/>
          <w:spacing w:val="15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3"/>
          <w:sz w:val="24"/>
          <w:szCs w:val="24"/>
        </w:rPr>
        <w:t>订立地点：</w:t>
      </w:r>
      <w:r>
        <w:rPr>
          <w:rFonts w:ascii="楷体" w:hAnsi="楷体" w:eastAsia="楷体" w:cs="楷体"/>
          <w:spacing w:val="4"/>
          <w:sz w:val="24"/>
          <w:szCs w:val="24"/>
          <w:u w:val="single" w:color="auto"/>
        </w:rPr>
        <w:t xml:space="preserve">                       </w:t>
      </w:r>
      <w:r>
        <w:rPr>
          <w:rFonts w:ascii="楷体" w:hAnsi="楷体" w:eastAsia="楷体" w:cs="楷体"/>
          <w:spacing w:val="3"/>
          <w:sz w:val="24"/>
          <w:szCs w:val="24"/>
          <w:u w:val="single" w:color="auto"/>
        </w:rPr>
        <w:t xml:space="preserve">         </w:t>
      </w:r>
      <w:r>
        <w:rPr>
          <w:rFonts w:ascii="楷体" w:hAnsi="楷体" w:eastAsia="楷体" w:cs="楷体"/>
          <w:spacing w:val="-3"/>
          <w:sz w:val="24"/>
          <w:szCs w:val="24"/>
        </w:rPr>
        <w:t>。</w:t>
      </w:r>
    </w:p>
    <w:p w14:paraId="788E0B73">
      <w:pPr>
        <w:spacing w:before="246" w:line="358" w:lineRule="auto"/>
        <w:ind w:firstLine="488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8"/>
          <w:sz w:val="24"/>
          <w:szCs w:val="24"/>
        </w:rPr>
        <w:t>3. 本合同一式</w:t>
      </w:r>
      <w:r>
        <w:rPr>
          <w:rFonts w:ascii="楷体" w:hAnsi="楷体" w:eastAsia="楷体" w:cs="楷体"/>
          <w:spacing w:val="-8"/>
          <w:sz w:val="24"/>
          <w:szCs w:val="24"/>
          <w:u w:val="single" w:color="auto"/>
        </w:rPr>
        <w:t xml:space="preserve"> 伍 </w:t>
      </w:r>
      <w:r>
        <w:rPr>
          <w:rFonts w:ascii="楷体" w:hAnsi="楷体" w:eastAsia="楷体" w:cs="楷体"/>
          <w:spacing w:val="-8"/>
          <w:sz w:val="24"/>
          <w:szCs w:val="24"/>
        </w:rPr>
        <w:t>份，具有同等法律效力，双方各执</w:t>
      </w:r>
      <w:r>
        <w:rPr>
          <w:rFonts w:ascii="楷体" w:hAnsi="楷体" w:eastAsia="楷体" w:cs="楷体"/>
          <w:spacing w:val="-8"/>
          <w:sz w:val="24"/>
          <w:szCs w:val="24"/>
          <w:u w:val="single" w:color="auto"/>
        </w:rPr>
        <w:t xml:space="preserve"> 贰 </w:t>
      </w:r>
      <w:r>
        <w:rPr>
          <w:rFonts w:ascii="楷体" w:hAnsi="楷体" w:eastAsia="楷体" w:cs="楷体"/>
          <w:spacing w:val="-8"/>
          <w:sz w:val="24"/>
          <w:szCs w:val="24"/>
        </w:rPr>
        <w:t>份，招标代理机构</w:t>
      </w:r>
      <w:r>
        <w:rPr>
          <w:rFonts w:ascii="楷体" w:hAnsi="楷体" w:eastAsia="楷体" w:cs="楷体"/>
          <w:spacing w:val="-9"/>
          <w:sz w:val="24"/>
          <w:szCs w:val="24"/>
        </w:rPr>
        <w:t>存档</w:t>
      </w:r>
      <w:r>
        <w:rPr>
          <w:rFonts w:ascii="楷体" w:hAnsi="楷体" w:eastAsia="楷体" w:cs="楷体"/>
          <w:spacing w:val="24"/>
          <w:sz w:val="24"/>
          <w:szCs w:val="24"/>
          <w:u w:val="single" w:color="auto"/>
        </w:rPr>
        <w:t xml:space="preserve"> </w:t>
      </w:r>
      <w:r>
        <w:rPr>
          <w:rFonts w:ascii="楷体" w:hAnsi="楷体" w:eastAsia="楷体" w:cs="楷体"/>
          <w:spacing w:val="-9"/>
          <w:sz w:val="24"/>
          <w:szCs w:val="24"/>
          <w:u w:val="single" w:color="auto"/>
        </w:rPr>
        <w:t>壹</w:t>
      </w:r>
      <w:r>
        <w:rPr>
          <w:rFonts w:ascii="楷体" w:hAnsi="楷体" w:eastAsia="楷体" w:cs="楷体"/>
          <w:spacing w:val="-1"/>
          <w:sz w:val="24"/>
          <w:szCs w:val="24"/>
        </w:rPr>
        <w:t>份。各方签字盖章后生效，合同执行完毕自动失效。（合同的服务承诺则长期有效）。</w:t>
      </w:r>
    </w:p>
    <w:p w14:paraId="1D034E9C">
      <w:pPr>
        <w:pStyle w:val="2"/>
        <w:spacing w:line="393" w:lineRule="auto"/>
      </w:pPr>
    </w:p>
    <w:p w14:paraId="014EC54C">
      <w:pPr>
        <w:spacing w:before="78" w:line="225" w:lineRule="auto"/>
        <w:ind w:left="998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pacing w:val="-6"/>
          <w:sz w:val="24"/>
          <w:szCs w:val="24"/>
        </w:rPr>
        <w:t>甲</w:t>
      </w:r>
      <w:r>
        <w:rPr>
          <w:rFonts w:ascii="楷体" w:hAnsi="楷体" w:eastAsia="楷体" w:cs="楷体"/>
          <w:spacing w:val="12"/>
          <w:sz w:val="24"/>
          <w:szCs w:val="24"/>
        </w:rPr>
        <w:t xml:space="preserve">  </w:t>
      </w:r>
      <w:r>
        <w:rPr>
          <w:rFonts w:ascii="楷体" w:hAnsi="楷体" w:eastAsia="楷体" w:cs="楷体"/>
          <w:b/>
          <w:bCs/>
          <w:spacing w:val="-6"/>
          <w:sz w:val="24"/>
          <w:szCs w:val="24"/>
        </w:rPr>
        <w:t>方（公章）</w:t>
      </w:r>
      <w:r>
        <w:rPr>
          <w:rFonts w:ascii="楷体" w:hAnsi="楷体" w:eastAsia="楷体" w:cs="楷体"/>
          <w:spacing w:val="-6"/>
          <w:sz w:val="24"/>
          <w:szCs w:val="24"/>
        </w:rPr>
        <w:t xml:space="preserve">                    </w:t>
      </w:r>
      <w:r>
        <w:rPr>
          <w:rFonts w:ascii="楷体" w:hAnsi="楷体" w:eastAsia="楷体" w:cs="楷体"/>
          <w:b/>
          <w:bCs/>
          <w:spacing w:val="-6"/>
          <w:sz w:val="24"/>
          <w:szCs w:val="24"/>
        </w:rPr>
        <w:t>乙</w:t>
      </w:r>
      <w:r>
        <w:rPr>
          <w:rFonts w:ascii="楷体" w:hAnsi="楷体" w:eastAsia="楷体" w:cs="楷体"/>
          <w:spacing w:val="-6"/>
          <w:sz w:val="24"/>
          <w:szCs w:val="24"/>
        </w:rPr>
        <w:t xml:space="preserve">  </w:t>
      </w:r>
      <w:r>
        <w:rPr>
          <w:rFonts w:ascii="楷体" w:hAnsi="楷体" w:eastAsia="楷体" w:cs="楷体"/>
          <w:b/>
          <w:bCs/>
          <w:spacing w:val="-6"/>
          <w:sz w:val="24"/>
          <w:szCs w:val="24"/>
        </w:rPr>
        <w:t>方（公章）</w:t>
      </w:r>
    </w:p>
    <w:p w14:paraId="4C89679B">
      <w:pPr>
        <w:spacing w:before="176" w:line="225" w:lineRule="auto"/>
        <w:ind w:left="973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3"/>
          <w:sz w:val="24"/>
          <w:szCs w:val="24"/>
        </w:rPr>
        <w:t>单位名称：</w:t>
      </w:r>
      <w:r>
        <w:rPr>
          <w:rFonts w:ascii="楷体" w:hAnsi="楷体" w:eastAsia="楷体" w:cs="楷体"/>
          <w:sz w:val="24"/>
          <w:szCs w:val="24"/>
        </w:rPr>
        <w:t xml:space="preserve">                       </w:t>
      </w:r>
      <w:r>
        <w:rPr>
          <w:rFonts w:ascii="楷体" w:hAnsi="楷体" w:eastAsia="楷体" w:cs="楷体"/>
          <w:spacing w:val="-3"/>
          <w:sz w:val="24"/>
          <w:szCs w:val="24"/>
        </w:rPr>
        <w:t>单位名称：</w:t>
      </w:r>
    </w:p>
    <w:p w14:paraId="40CEB39C">
      <w:pPr>
        <w:spacing w:before="175" w:line="317" w:lineRule="exact"/>
        <w:ind w:left="968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8"/>
          <w:position w:val="1"/>
          <w:sz w:val="24"/>
          <w:szCs w:val="24"/>
        </w:rPr>
        <w:t>地</w:t>
      </w:r>
      <w:r>
        <w:rPr>
          <w:rFonts w:ascii="楷体" w:hAnsi="楷体" w:eastAsia="楷体" w:cs="楷体"/>
          <w:spacing w:val="3"/>
          <w:position w:val="1"/>
          <w:sz w:val="24"/>
          <w:szCs w:val="24"/>
        </w:rPr>
        <w:t xml:space="preserve">    </w:t>
      </w:r>
      <w:r>
        <w:rPr>
          <w:rFonts w:ascii="楷体" w:hAnsi="楷体" w:eastAsia="楷体" w:cs="楷体"/>
          <w:spacing w:val="-8"/>
          <w:position w:val="1"/>
          <w:sz w:val="24"/>
          <w:szCs w:val="24"/>
        </w:rPr>
        <w:t>址：</w:t>
      </w:r>
      <w:r>
        <w:rPr>
          <w:rFonts w:ascii="楷体" w:hAnsi="楷体" w:eastAsia="楷体" w:cs="楷体"/>
          <w:position w:val="1"/>
          <w:sz w:val="24"/>
          <w:szCs w:val="24"/>
        </w:rPr>
        <w:t xml:space="preserve">                       </w:t>
      </w:r>
      <w:r>
        <w:rPr>
          <w:rFonts w:ascii="楷体" w:hAnsi="楷体" w:eastAsia="楷体" w:cs="楷体"/>
          <w:spacing w:val="-8"/>
          <w:position w:val="1"/>
          <w:sz w:val="24"/>
          <w:szCs w:val="24"/>
        </w:rPr>
        <w:t>地</w:t>
      </w:r>
      <w:r>
        <w:rPr>
          <w:rFonts w:ascii="楷体" w:hAnsi="楷体" w:eastAsia="楷体" w:cs="楷体"/>
          <w:spacing w:val="6"/>
          <w:position w:val="1"/>
          <w:sz w:val="24"/>
          <w:szCs w:val="24"/>
        </w:rPr>
        <w:t xml:space="preserve">    </w:t>
      </w:r>
      <w:r>
        <w:rPr>
          <w:rFonts w:ascii="楷体" w:hAnsi="楷体" w:eastAsia="楷体" w:cs="楷体"/>
          <w:spacing w:val="-8"/>
          <w:position w:val="1"/>
          <w:sz w:val="24"/>
          <w:szCs w:val="24"/>
        </w:rPr>
        <w:t>址：</w:t>
      </w:r>
    </w:p>
    <w:p w14:paraId="2D8BF74E">
      <w:pPr>
        <w:spacing w:before="150" w:line="237" w:lineRule="auto"/>
        <w:ind w:left="97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5"/>
          <w:sz w:val="24"/>
          <w:szCs w:val="24"/>
        </w:rPr>
        <w:t>代 理</w:t>
      </w:r>
      <w:r>
        <w:rPr>
          <w:rFonts w:ascii="楷体" w:hAnsi="楷体" w:eastAsia="楷体" w:cs="楷体"/>
          <w:spacing w:val="7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5"/>
          <w:sz w:val="24"/>
          <w:szCs w:val="24"/>
        </w:rPr>
        <w:t>人：</w:t>
      </w:r>
      <w:r>
        <w:rPr>
          <w:rFonts w:ascii="楷体" w:hAnsi="楷体" w:eastAsia="楷体" w:cs="楷体"/>
          <w:sz w:val="24"/>
          <w:szCs w:val="24"/>
        </w:rPr>
        <w:t xml:space="preserve">                       </w:t>
      </w:r>
      <w:r>
        <w:rPr>
          <w:rFonts w:ascii="楷体" w:hAnsi="楷体" w:eastAsia="楷体" w:cs="楷体"/>
          <w:spacing w:val="-5"/>
          <w:sz w:val="24"/>
          <w:szCs w:val="24"/>
        </w:rPr>
        <w:t>代</w:t>
      </w:r>
      <w:r>
        <w:rPr>
          <w:rFonts w:ascii="楷体" w:hAnsi="楷体" w:eastAsia="楷体" w:cs="楷体"/>
          <w:spacing w:val="22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5"/>
          <w:sz w:val="24"/>
          <w:szCs w:val="24"/>
        </w:rPr>
        <w:t>理</w:t>
      </w:r>
      <w:r>
        <w:rPr>
          <w:rFonts w:ascii="楷体" w:hAnsi="楷体" w:eastAsia="楷体" w:cs="楷体"/>
          <w:spacing w:val="4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5"/>
          <w:sz w:val="24"/>
          <w:szCs w:val="24"/>
        </w:rPr>
        <w:t>人：</w:t>
      </w:r>
    </w:p>
    <w:p w14:paraId="6EDA6465">
      <w:pPr>
        <w:spacing w:before="161" w:line="223" w:lineRule="auto"/>
        <w:ind w:left="966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 xml:space="preserve">联系电话：                   </w:t>
      </w:r>
      <w:r>
        <w:rPr>
          <w:rFonts w:ascii="楷体" w:hAnsi="楷体" w:eastAsia="楷体" w:cs="楷体"/>
          <w:spacing w:val="-1"/>
          <w:sz w:val="24"/>
          <w:szCs w:val="24"/>
        </w:rPr>
        <w:t xml:space="preserve">    联系电话：</w:t>
      </w:r>
    </w:p>
    <w:p w14:paraId="6ACD5029">
      <w:pPr>
        <w:spacing w:before="178" w:line="225" w:lineRule="auto"/>
        <w:ind w:left="4923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7"/>
          <w:sz w:val="24"/>
          <w:szCs w:val="24"/>
        </w:rPr>
        <w:t>账</w:t>
      </w:r>
      <w:r>
        <w:rPr>
          <w:rFonts w:ascii="楷体" w:hAnsi="楷体" w:eastAsia="楷体" w:cs="楷体"/>
          <w:spacing w:val="3"/>
          <w:sz w:val="24"/>
          <w:szCs w:val="24"/>
        </w:rPr>
        <w:t xml:space="preserve">    </w:t>
      </w:r>
      <w:r>
        <w:rPr>
          <w:rFonts w:ascii="楷体" w:hAnsi="楷体" w:eastAsia="楷体" w:cs="楷体"/>
          <w:spacing w:val="-7"/>
          <w:sz w:val="24"/>
          <w:szCs w:val="24"/>
        </w:rPr>
        <w:t>号：</w:t>
      </w:r>
    </w:p>
    <w:p w14:paraId="39CE2D01">
      <w:pPr>
        <w:spacing w:before="175" w:line="228" w:lineRule="auto"/>
        <w:ind w:left="4930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3"/>
          <w:sz w:val="24"/>
          <w:szCs w:val="24"/>
        </w:rPr>
        <w:t>开户银行：</w:t>
      </w:r>
    </w:p>
    <w:p w14:paraId="1E06CF1B">
      <w:pPr>
        <w:spacing w:before="93" w:line="224" w:lineRule="auto"/>
        <w:ind w:left="969"/>
        <w:rPr>
          <w:rFonts w:ascii="楷体" w:hAnsi="楷体" w:eastAsia="楷体" w:cs="楷体"/>
          <w:sz w:val="24"/>
          <w:szCs w:val="24"/>
        </w:rPr>
        <w:sectPr>
          <w:headerReference r:id="rId11" w:type="default"/>
          <w:footerReference r:id="rId12" w:type="default"/>
          <w:pgSz w:w="11906" w:h="16839"/>
          <w:pgMar w:top="1163" w:right="1405" w:bottom="1180" w:left="1416" w:header="833" w:footer="1018" w:gutter="0"/>
          <w:cols w:space="720" w:num="1"/>
        </w:sectPr>
      </w:pPr>
      <w:r>
        <w:rPr>
          <w:rFonts w:ascii="楷体" w:hAnsi="楷体" w:eastAsia="楷体" w:cs="楷体"/>
          <w:sz w:val="24"/>
          <w:szCs w:val="24"/>
        </w:rPr>
        <w:t xml:space="preserve">签订日期：                </w:t>
      </w:r>
      <w:r>
        <w:rPr>
          <w:rFonts w:ascii="楷体" w:hAnsi="楷体" w:eastAsia="楷体" w:cs="楷体"/>
          <w:spacing w:val="-1"/>
          <w:sz w:val="24"/>
          <w:szCs w:val="24"/>
        </w:rPr>
        <w:t xml:space="preserve">       签订日期：</w:t>
      </w:r>
    </w:p>
    <w:p w14:paraId="77A039A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44746">
    <w:pPr>
      <w:spacing w:line="176" w:lineRule="auto"/>
      <w:ind w:left="4492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BAEAE">
    <w:pPr>
      <w:spacing w:line="176" w:lineRule="auto"/>
      <w:ind w:left="449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E9914">
    <w:pPr>
      <w:spacing w:line="176" w:lineRule="auto"/>
      <w:ind w:left="444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27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EACB1">
    <w:pPr>
      <w:spacing w:line="176" w:lineRule="auto"/>
      <w:ind w:left="444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28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1DDA2">
    <w:pPr>
      <w:spacing w:line="176" w:lineRule="auto"/>
      <w:ind w:left="4450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ABE91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283C0">
    <w:pPr>
      <w:spacing w:before="44" w:line="222" w:lineRule="auto"/>
      <w:ind w:left="22"/>
      <w:rPr>
        <w:rFonts w:ascii="楷体" w:hAnsi="楷体" w:eastAsia="楷体" w:cs="楷体"/>
        <w:sz w:val="18"/>
        <w:szCs w:val="18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899795</wp:posOffset>
              </wp:positionH>
              <wp:positionV relativeFrom="page">
                <wp:posOffset>701040</wp:posOffset>
              </wp:positionV>
              <wp:extent cx="5761355" cy="9525"/>
              <wp:effectExtent l="0" t="0" r="0" b="0"/>
              <wp:wrapNone/>
              <wp:docPr id="1" name="任意多边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1355" cy="9525"/>
                      </a:xfrm>
                      <a:custGeom>
                        <a:avLst/>
                        <a:gdLst/>
                        <a:ahLst/>
                        <a:cxnLst/>
                        <a:pathLst>
                          <a:path w="9072" h="15">
                            <a:moveTo>
                              <a:pt x="0" y="0"/>
                            </a:moveTo>
                            <a:lnTo>
                              <a:pt x="9072" y="0"/>
                            </a:lnTo>
                            <a:lnTo>
                              <a:pt x="9072" y="14"/>
                            </a:lnTo>
                            <a:lnTo>
                              <a:pt x="0" y="14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ffectLst/>
                    </wps:spPr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70.85pt;margin-top:55.2pt;height:0.75pt;width:453.65pt;mso-position-horizontal-relative:page;mso-position-vertical-relative:page;z-index:251659264;mso-width-relative:page;mso-height-relative:page;" fillcolor="#000000" filled="t" stroked="f" coordsize="9072,15" o:allowincell="f" o:gfxdata="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eiTETY&#10;AAAADAEAAA8AAAAAAAAAAQAgAAAAIgAAAGRycy9kb3ducmV2LnhtbFBLAQIUABQAAAAIAIdO4kA4&#10;LRiYIAIAAJcEAAAOAAAAAAAAAAEAIAAAACcBAABkcnMvZTJvRG9jLnhtbFBLBQYAAAAABgAGAFkB&#10;AAC5BQAAAAA=&#10;" path="m0,0l9072,0,9072,14,0,14,0,0x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rFonts w:ascii="楷体" w:hAnsi="楷体" w:eastAsia="楷体" w:cs="楷体"/>
        <w:sz w:val="18"/>
        <w:szCs w:val="18"/>
      </w:rPr>
      <w:t>旬阳市</w:t>
    </w:r>
    <w:r>
      <w:rPr>
        <w:rFonts w:ascii="楷体" w:hAnsi="楷体" w:eastAsia="楷体" w:cs="楷体"/>
        <w:spacing w:val="-39"/>
        <w:sz w:val="18"/>
        <w:szCs w:val="18"/>
      </w:rPr>
      <w:t xml:space="preserve"> </w:t>
    </w:r>
    <w:r>
      <w:rPr>
        <w:rFonts w:ascii="楷体" w:hAnsi="楷体" w:eastAsia="楷体" w:cs="楷体"/>
        <w:sz w:val="18"/>
        <w:szCs w:val="18"/>
      </w:rPr>
      <w:t>2024</w:t>
    </w:r>
    <w:r>
      <w:rPr>
        <w:rFonts w:ascii="楷体" w:hAnsi="楷体" w:eastAsia="楷体" w:cs="楷体"/>
        <w:spacing w:val="-38"/>
        <w:sz w:val="18"/>
        <w:szCs w:val="18"/>
      </w:rPr>
      <w:t xml:space="preserve"> </w:t>
    </w:r>
    <w:r>
      <w:rPr>
        <w:rFonts w:ascii="楷体" w:hAnsi="楷体" w:eastAsia="楷体" w:cs="楷体"/>
        <w:sz w:val="18"/>
        <w:szCs w:val="18"/>
      </w:rPr>
      <w:t>年省级林业草原改革发展红仁核桃</w:t>
    </w:r>
    <w:r>
      <w:rPr>
        <w:rFonts w:ascii="楷体" w:hAnsi="楷体" w:eastAsia="楷体" w:cs="楷体"/>
        <w:spacing w:val="-1"/>
        <w:sz w:val="18"/>
        <w:szCs w:val="18"/>
      </w:rPr>
      <w:t>标准化示范园建设项目（核桃园改造）                磋商文件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4A90E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D615AA"/>
    <w:rsid w:val="5A2275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楷体" w:hAnsi="楷体" w:eastAsia="楷体" w:cs="楷体"/>
      <w:sz w:val="24"/>
      <w:szCs w:val="24"/>
      <w:lang w:val="en-US" w:eastAsia="en-US" w:bidi="ar-SA"/>
    </w:rPr>
  </w:style>
  <w:style w:type="table" w:customStyle="1" w:styleId="7">
    <w:name w:val="Table Normal"/>
    <w:unhideWhenUsed/>
    <w:qFormat/>
    <w:uiPriority w:val="0"/>
    <w:tblPr>
      <w:tblStyle w:val="4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2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header" Target="header3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2704</Words>
  <Characters>2739</Characters>
  <Lines>0</Lines>
  <Paragraphs>0</Paragraphs>
  <TotalTime>0</TotalTime>
  <ScaleCrop>false</ScaleCrop>
  <LinksUpToDate>false</LinksUpToDate>
  <CharactersWithSpaces>3296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2026-08-13T08:55:14Z</dcterms:created>
  <dc:creator>Administrator</dc:creator>
  <cp:lastModifiedBy>代理公司</cp:lastModifiedBy>
  <dcterms:modified xsi:type="dcterms:W3CDTF">2026-08-14T01:02:28Z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eyJoZGlkIjoiYzE3NGZmZDQ3ZjYzMDY1N2ZlZDFiMWIxMzFmMzViMDYiLCJ1c2VySWQiOiIxMjkzNDg5NDI1In0=</vt:lpwstr>
  </property>
  <property fmtid="{D5CDD505-2E9C-101B-9397-08002B2CF9AE}" pid="4" name="ICV">
    <vt:lpwstr>B1EEBAE27F5E4F8A8983C98E58E9B82F_13</vt:lpwstr>
  </property>
</Properties>
</file>