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GZC2026-CS-065</w:t>
      </w:r>
      <w:r>
        <w:rPr>
          <w:rFonts w:hint="eastAsia" w:ascii="仿宋" w:hAnsi="仿宋" w:eastAsia="仿宋" w:cs="仿宋"/>
          <w:kern w:val="0"/>
          <w:sz w:val="30"/>
          <w:szCs w:val="30"/>
          <w:lang w:val="en-US" w:eastAsia="zh-CN"/>
        </w:rPr>
        <w:t xml:space="preserve">                     （货物类）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5441AA43">
      <w:pPr>
        <w:snapToGrid w:val="0"/>
        <w:spacing w:line="360" w:lineRule="auto"/>
        <w:jc w:val="center"/>
        <w:rPr>
          <w:rFonts w:hint="default" w:ascii="仿宋" w:hAnsi="仿宋" w:eastAsia="仿宋" w:cs="仿宋"/>
          <w:sz w:val="44"/>
          <w:szCs w:val="44"/>
          <w:lang w:val="en-US" w:eastAsia="zh-CN"/>
        </w:rPr>
      </w:pPr>
      <w:r>
        <w:rPr>
          <w:rFonts w:hint="eastAsia" w:ascii="宋体" w:hAnsi="宋体" w:cs="宋体"/>
          <w:sz w:val="56"/>
          <w:szCs w:val="56"/>
          <w:lang w:eastAsia="zh-CN"/>
        </w:rPr>
        <w:t>甘泉下寺湾中心卫生院康复医学科建设项目医疗设备购置</w:t>
      </w:r>
      <w:r>
        <w:rPr>
          <w:rFonts w:hint="eastAsia" w:ascii="宋体" w:hAnsi="宋体" w:eastAsia="宋体" w:cs="宋体"/>
          <w:sz w:val="56"/>
          <w:szCs w:val="56"/>
          <w:lang w:val="en-US" w:eastAsia="zh-CN"/>
        </w:rPr>
        <w:t xml:space="preserve"> </w:t>
      </w:r>
    </w:p>
    <w:p w14:paraId="10762D9C">
      <w:pPr>
        <w:snapToGrid w:val="0"/>
        <w:spacing w:line="36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7AD18459">
      <w:pPr>
        <w:snapToGrid w:val="0"/>
        <w:spacing w:line="500" w:lineRule="exact"/>
        <w:jc w:val="both"/>
        <w:rPr>
          <w:rFonts w:ascii="仿宋" w:hAnsi="仿宋" w:eastAsia="仿宋" w:cs="仿宋"/>
          <w:b/>
          <w:sz w:val="30"/>
        </w:rPr>
      </w:pPr>
    </w:p>
    <w:p w14:paraId="5B7C8DC9">
      <w:pPr>
        <w:snapToGrid w:val="0"/>
        <w:spacing w:line="500" w:lineRule="exact"/>
        <w:jc w:val="both"/>
        <w:rPr>
          <w:rFonts w:ascii="仿宋" w:hAnsi="仿宋" w:eastAsia="仿宋" w:cs="仿宋"/>
          <w:b/>
          <w:sz w:val="30"/>
        </w:rPr>
      </w:pPr>
    </w:p>
    <w:p w14:paraId="3E428F29">
      <w:pPr>
        <w:snapToGrid w:val="0"/>
        <w:spacing w:line="500" w:lineRule="exact"/>
        <w:jc w:val="both"/>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ind w:left="2249" w:hanging="2249" w:hangingChars="700"/>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甘泉下寺湾中心卫生院康复医学科建设项目医疗设备购置</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甘泉县下寺湾中心卫生院</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18486A0">
      <w:pPr>
        <w:snapToGrid w:val="0"/>
        <w:spacing w:line="500" w:lineRule="exact"/>
        <w:jc w:val="center"/>
        <w:rPr>
          <w:rFonts w:hint="eastAsia" w:ascii="仿宋" w:hAnsi="仿宋" w:eastAsia="仿宋" w:cs="仿宋"/>
          <w:b/>
          <w:sz w:val="32"/>
          <w:szCs w:val="32"/>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10</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34</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54</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58</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bookmarkStart w:id="15" w:name="_GoBack"/>
      <w:bookmarkEnd w:id="15"/>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7782781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23"/>
          <w:b/>
          <w:bCs/>
          <w:i w:val="0"/>
          <w:iCs w:val="0"/>
          <w:caps w:val="0"/>
          <w:color w:val="333333"/>
          <w:spacing w:val="0"/>
          <w:sz w:val="21"/>
          <w:szCs w:val="21"/>
          <w:shd w:val="clear" w:fill="FFFFFF"/>
        </w:rPr>
        <w:t>项目概况</w:t>
      </w:r>
    </w:p>
    <w:p w14:paraId="362FE6B4">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甘泉下寺湾中心卫生院康复医学科建设项目医疗设备购置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甘泉县财政局大楼801室</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2026年10月20日 14时30分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17F0F0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一、项目基本情况</w:t>
      </w:r>
    </w:p>
    <w:p w14:paraId="48638D2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项目编号：GZC2026-CS-065</w:t>
      </w:r>
    </w:p>
    <w:p w14:paraId="0DC6224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项目名称：甘泉下寺湾中心卫生院康复医学科建设项目医疗设备购置</w:t>
      </w:r>
    </w:p>
    <w:p w14:paraId="534C9187">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387929F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预算金额：917,300.00元</w:t>
      </w:r>
    </w:p>
    <w:p w14:paraId="134C67A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56983B9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合同包1(甘泉下寺湾中心卫生院康复医学科建设项目医疗设备购置):</w:t>
      </w:r>
    </w:p>
    <w:p w14:paraId="1F94267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合同包预算金额：917,300.00元</w:t>
      </w:r>
    </w:p>
    <w:p w14:paraId="4535BC4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合同包最高限价：844,244.57元</w:t>
      </w:r>
    </w:p>
    <w:tbl>
      <w:tblPr>
        <w:tblStyle w:val="20"/>
        <w:tblW w:w="93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4"/>
        <w:gridCol w:w="2106"/>
        <w:gridCol w:w="2457"/>
        <w:gridCol w:w="981"/>
        <w:gridCol w:w="1544"/>
        <w:gridCol w:w="1493"/>
      </w:tblGrid>
      <w:tr w14:paraId="02F1C0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BD142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139E5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69125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6F829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D6C8E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B4064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371ABC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2885E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CA927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物理治疗、康复及体育治疗仪器设备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3E95B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甘泉县下寺湾中心卫生院康复医学科建设项目医疗设备购置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25336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B95ED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4DC941">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917,300.00</w:t>
            </w:r>
          </w:p>
        </w:tc>
      </w:tr>
    </w:tbl>
    <w:p w14:paraId="14781E5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54E5EE51">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合同履行期限：详见磋商文件要求</w:t>
      </w:r>
    </w:p>
    <w:p w14:paraId="1B607D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二、申请人的资格要求：</w:t>
      </w:r>
    </w:p>
    <w:p w14:paraId="5D1D5853">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6466D0D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0CFB2B67">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合同包1(甘泉下寺湾中心卫生院康复医学科建设项目医疗设备购置)落实政府采购政策需满足的资格要求如下:</w:t>
      </w:r>
    </w:p>
    <w:p w14:paraId="1EA28DD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1.财政部财库〔2020〕46号关于印发《政府采购促进中小企业发展管理办法》的通知；</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10.《国务院办公厅关于在政府采购活动中实施本国产品标准及相关政策的通知》（国办发〔2025〕34号）；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11.其他需执行的政府采购政策。</w:t>
      </w:r>
    </w:p>
    <w:p w14:paraId="3DCF33FE">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5E5B94FE">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合同包1(甘泉下寺湾中心卫生院康复医学科建设项目医疗设备购置)特定资格要求如下:</w:t>
      </w:r>
    </w:p>
    <w:p w14:paraId="318D0774">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1、供应商为生产厂家须提供医疗器械生产许可证、医疗器械经营许可证、有效的医疗器械注册证；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2、供应商为代理商的须提供有效的医疗器械经营许可证、有效的医疗器械注册证、第二类医疗器械经营备案凭证。</w:t>
      </w:r>
    </w:p>
    <w:p w14:paraId="211E23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三、获取采购文件</w:t>
      </w:r>
    </w:p>
    <w:p w14:paraId="0C34CA3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2026年10月08日 至 2026年10月13日 ，每天上午 08:00:00 至 12:00:00 ，下午 14:00:00 至 18:00:00 （北京时间）</w:t>
      </w:r>
    </w:p>
    <w:p w14:paraId="4BD82BE1">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甘泉县财政局大楼801室</w:t>
      </w:r>
    </w:p>
    <w:p w14:paraId="17A6D8E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10AE9D4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110C16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四、响应文件提交</w:t>
      </w:r>
    </w:p>
    <w:p w14:paraId="7602302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2026年10月20日 14时30分00秒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537B6A4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甘泉县财政局大楼808评标室</w:t>
      </w:r>
    </w:p>
    <w:p w14:paraId="68A35B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五、开启</w:t>
      </w:r>
    </w:p>
    <w:p w14:paraId="63E18E9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2026年10月20日 14时30分00秒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29D29C37">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808评标室</w:t>
      </w:r>
    </w:p>
    <w:p w14:paraId="463EAA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六、公告期限</w:t>
      </w:r>
    </w:p>
    <w:p w14:paraId="7D62E51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0500C2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七、其他补充事宜</w:t>
      </w:r>
    </w:p>
    <w:p w14:paraId="110A292E">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2425033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2、财务状况报告：提供2024年度或2025年度的财务审计报告及健全的财务制度（成立时间至提交投标文件截止时间不足一年的可提供成立后任意时段的资产负债表）或其基本存款账户开户银行出具的资信证明；</w:t>
      </w:r>
    </w:p>
    <w:p w14:paraId="34B6FC0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4FD9C8A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1AB0875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46ADB82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52C03894">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524A137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52DA112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8、本项目不专门面向中小企业项目。供应商为中小企业的，提供《中小企业声明函》；供应商为监狱企业的，应提供监狱企业的证明文件；供应商为残疾人福利性单位的，应提供《残疾人福利性单位声明函》。</w:t>
      </w:r>
    </w:p>
    <w:p w14:paraId="2AF2B3F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sz w:val="21"/>
          <w:szCs w:val="21"/>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62F051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八、对本次招标提出询问，请按以下方式联系。</w:t>
      </w:r>
    </w:p>
    <w:p w14:paraId="362756E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639BA72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甘泉县下寺湾中心卫生院</w:t>
      </w:r>
    </w:p>
    <w:p w14:paraId="2FFB011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陕西省延安市甘泉</w:t>
      </w:r>
      <w:r>
        <w:rPr>
          <w:rFonts w:hint="eastAsia" w:ascii="微软雅黑" w:hAnsi="微软雅黑" w:eastAsia="微软雅黑" w:cs="微软雅黑"/>
          <w:i w:val="0"/>
          <w:iCs w:val="0"/>
          <w:caps w:val="0"/>
          <w:color w:val="0A82E5"/>
          <w:spacing w:val="0"/>
          <w:sz w:val="21"/>
          <w:szCs w:val="21"/>
          <w:shd w:val="clear" w:fill="FFFFFF"/>
          <w:lang w:val="en-US" w:eastAsia="zh-CN"/>
        </w:rPr>
        <w:t>县</w:t>
      </w:r>
      <w:r>
        <w:rPr>
          <w:rFonts w:hint="eastAsia" w:ascii="微软雅黑" w:hAnsi="微软雅黑" w:eastAsia="微软雅黑" w:cs="微软雅黑"/>
          <w:i w:val="0"/>
          <w:iCs w:val="0"/>
          <w:caps w:val="0"/>
          <w:color w:val="0A82E5"/>
          <w:spacing w:val="0"/>
          <w:sz w:val="21"/>
          <w:szCs w:val="21"/>
          <w:shd w:val="clear" w:fill="FFFFFF"/>
        </w:rPr>
        <w:t>下寺湾镇下寺湾街</w:t>
      </w:r>
    </w:p>
    <w:p w14:paraId="32457C73">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13892113243</w:t>
      </w:r>
    </w:p>
    <w:p w14:paraId="6A2EEE8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707EAD7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延安市甘泉县政府采购中心</w:t>
      </w:r>
    </w:p>
    <w:p w14:paraId="74D89274">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甘泉县财政局大楼八楼</w:t>
      </w:r>
    </w:p>
    <w:p w14:paraId="4CFABCA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0911-4220057</w:t>
      </w:r>
    </w:p>
    <w:p w14:paraId="02C7553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195B276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刘飞</w:t>
      </w:r>
    </w:p>
    <w:p w14:paraId="6310677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15829112702</w:t>
      </w:r>
    </w:p>
    <w:p w14:paraId="285518D3">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延安市甘泉县政府采购中</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D3D66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751D51E9">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421778364"/>
      <w:bookmarkEnd w:id="0"/>
      <w:bookmarkStart w:id="1" w:name="_Toc526842682"/>
      <w:bookmarkEnd w:id="1"/>
      <w:bookmarkStart w:id="2" w:name="_Toc420591642"/>
      <w:bookmarkEnd w:id="2"/>
      <w:bookmarkStart w:id="3" w:name="_Toc15103"/>
      <w:bookmarkEnd w:id="3"/>
      <w:bookmarkStart w:id="4" w:name="_Toc500323094"/>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497"/>
        <w:gridCol w:w="689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49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689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249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689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甘泉县下寺湾中心卫生院</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甘泉县下寺湾镇下寺湾街389号</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张东海</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18700118181</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249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689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249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689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b w:val="0"/>
                <w:bCs w:val="0"/>
                <w:color w:val="auto"/>
                <w:sz w:val="24"/>
                <w:lang w:eastAsia="zh-CN"/>
              </w:rPr>
            </w:pPr>
            <w:r>
              <w:rPr>
                <w:rFonts w:hint="eastAsia" w:ascii="宋体" w:hAnsi="宋体" w:cs="宋体"/>
                <w:b w:val="0"/>
                <w:bCs w:val="0"/>
                <w:i w:val="0"/>
                <w:iCs w:val="0"/>
                <w:caps w:val="0"/>
                <w:color w:val="auto"/>
                <w:spacing w:val="0"/>
                <w:sz w:val="21"/>
                <w:szCs w:val="21"/>
                <w:shd w:val="clear" w:fill="FFFFFF"/>
                <w:lang w:eastAsia="zh-CN"/>
              </w:rPr>
              <w:t>甘泉下寺湾中心卫生院康复医学科建设项目医疗设备购置</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249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689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249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689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服务</w:t>
            </w: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货物</w:t>
            </w: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249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689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b w:val="0"/>
                <w:bCs w:val="0"/>
                <w:color w:val="auto"/>
                <w:sz w:val="24"/>
              </w:rPr>
            </w:pPr>
            <w:r>
              <w:rPr>
                <w:rFonts w:hint="eastAsia" w:ascii="宋体" w:hAnsi="宋体" w:cs="宋体"/>
                <w:b w:val="0"/>
                <w:bCs w:val="0"/>
                <w:color w:val="auto"/>
                <w:sz w:val="24"/>
                <w:shd w:val="clear" w:color="auto" w:fill="FFFFFF"/>
                <w:lang w:val="en-US" w:eastAsia="zh-CN"/>
              </w:rPr>
              <w:t>917,300.00</w:t>
            </w:r>
            <w:r>
              <w:rPr>
                <w:rFonts w:hint="eastAsia" w:ascii="宋体" w:hAnsi="宋体" w:eastAsia="宋体" w:cs="宋体"/>
                <w:b w:val="0"/>
                <w:bCs w:val="0"/>
                <w:color w:val="auto"/>
                <w:sz w:val="24"/>
              </w:rPr>
              <w:t>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249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689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844,244.57</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249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689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249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eastAsia" w:ascii="宋体" w:hAnsi="宋体" w:eastAsia="宋体" w:cs="宋体"/>
                <w:color w:val="000000"/>
                <w:sz w:val="24"/>
                <w:lang w:val="en-US" w:eastAsia="zh-CN"/>
              </w:rPr>
            </w:pPr>
            <w:r>
              <w:rPr>
                <w:rFonts w:hint="eastAsia" w:ascii="宋体" w:hAnsi="宋体" w:cs="宋体"/>
                <w:color w:val="000000"/>
                <w:sz w:val="24"/>
                <w:highlight w:val="none"/>
                <w:lang w:eastAsia="zh-CN"/>
              </w:rPr>
              <w:t>供货期</w:t>
            </w:r>
          </w:p>
        </w:tc>
        <w:tc>
          <w:tcPr>
            <w:tcW w:w="689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合同签订后30日内安装供货到位，并达到正常使用</w:t>
            </w:r>
          </w:p>
        </w:tc>
      </w:tr>
      <w:tr w14:paraId="018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813E52D">
            <w:pPr>
              <w:spacing w:line="240" w:lineRule="auto"/>
              <w:jc w:val="center"/>
              <w:rPr>
                <w:rFonts w:hint="default" w:ascii="宋体" w:hAnsi="宋体" w:eastAsia="宋体" w:cs="宋体"/>
                <w:sz w:val="24"/>
                <w:lang w:val="en-US" w:eastAsia="zh-CN"/>
              </w:rPr>
            </w:pPr>
            <w:r>
              <w:rPr>
                <w:rFonts w:hint="eastAsia" w:ascii="宋体" w:hAnsi="宋体" w:cs="宋体"/>
                <w:sz w:val="24"/>
                <w:lang w:val="en-US" w:eastAsia="zh-CN"/>
              </w:rPr>
              <w:t>1.10</w:t>
            </w:r>
          </w:p>
        </w:tc>
        <w:tc>
          <w:tcPr>
            <w:tcW w:w="2497" w:type="dxa"/>
            <w:tcBorders>
              <w:top w:val="single" w:color="auto" w:sz="4" w:space="0"/>
              <w:left w:val="single" w:color="auto" w:sz="4" w:space="0"/>
              <w:bottom w:val="single" w:color="auto" w:sz="4" w:space="0"/>
              <w:right w:val="single" w:color="auto" w:sz="4" w:space="0"/>
            </w:tcBorders>
            <w:vAlign w:val="center"/>
          </w:tcPr>
          <w:p w14:paraId="7B0FEDDF">
            <w:pPr>
              <w:spacing w:line="240" w:lineRule="auto"/>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质保期</w:t>
            </w:r>
          </w:p>
        </w:tc>
        <w:tc>
          <w:tcPr>
            <w:tcW w:w="6895" w:type="dxa"/>
            <w:tcBorders>
              <w:top w:val="single" w:color="auto" w:sz="4" w:space="0"/>
              <w:left w:val="single" w:color="auto" w:sz="4" w:space="0"/>
              <w:bottom w:val="single" w:color="auto" w:sz="4" w:space="0"/>
              <w:right w:val="single" w:color="auto" w:sz="4" w:space="0"/>
            </w:tcBorders>
            <w:vAlign w:val="center"/>
          </w:tcPr>
          <w:p w14:paraId="5F93CE53">
            <w:pPr>
              <w:spacing w:line="240" w:lineRule="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所有产品质保1年，终身成本维修。</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1</w:t>
            </w:r>
          </w:p>
        </w:tc>
        <w:tc>
          <w:tcPr>
            <w:tcW w:w="2497"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w:t>
            </w:r>
          </w:p>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联合体磋商</w:t>
            </w:r>
          </w:p>
        </w:tc>
        <w:tc>
          <w:tcPr>
            <w:tcW w:w="689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2</w:t>
            </w:r>
          </w:p>
        </w:tc>
        <w:tc>
          <w:tcPr>
            <w:tcW w:w="249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689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3</w:t>
            </w:r>
          </w:p>
        </w:tc>
        <w:tc>
          <w:tcPr>
            <w:tcW w:w="249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4</w:t>
            </w:r>
          </w:p>
        </w:tc>
        <w:tc>
          <w:tcPr>
            <w:tcW w:w="249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689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249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249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689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lang w:eastAsia="zh-CN"/>
              </w:rPr>
            </w:pPr>
            <w:r>
              <w:rPr>
                <w:rFonts w:hint="eastAsia" w:cs="宋体"/>
                <w:b w:val="0"/>
                <w:bCs w:val="0"/>
                <w:i w:val="0"/>
                <w:iCs w:val="0"/>
                <w:caps w:val="0"/>
                <w:color w:val="auto"/>
                <w:spacing w:val="0"/>
                <w:sz w:val="21"/>
                <w:szCs w:val="21"/>
                <w:shd w:val="clear" w:fill="FFFFFF"/>
                <w:lang w:eastAsia="zh-CN"/>
              </w:rPr>
              <w:t> 2026年10月20日 14时30分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249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689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249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689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249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689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249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689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249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689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249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689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w:t>
            </w:r>
          </w:p>
        </w:tc>
        <w:tc>
          <w:tcPr>
            <w:tcW w:w="249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689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249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89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w:t>
            </w:r>
          </w:p>
        </w:tc>
        <w:tc>
          <w:tcPr>
            <w:tcW w:w="249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689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1"/>
                <w:szCs w:val="21"/>
                <w:shd w:val="clear" w:color="auto" w:fill="FFFFFF"/>
                <w:lang w:eastAsia="zh-CN"/>
              </w:rPr>
              <w:t> 2026年10月20日 14时30分 （北京时间）</w:t>
            </w:r>
          </w:p>
          <w:p w14:paraId="297034B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w:t>
            </w:r>
          </w:p>
        </w:tc>
        <w:tc>
          <w:tcPr>
            <w:tcW w:w="249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689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8</w:t>
            </w:r>
          </w:p>
        </w:tc>
        <w:tc>
          <w:tcPr>
            <w:tcW w:w="249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689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w:t>
            </w:r>
          </w:p>
        </w:tc>
        <w:tc>
          <w:tcPr>
            <w:tcW w:w="249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689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10</w:t>
            </w:r>
          </w:p>
        </w:tc>
        <w:tc>
          <w:tcPr>
            <w:tcW w:w="249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689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是</w:t>
            </w:r>
            <w:r>
              <w:rPr>
                <w:rFonts w:hint="eastAsia" w:ascii="宋体" w:hAnsi="宋体" w:cs="宋体"/>
                <w:b w:val="0"/>
                <w:bCs w:val="0"/>
                <w:color w:val="auto"/>
                <w:sz w:val="24"/>
                <w:lang w:eastAsia="zh-CN"/>
              </w:rPr>
              <w:t>□</w:t>
            </w:r>
            <w:r>
              <w:rPr>
                <w:rFonts w:hint="eastAsia" w:ascii="宋体" w:hAnsi="宋体" w:eastAsia="宋体" w:cs="宋体"/>
                <w:b w:val="0"/>
                <w:bCs w:val="0"/>
                <w:color w:val="auto"/>
                <w:sz w:val="24"/>
              </w:rPr>
              <w:t xml:space="preserve">  否 </w:t>
            </w:r>
            <w:r>
              <w:rPr>
                <w:rFonts w:hint="eastAsia" w:ascii="宋体" w:hAnsi="宋体" w:cs="宋体"/>
                <w:b w:val="0"/>
                <w:bCs w:val="0"/>
                <w:color w:val="auto"/>
                <w:sz w:val="24"/>
                <w:lang w:eastAsia="zh-CN"/>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11</w:t>
            </w:r>
          </w:p>
        </w:tc>
        <w:tc>
          <w:tcPr>
            <w:tcW w:w="249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689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default" w:ascii="宋体" w:hAnsi="宋体" w:eastAsia="宋体" w:cs="宋体"/>
                <w:b w:val="0"/>
                <w:bCs w:val="0"/>
                <w:color w:val="auto"/>
                <w:sz w:val="24"/>
                <w:lang w:val="en-US" w:eastAsia="zh-CN"/>
              </w:rPr>
            </w:pPr>
            <w:r>
              <w:rPr>
                <w:rFonts w:hint="eastAsia" w:ascii="宋体" w:hAnsi="宋体" w:cs="宋体"/>
                <w:b w:val="0"/>
                <w:bCs w:val="0"/>
                <w:color w:val="auto"/>
                <w:sz w:val="24"/>
                <w:szCs w:val="32"/>
                <w:lang w:val="en-US" w:eastAsia="zh-CN"/>
              </w:rPr>
              <w:t>工业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sz w:val="24"/>
                <w:lang w:val="en-US" w:eastAsia="zh-CN"/>
              </w:rPr>
              <w:t>12</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甘泉县下寺湾中心卫生院</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 国家统计局 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b/>
          <w:bCs/>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21B58E20">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7B6A2EF4">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特定资格要求：</w:t>
      </w:r>
    </w:p>
    <w:p w14:paraId="2EE5F0D8">
      <w:pPr>
        <w:keepNext w:val="0"/>
        <w:keepLines w:val="0"/>
        <w:pageBreakBefore w:val="0"/>
        <w:widowControl w:val="0"/>
        <w:numPr>
          <w:ilvl w:val="0"/>
          <w:numId w:val="0"/>
        </w:numPr>
        <w:kinsoku/>
        <w:wordWrap/>
        <w:overflowPunct w:val="0"/>
        <w:topLinePunct/>
        <w:autoSpaceDE/>
        <w:autoSpaceDN/>
        <w:bidi w:val="0"/>
        <w:adjustRightInd/>
        <w:snapToGrid w:val="0"/>
        <w:spacing w:line="360" w:lineRule="auto"/>
        <w:ind w:firstLine="729" w:firstLineChars="300"/>
        <w:textAlignment w:val="auto"/>
        <w:rPr>
          <w:rFonts w:hint="eastAsia" w:ascii="宋体" w:hAnsi="宋体" w:eastAsia="宋体" w:cs="宋体"/>
          <w:color w:val="000000"/>
          <w:sz w:val="24"/>
          <w:szCs w:val="24"/>
          <w:lang w:val="en-US" w:eastAsia="zh-CN"/>
        </w:rPr>
      </w:pPr>
      <w:r>
        <w:rPr>
          <w:rFonts w:hint="eastAsia" w:ascii="宋体" w:hAnsi="宋体" w:cs="宋体"/>
          <w:b w:val="0"/>
          <w:bCs w:val="0"/>
          <w:color w:val="000000"/>
          <w:sz w:val="24"/>
          <w:szCs w:val="24"/>
          <w:lang w:val="en-US" w:eastAsia="zh-CN"/>
        </w:rPr>
        <w:t>1、供应商为生产厂家须提供医疗器械生产许可证、医疗器械经营许可证、有效的医疗器械注册证；</w:t>
      </w:r>
      <w:r>
        <w:rPr>
          <w:rFonts w:hint="eastAsia" w:ascii="宋体" w:hAnsi="宋体" w:cs="宋体"/>
          <w:b w:val="0"/>
          <w:bCs w:val="0"/>
          <w:color w:val="000000"/>
          <w:sz w:val="24"/>
          <w:szCs w:val="24"/>
          <w:lang w:val="en-US" w:eastAsia="zh-CN"/>
        </w:rPr>
        <w:br w:type="textWrapping"/>
      </w:r>
      <w:r>
        <w:rPr>
          <w:rFonts w:hint="eastAsia" w:ascii="宋体" w:hAnsi="宋体" w:cs="宋体"/>
          <w:b w:val="0"/>
          <w:bCs w:val="0"/>
          <w:color w:val="000000"/>
          <w:sz w:val="24"/>
          <w:szCs w:val="24"/>
          <w:lang w:val="en-US" w:eastAsia="zh-CN"/>
        </w:rPr>
        <w:t xml:space="preserve">      2、供应商为代理商的须提供有效的医疗器械经营许可证、有效的医疗器械注册证、第二类医疗器械经营备案凭证。</w:t>
      </w:r>
    </w:p>
    <w:p w14:paraId="0A1C232A">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（三）法定代表人（负责人）委托授权书：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四</w:t>
      </w: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五</w:t>
      </w:r>
      <w:r>
        <w:rPr>
          <w:rFonts w:hint="eastAsia" w:ascii="宋体" w:hAnsi="宋体" w:eastAsia="宋体" w:cs="宋体"/>
          <w:b/>
          <w:bCs/>
          <w:color w:val="000000"/>
          <w:sz w:val="24"/>
          <w:szCs w:val="24"/>
          <w:lang w:val="en-US" w:eastAsia="zh-CN"/>
        </w:rPr>
        <w:t>）承诺声明：提供具有履行合同所必需的设备和专业技术能力的承诺书</w:t>
      </w:r>
      <w:r>
        <w:rPr>
          <w:rFonts w:hint="eastAsia" w:ascii="宋体" w:hAnsi="宋体" w:eastAsia="宋体" w:cs="宋体"/>
          <w:b/>
          <w:bCs/>
          <w:color w:val="auto"/>
          <w:sz w:val="24"/>
          <w:szCs w:val="24"/>
          <w:lang w:eastAsia="zh-CN"/>
        </w:rPr>
        <w:t>。</w:t>
      </w:r>
    </w:p>
    <w:p w14:paraId="59E344B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六</w:t>
      </w: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：本项目不专门面向中小企业项目。供应商为中小企业的，提供《中小企业声明函》；供应商为监狱企业的，应提供监狱企业的证明文件；供应商为残疾人福利性单位的，应提供《残疾人福利性单位声明函》。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（七）税收缴纳证明：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（八）社会保障资金缴纳证明：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九</w:t>
      </w: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计报告及健全的财务制度（成立时间至提交响应文件截止时间不足一年的可提供成立后任意时段的资产负债表）或其基本存款账户开户银行出具的资信证明；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56DD917">
      <w:pPr>
        <w:overflowPunct w:val="0"/>
        <w:topLinePunct/>
        <w:snapToGrid w:val="0"/>
        <w:spacing w:line="360" w:lineRule="auto"/>
        <w:ind w:firstLine="486"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5、单位负责人为同一人或者存在直接控股、管理关系的不同供应商，不得参加同一合同项下的政府采购活动。</w:t>
      </w:r>
    </w:p>
    <w:p w14:paraId="05B72F05">
      <w:pPr>
        <w:overflowPunct w:val="0"/>
        <w:topLinePunct/>
        <w:snapToGrid w:val="0"/>
        <w:spacing w:line="360" w:lineRule="auto"/>
        <w:ind w:firstLine="486" w:firstLineChars="200"/>
        <w:rPr>
          <w:rFonts w:hint="eastAsia" w:ascii="宋体" w:hAnsi="宋体" w:eastAsia="宋体" w:cs="宋体"/>
          <w:color w:val="000000"/>
          <w:sz w:val="24"/>
          <w:lang w:val="en-US" w:eastAsia="zh-CN"/>
        </w:rPr>
      </w:pPr>
      <w:r>
        <w:rPr>
          <w:rFonts w:hint="eastAsia" w:ascii="宋体" w:hAnsi="宋体" w:cs="宋体"/>
          <w:color w:val="000000"/>
          <w:sz w:val="24"/>
          <w:lang w:val="en-US" w:eastAsia="zh-CN"/>
        </w:rPr>
        <w:t>除单一来源采购项目外，为采购项目提供整体设计、规范编制或者项目管理、监理、检测等服务的供应商，不得再参加该采购项目的其他采购活动。</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张东海</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color w:val="000000" w:themeColor="text1"/>
          <w:sz w:val="24"/>
          <w:lang w:val="en-US" w:eastAsia="zh-CN"/>
          <w14:textFill>
            <w14:solidFill>
              <w14:schemeClr w14:val="tx1"/>
            </w14:solidFill>
          </w14:textFill>
        </w:rPr>
        <w:t>18700118181</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甘泉县下寺湾镇下寺湾街389号</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bCs/>
          <w:color w:val="auto"/>
          <w:highlight w:val="none"/>
        </w:rPr>
        <w:t>~</w:t>
      </w:r>
      <w:r>
        <w:rPr>
          <w:rFonts w:hint="eastAsia" w:ascii="宋体" w:hAnsi="宋体" w:eastAsia="宋体" w:cs="宋体"/>
          <w:b/>
          <w:bCs/>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文件规定的价格扣除，但不影响</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57959162">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p>
    <w:p w14:paraId="3C429ED6">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绿色发展政策</w:t>
      </w:r>
      <w:r>
        <w:rPr>
          <w:rFonts w:hint="eastAsia" w:ascii="宋体" w:hAnsi="宋体" w:cs="宋体"/>
          <w:b w:val="0"/>
          <w:bCs/>
          <w:sz w:val="24"/>
          <w:szCs w:val="24"/>
          <w:lang w:val="en-US" w:eastAsia="zh-CN"/>
        </w:rPr>
        <w:t>供应商</w:t>
      </w:r>
      <w:r>
        <w:rPr>
          <w:rFonts w:hint="eastAsia" w:ascii="宋体" w:hAnsi="宋体" w:eastAsia="宋体" w:cs="宋体"/>
          <w:b w:val="0"/>
          <w:bCs/>
          <w:sz w:val="24"/>
          <w:szCs w:val="24"/>
          <w:lang w:val="en-US" w:eastAsia="zh-CN"/>
        </w:rPr>
        <w:t>所投产品，将依据《节能产品、环境标志产品品目清单》和认证证书实施政府优先采购和强制采购。</w:t>
      </w:r>
    </w:p>
    <w:p w14:paraId="475B91C9">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9.1、供应商</w:t>
      </w:r>
      <w:r>
        <w:rPr>
          <w:rFonts w:hint="eastAsia" w:ascii="宋体" w:hAnsi="宋体" w:eastAsia="宋体" w:cs="宋体"/>
          <w:b w:val="0"/>
          <w:bCs/>
          <w:sz w:val="24"/>
          <w:szCs w:val="24"/>
          <w:lang w:val="en-US" w:eastAsia="zh-CN"/>
        </w:rPr>
        <w:t>可以提供所投产品经国家确定的认证机构出具的、处于有效期之内的节能产品、环境标志产品认证证书复印件。集中采购机构通过中国政府采购网(http://www.ccgp.gov.cn/)对获证产品信息进行核对。</w:t>
      </w:r>
    </w:p>
    <w:p w14:paraId="69753380">
      <w:pPr>
        <w:pageBreakBefore w:val="0"/>
        <w:widowControl w:val="0"/>
        <w:kinsoku/>
        <w:autoSpaceDE/>
        <w:autoSpaceDN/>
        <w:bidi w:val="0"/>
        <w:adjustRightInd/>
        <w:spacing w:line="360" w:lineRule="auto"/>
        <w:ind w:firstLine="243" w:firstLineChars="100"/>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9.2、供应商</w:t>
      </w:r>
      <w:r>
        <w:rPr>
          <w:rFonts w:hint="eastAsia" w:ascii="宋体" w:hAnsi="宋体" w:eastAsia="宋体" w:cs="宋体"/>
          <w:b w:val="0"/>
          <w:bCs/>
          <w:sz w:val="24"/>
          <w:szCs w:val="24"/>
          <w:lang w:val="en-US" w:eastAsia="zh-CN"/>
        </w:rPr>
        <w:t>所投产品属于下列情形之一的，属于优先采购的不再享受优先采购政策，或者属于强制采购的按无效</w:t>
      </w:r>
      <w:r>
        <w:rPr>
          <w:rFonts w:hint="eastAsia" w:ascii="宋体" w:hAnsi="宋体" w:cs="宋体"/>
          <w:b w:val="0"/>
          <w:bCs/>
          <w:sz w:val="24"/>
          <w:szCs w:val="24"/>
          <w:lang w:val="en-US" w:eastAsia="zh-CN"/>
        </w:rPr>
        <w:t>响应</w:t>
      </w:r>
      <w:r>
        <w:rPr>
          <w:rFonts w:hint="eastAsia" w:ascii="宋体" w:hAnsi="宋体" w:eastAsia="宋体" w:cs="宋体"/>
          <w:b w:val="0"/>
          <w:bCs/>
          <w:sz w:val="24"/>
          <w:szCs w:val="24"/>
          <w:lang w:val="en-US" w:eastAsia="zh-CN"/>
        </w:rPr>
        <w:t>文件处理:</w:t>
      </w:r>
    </w:p>
    <w:p w14:paraId="77B6DBB3">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1)不属于《节能产品、环境标志产品品目清单》中的产品;</w:t>
      </w:r>
    </w:p>
    <w:p w14:paraId="2C39EDF4">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2)未提供认证证书复印件或经核对认证证书存在信息有误的。</w:t>
      </w:r>
    </w:p>
    <w:p w14:paraId="39172A25">
      <w:pPr>
        <w:pageBreakBefore w:val="0"/>
        <w:widowControl w:val="0"/>
        <w:kinsoku/>
        <w:autoSpaceDE/>
        <w:autoSpaceDN/>
        <w:bidi w:val="0"/>
        <w:adjustRightInd/>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未提供上述声明函原件/证明文件复印件的，不能享受</w:t>
      </w:r>
      <w:r>
        <w:rPr>
          <w:rFonts w:hint="eastAsia" w:ascii="宋体" w:hAnsi="宋体" w:cs="宋体"/>
          <w:b w:val="0"/>
          <w:bCs/>
          <w:sz w:val="24"/>
          <w:szCs w:val="24"/>
          <w:lang w:eastAsia="zh-CN"/>
        </w:rPr>
        <w:t>响应</w:t>
      </w:r>
      <w:r>
        <w:rPr>
          <w:rFonts w:hint="eastAsia" w:ascii="宋体" w:hAnsi="宋体" w:eastAsia="宋体" w:cs="宋体"/>
          <w:b w:val="0"/>
          <w:bCs/>
          <w:sz w:val="24"/>
          <w:szCs w:val="24"/>
        </w:rPr>
        <w:t>文件规定的价格扣除，但不影响响应文件的有效性。</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w:t>
      </w:r>
      <w:r>
        <w:rPr>
          <w:rFonts w:hint="eastAsia" w:ascii="宋体" w:hAnsi="宋体" w:cs="宋体"/>
          <w:sz w:val="24"/>
          <w:lang w:eastAsia="zh-CN"/>
        </w:rPr>
        <w:t>供货期</w:t>
      </w:r>
      <w:r>
        <w:rPr>
          <w:rFonts w:hint="eastAsia" w:ascii="宋体" w:hAnsi="宋体" w:eastAsia="宋体" w:cs="宋体"/>
          <w:sz w:val="24"/>
        </w:rPr>
        <w:t>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甘泉下寺湾中心卫生院康复医学科建设项目医疗设备购置</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w:t>
      </w:r>
      <w:r>
        <w:rPr>
          <w:rFonts w:hint="eastAsia" w:ascii="宋体" w:hAnsi="宋体" w:eastAsia="宋体" w:cs="宋体"/>
          <w:color w:val="auto"/>
          <w:sz w:val="24"/>
          <w:lang w:eastAsia="zh-CN"/>
        </w:rPr>
        <w:t>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依照磋商文件第五章《响应文件构成及格式》给定形式进行编制，纸质响应文件</w:t>
      </w:r>
      <w:r>
        <w:rPr>
          <w:rFonts w:hint="eastAsia" w:ascii="宋体" w:hAnsi="宋体" w:eastAsia="宋体" w:cs="宋体"/>
          <w:color w:val="auto"/>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sz w:val="24"/>
          <w:highlight w:val="none"/>
        </w:rPr>
      </w:pPr>
      <w:r>
        <w:rPr>
          <w:rFonts w:hint="eastAsia" w:ascii="宋体" w:hAnsi="宋体" w:eastAsia="宋体" w:cs="宋体"/>
          <w:b/>
          <w:bCs/>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供货期、技术参数、磋商</w:t>
      </w:r>
      <w:r>
        <w:rPr>
          <w:rFonts w:hint="eastAsia" w:ascii="宋体" w:hAnsi="宋体" w:eastAsia="宋体" w:cs="宋体"/>
          <w:sz w:val="24"/>
          <w:highlight w:val="none"/>
        </w:rPr>
        <w:t>有效期、</w:t>
      </w:r>
      <w:r>
        <w:rPr>
          <w:rFonts w:hint="eastAsia" w:ascii="宋体" w:hAnsi="宋体" w:cs="宋体"/>
          <w:sz w:val="24"/>
          <w:highlight w:val="none"/>
          <w:lang w:val="en-US" w:eastAsia="zh-CN"/>
        </w:rPr>
        <w:t>供货期</w:t>
      </w:r>
      <w:r>
        <w:rPr>
          <w:rFonts w:hint="eastAsia" w:ascii="宋体" w:hAnsi="宋体" w:eastAsia="宋体" w:cs="宋体"/>
          <w:sz w:val="24"/>
          <w:highlight w:val="none"/>
          <w:lang w:val="en-US" w:eastAsia="zh-CN"/>
        </w:rPr>
        <w:t>、服务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二</w:t>
      </w:r>
      <w:r>
        <w:rPr>
          <w:rFonts w:hint="eastAsia" w:ascii="宋体" w:hAnsi="宋体" w:eastAsia="宋体" w:cs="宋体"/>
          <w:b/>
          <w:color w:val="auto"/>
          <w:sz w:val="24"/>
          <w:lang w:eastAsia="zh-CN"/>
        </w:rPr>
        <w:t>）</w:t>
      </w:r>
      <w:r>
        <w:rPr>
          <w:rFonts w:hint="eastAsia" w:ascii="宋体" w:hAnsi="宋体" w:eastAsia="宋体" w:cs="宋体"/>
          <w:b/>
          <w:color w:val="auto"/>
          <w:sz w:val="24"/>
        </w:rPr>
        <w:t>响应文件的密封</w:t>
      </w:r>
    </w:p>
    <w:p w14:paraId="5532F583">
      <w:pPr>
        <w:spacing w:line="360" w:lineRule="auto"/>
        <w:ind w:firstLine="486" w:firstLineChars="200"/>
        <w:rPr>
          <w:rFonts w:hint="eastAsia" w:ascii="宋体" w:hAnsi="宋体" w:eastAsia="宋体" w:cs="宋体"/>
          <w:b/>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color w:val="auto"/>
          <w:sz w:val="24"/>
        </w:rPr>
        <w:t>正本</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b/>
          <w:bCs/>
          <w:color w:val="auto"/>
          <w:sz w:val="24"/>
        </w:rPr>
        <w:t>副本</w:t>
      </w:r>
      <w:r>
        <w:rPr>
          <w:rFonts w:hint="eastAsia" w:ascii="宋体" w:hAnsi="宋体" w:eastAsia="宋体" w:cs="宋体"/>
          <w:color w:val="auto"/>
          <w:sz w:val="24"/>
        </w:rPr>
        <w:t>”</w:t>
      </w:r>
      <w:r>
        <w:rPr>
          <w:rFonts w:hint="eastAsia" w:ascii="宋体" w:hAnsi="宋体" w:cs="宋体"/>
          <w:color w:val="auto"/>
          <w:sz w:val="24"/>
          <w:lang w:val="en-US" w:eastAsia="zh-CN"/>
        </w:rPr>
        <w:t>或“</w:t>
      </w:r>
      <w:r>
        <w:rPr>
          <w:rFonts w:hint="eastAsia" w:ascii="宋体" w:hAnsi="宋体" w:cs="宋体"/>
          <w:b/>
          <w:bCs/>
          <w:color w:val="auto"/>
          <w:sz w:val="24"/>
          <w:lang w:val="en-US" w:eastAsia="zh-CN"/>
        </w:rPr>
        <w:t>资质文件</w:t>
      </w:r>
      <w:r>
        <w:rPr>
          <w:rFonts w:hint="eastAsia" w:ascii="宋体" w:hAnsi="宋体" w:cs="宋体"/>
          <w:color w:val="auto"/>
          <w:sz w:val="24"/>
          <w:lang w:val="en-US" w:eastAsia="zh-CN"/>
        </w:rPr>
        <w:t>”</w:t>
      </w:r>
      <w:r>
        <w:rPr>
          <w:rFonts w:hint="eastAsia" w:ascii="宋体" w:hAnsi="宋体" w:eastAsia="宋体" w:cs="宋体"/>
          <w:color w:val="auto"/>
          <w:sz w:val="24"/>
        </w:rPr>
        <w:t>字样。</w:t>
      </w:r>
    </w:p>
    <w:p w14:paraId="1F017F0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）响应文件的提交</w:t>
      </w:r>
    </w:p>
    <w:p w14:paraId="1773F5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响应文件应当在开启当日，并于提交首次响应文件截止时间前送达开启地点。不接受电子邮件、传真及邮寄等方式递交的响应文件。</w:t>
      </w:r>
    </w:p>
    <w:p w14:paraId="568EEF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四</w:t>
      </w:r>
      <w:r>
        <w:rPr>
          <w:rFonts w:hint="eastAsia" w:ascii="宋体" w:hAnsi="宋体" w:eastAsia="宋体" w:cs="宋体"/>
          <w:b/>
          <w:color w:val="auto"/>
          <w:sz w:val="24"/>
        </w:rPr>
        <w:t>）响应文件的修改和撤回</w:t>
      </w:r>
    </w:p>
    <w:p w14:paraId="448390D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（四）磋商大会上，集中采购机构对经检查的有效响应文件，依据提交顺序，以公开唱标的形式，将第一次磋商报价表的内容公布。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w:t>
      </w:r>
      <w:r>
        <w:rPr>
          <w:rFonts w:hint="eastAsia" w:ascii="宋体" w:hAnsi="宋体" w:eastAsia="宋体" w:cs="宋体"/>
          <w:b/>
          <w:color w:val="auto"/>
          <w:sz w:val="24"/>
        </w:rPr>
        <w:t>方法</w:t>
      </w:r>
      <w:r>
        <w:rPr>
          <w:rFonts w:hint="eastAsia" w:ascii="宋体" w:hAnsi="宋体" w:eastAsia="宋体" w:cs="宋体"/>
          <w:color w:val="auto"/>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由高至低推荐</w:t>
      </w:r>
      <w:r>
        <w:rPr>
          <w:rFonts w:hint="eastAsia" w:ascii="宋体" w:hAnsi="宋体" w:eastAsia="宋体" w:cs="宋体"/>
          <w:sz w:val="24"/>
          <w:lang w:eastAsia="zh-CN"/>
        </w:rPr>
        <w:t>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15.所有潜在供应商对会议记录进行签字确认。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733" w:type="dxa"/>
        <w:tblInd w:w="-2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510"/>
        <w:gridCol w:w="1607"/>
        <w:gridCol w:w="4941"/>
        <w:gridCol w:w="955"/>
        <w:gridCol w:w="971"/>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3" w:hRule="atLeast"/>
        </w:trPr>
        <w:tc>
          <w:tcPr>
            <w:tcW w:w="12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666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评审因素</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rPr>
              <w:t>符合（√）</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4"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供货期</w:t>
            </w:r>
            <w:r>
              <w:rPr>
                <w:rFonts w:hint="eastAsia" w:ascii="宋体" w:hAnsi="宋体" w:eastAsia="宋体" w:cs="宋体"/>
                <w:i w:val="0"/>
                <w:iCs w:val="0"/>
                <w:color w:val="000000"/>
                <w:kern w:val="0"/>
                <w:sz w:val="21"/>
                <w:szCs w:val="21"/>
                <w:u w:val="none"/>
                <w:lang w:val="en-US" w:eastAsia="zh-CN" w:bidi="ar"/>
              </w:rPr>
              <w:t xml:space="preserve">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供货期</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供货</w:t>
            </w:r>
            <w:r>
              <w:rPr>
                <w:rFonts w:hint="eastAsia" w:ascii="宋体" w:hAnsi="宋体" w:eastAsia="宋体" w:cs="宋体"/>
                <w:i w:val="0"/>
                <w:iCs w:val="0"/>
                <w:color w:val="000000"/>
                <w:kern w:val="0"/>
                <w:sz w:val="21"/>
                <w:szCs w:val="21"/>
                <w:u w:val="none"/>
                <w:lang w:val="en-US" w:eastAsia="zh-CN" w:bidi="ar"/>
              </w:rPr>
              <w:t xml:space="preserve">地点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供货</w:t>
            </w:r>
            <w:r>
              <w:rPr>
                <w:rFonts w:hint="eastAsia" w:ascii="宋体" w:hAnsi="宋体" w:eastAsia="宋体" w:cs="宋体"/>
                <w:i w:val="0"/>
                <w:iCs w:val="0"/>
                <w:color w:val="000000"/>
                <w:kern w:val="0"/>
                <w:sz w:val="21"/>
                <w:szCs w:val="21"/>
                <w:u w:val="none"/>
                <w:lang w:val="en-US" w:eastAsia="zh-CN" w:bidi="ar"/>
              </w:rPr>
              <w:t>地点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0DBF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7CB0F75">
            <w:pPr>
              <w:spacing w:line="400" w:lineRule="exact"/>
              <w:jc w:val="center"/>
              <w:rPr>
                <w:rFonts w:hint="eastAsia" w:ascii="宋体" w:hAnsi="宋体" w:eastAsia="宋体" w:cs="宋体"/>
                <w:color w:val="auto"/>
                <w:lang w:val="en-US" w:eastAsia="zh-CN"/>
              </w:rPr>
            </w:pPr>
            <w:r>
              <w:rPr>
                <w:rFonts w:hint="eastAsia" w:ascii="宋体" w:hAnsi="宋体" w:cs="宋体"/>
                <w:color w:val="auto"/>
                <w:lang w:val="en-US" w:eastAsia="zh-CN"/>
              </w:rPr>
              <w:t>3</w:t>
            </w:r>
          </w:p>
        </w:tc>
        <w:tc>
          <w:tcPr>
            <w:tcW w:w="3286" w:type="dxa"/>
            <w:tcBorders>
              <w:top w:val="single" w:color="auto" w:sz="4" w:space="0"/>
              <w:left w:val="single" w:color="auto" w:sz="4" w:space="0"/>
              <w:bottom w:val="single" w:color="auto" w:sz="4" w:space="0"/>
              <w:right w:val="single" w:color="auto" w:sz="4" w:space="0"/>
            </w:tcBorders>
            <w:vAlign w:val="center"/>
          </w:tcPr>
          <w:p w14:paraId="2A3F9A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供货期、供货地点</w:t>
            </w:r>
          </w:p>
        </w:tc>
        <w:tc>
          <w:tcPr>
            <w:tcW w:w="1768" w:type="dxa"/>
            <w:tcBorders>
              <w:top w:val="single" w:color="auto" w:sz="4" w:space="0"/>
              <w:left w:val="single" w:color="auto" w:sz="4" w:space="0"/>
              <w:bottom w:val="single" w:color="auto" w:sz="4" w:space="0"/>
              <w:right w:val="single" w:color="auto" w:sz="4" w:space="0"/>
            </w:tcBorders>
            <w:vAlign w:val="center"/>
          </w:tcPr>
          <w:p w14:paraId="1F57067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A256881">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01F342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4BD316F8">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A379DA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对货物提出异议的时间和办法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214805A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520A540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货物验收</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66B153A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7885DD5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color w:val="auto"/>
          <w:sz w:val="24"/>
        </w:rPr>
        <w:t>磋商小组要求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sz w:val="24"/>
          <w:lang w:eastAsia="zh-CN"/>
        </w:rPr>
        <w:t>潜在供应商</w:t>
      </w:r>
      <w:r>
        <w:rPr>
          <w:rFonts w:hint="eastAsia" w:ascii="宋体" w:hAnsi="宋体" w:eastAsia="宋体" w:cs="宋体"/>
          <w:sz w:val="24"/>
        </w:rPr>
        <w:t>应当在规定的澄清时限内以书面形式提交，</w:t>
      </w:r>
      <w:r>
        <w:rPr>
          <w:rFonts w:hint="eastAsia" w:ascii="宋体" w:hAnsi="宋体" w:eastAsia="宋体" w:cs="宋体"/>
          <w:sz w:val="24"/>
          <w:lang w:eastAsia="zh-CN"/>
        </w:rPr>
        <w:t>潜在供应商</w:t>
      </w:r>
      <w:r>
        <w:rPr>
          <w:rFonts w:hint="eastAsia" w:ascii="宋体" w:hAnsi="宋体" w:eastAsia="宋体" w:cs="宋体"/>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948"/>
        <w:gridCol w:w="7786"/>
      </w:tblGrid>
      <w:tr w14:paraId="4575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906" w:type="dxa"/>
            <w:vAlign w:val="center"/>
          </w:tcPr>
          <w:p w14:paraId="21184C7C">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评审分项</w:t>
            </w:r>
          </w:p>
        </w:tc>
        <w:tc>
          <w:tcPr>
            <w:tcW w:w="948" w:type="dxa"/>
            <w:vAlign w:val="center"/>
          </w:tcPr>
          <w:p w14:paraId="7C6E7795">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分项分值</w:t>
            </w:r>
          </w:p>
        </w:tc>
        <w:tc>
          <w:tcPr>
            <w:tcW w:w="7786" w:type="dxa"/>
            <w:vAlign w:val="center"/>
          </w:tcPr>
          <w:p w14:paraId="24E3B2A0">
            <w:pPr>
              <w:spacing w:line="42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r>
      <w:tr w14:paraId="0963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06" w:type="dxa"/>
            <w:vAlign w:val="center"/>
          </w:tcPr>
          <w:p w14:paraId="7647251A">
            <w:pPr>
              <w:spacing w:line="480" w:lineRule="exact"/>
              <w:ind w:left="-119" w:leftChars="-56" w:right="-95" w:rightChars="-45"/>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投标报价</w:t>
            </w:r>
          </w:p>
        </w:tc>
        <w:tc>
          <w:tcPr>
            <w:tcW w:w="948" w:type="dxa"/>
            <w:vAlign w:val="center"/>
          </w:tcPr>
          <w:p w14:paraId="004AF3B1">
            <w:pPr>
              <w:spacing w:line="480" w:lineRule="exact"/>
              <w:ind w:left="-119" w:leftChars="-56" w:right="-95" w:rightChars="-4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30分</w:t>
            </w:r>
          </w:p>
        </w:tc>
        <w:tc>
          <w:tcPr>
            <w:tcW w:w="7786" w:type="dxa"/>
            <w:vAlign w:val="center"/>
          </w:tcPr>
          <w:p w14:paraId="21D538C5">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按照财政部《政府采购货物和服务磋商投标管理办法》（财政部令第87号）的有关规定：价格分采用低价优先法计算，即满磋商文件要求且磋商价格最低的磋商报价为磋商基准价，其价格分为满分。其他供应商的价格分统一按照下列公式计算：</w:t>
            </w:r>
            <w:r>
              <w:rPr>
                <w:rFonts w:hint="eastAsia" w:ascii="宋体" w:hAnsi="宋体" w:eastAsia="宋体" w:cs="宋体"/>
                <w:b/>
                <w:bCs/>
                <w:color w:val="auto"/>
                <w:kern w:val="2"/>
                <w:sz w:val="20"/>
                <w:szCs w:val="20"/>
                <w:highlight w:val="none"/>
                <w:lang w:val="en-US" w:eastAsia="zh-CN" w:bidi="ar-SA"/>
              </w:rPr>
              <w:t>报价得分=（磋商基准价/磋商报价）×价格权值（即30%）×100计算分数时四舍五入取小数点后两位</w:t>
            </w:r>
          </w:p>
          <w:p w14:paraId="2FA23C27">
            <w:pPr>
              <w:spacing w:line="240" w:lineRule="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2"/>
                <w:sz w:val="20"/>
                <w:szCs w:val="20"/>
                <w:highlight w:val="none"/>
                <w:lang w:val="en-US" w:eastAsia="zh-CN" w:bidi="ar-SA"/>
              </w:rPr>
              <w:t>备注：因本项目不专门面向中小企业采购，磋商报价得分针对《政府采购促进中小企业发展管理办法》的通知--财库〔2020〕46号，中小企业享受10%价格扣除计算。</w:t>
            </w:r>
          </w:p>
          <w:p w14:paraId="1FE30996">
            <w:pP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kern w:val="2"/>
                <w:sz w:val="20"/>
                <w:szCs w:val="20"/>
                <w:highlight w:val="none"/>
                <w:lang w:val="en-US" w:eastAsia="zh-CN" w:bidi="ar-SA"/>
              </w:rPr>
              <w:t>本项目所属行业：工业</w:t>
            </w:r>
          </w:p>
        </w:tc>
      </w:tr>
      <w:tr w14:paraId="525E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906" w:type="dxa"/>
            <w:noWrap w:val="0"/>
            <w:vAlign w:val="center"/>
          </w:tcPr>
          <w:p w14:paraId="336A0E7B">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技术</w:t>
            </w:r>
          </w:p>
          <w:p w14:paraId="3E2AD2AD">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参数</w:t>
            </w:r>
          </w:p>
        </w:tc>
        <w:tc>
          <w:tcPr>
            <w:tcW w:w="948" w:type="dxa"/>
            <w:noWrap w:val="0"/>
            <w:vAlign w:val="center"/>
          </w:tcPr>
          <w:p w14:paraId="7F6922D4">
            <w:pPr>
              <w:spacing w:line="480" w:lineRule="exact"/>
              <w:ind w:left="-119" w:leftChars="-56" w:right="-95" w:rightChars="-45"/>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40</w:t>
            </w:r>
            <w:r>
              <w:rPr>
                <w:rFonts w:hint="eastAsia" w:ascii="宋体" w:hAnsi="宋体" w:cs="宋体"/>
                <w:color w:val="auto"/>
                <w:szCs w:val="21"/>
                <w:highlight w:val="none"/>
                <w:lang w:val="en-US" w:eastAsia="zh-Hans"/>
              </w:rPr>
              <w:t>分</w:t>
            </w:r>
          </w:p>
        </w:tc>
        <w:tc>
          <w:tcPr>
            <w:tcW w:w="7786" w:type="dxa"/>
            <w:noWrap w:val="0"/>
            <w:vAlign w:val="top"/>
          </w:tcPr>
          <w:p w14:paraId="6E219BC1">
            <w:pPr>
              <w:numPr>
                <w:ilvl w:val="0"/>
                <w:numId w:val="3"/>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基本分：所投产品的技术参数完全符合、响应</w:t>
            </w:r>
            <w:r>
              <w:rPr>
                <w:rFonts w:hint="eastAsia" w:ascii="宋体" w:hAnsi="宋体" w:cs="宋体"/>
                <w:b w:val="0"/>
                <w:bCs w:val="0"/>
                <w:color w:val="auto"/>
                <w:kern w:val="2"/>
                <w:sz w:val="21"/>
                <w:szCs w:val="21"/>
                <w:highlight w:val="none"/>
                <w:lang w:val="en-US" w:eastAsia="zh-CN" w:bidi="ar-SA"/>
              </w:rPr>
              <w:t>磋商文件</w:t>
            </w:r>
            <w:r>
              <w:rPr>
                <w:rFonts w:hint="eastAsia" w:ascii="宋体" w:hAnsi="宋体" w:eastAsia="宋体" w:cs="宋体"/>
                <w:b w:val="0"/>
                <w:bCs w:val="0"/>
                <w:color w:val="auto"/>
                <w:kern w:val="2"/>
                <w:sz w:val="21"/>
                <w:szCs w:val="21"/>
                <w:highlight w:val="none"/>
                <w:lang w:val="en-US" w:eastAsia="zh-CN" w:bidi="ar-SA"/>
              </w:rPr>
              <w:t>要求，没有负偏离计</w:t>
            </w:r>
            <w:r>
              <w:rPr>
                <w:rFonts w:hint="eastAsia" w:ascii="宋体" w:hAnsi="宋体" w:cs="宋体"/>
                <w:b w:val="0"/>
                <w:bCs w:val="0"/>
                <w:color w:val="auto"/>
                <w:kern w:val="2"/>
                <w:sz w:val="21"/>
                <w:szCs w:val="21"/>
                <w:highlight w:val="none"/>
                <w:lang w:val="en-US" w:eastAsia="zh-CN" w:bidi="ar-SA"/>
              </w:rPr>
              <w:t>30</w:t>
            </w:r>
            <w:r>
              <w:rPr>
                <w:rFonts w:hint="eastAsia" w:ascii="宋体" w:hAnsi="宋体" w:eastAsia="宋体" w:cs="宋体"/>
                <w:b w:val="0"/>
                <w:bCs w:val="0"/>
                <w:color w:val="auto"/>
                <w:kern w:val="2"/>
                <w:sz w:val="21"/>
                <w:szCs w:val="21"/>
                <w:highlight w:val="none"/>
                <w:lang w:val="en-US" w:eastAsia="zh-CN" w:bidi="ar-SA"/>
              </w:rPr>
              <w:t>分。</w:t>
            </w:r>
          </w:p>
          <w:p w14:paraId="47AB016B">
            <w:pPr>
              <w:numPr>
                <w:ilvl w:val="0"/>
                <w:numId w:val="0"/>
              </w:numPr>
              <w:spacing w:line="240" w:lineRule="auto"/>
              <w:ind w:firstLine="213" w:firstLineChars="1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参数均需提供证明材料,比如产品截图证明、第三方权威机构的认证证书、第三方权威机构的认证报告等,并加盖厂商公章,佐证材料应编制在投标文件中（提供支撑材料需真实有效，否则引发的不利后果由投标人自行承担）。"▲"参数未提供上述证明材料的缺一项扣1分,最低扣至0分。</w:t>
            </w:r>
          </w:p>
          <w:p w14:paraId="77D2C635">
            <w:pPr>
              <w:numPr>
                <w:ilvl w:val="0"/>
                <w:numId w:val="0"/>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（二）</w:t>
            </w:r>
            <w:r>
              <w:rPr>
                <w:rFonts w:hint="eastAsia" w:ascii="宋体" w:hAnsi="宋体" w:eastAsia="宋体" w:cs="宋体"/>
                <w:b w:val="0"/>
                <w:bCs w:val="0"/>
                <w:color w:val="auto"/>
                <w:kern w:val="2"/>
                <w:sz w:val="21"/>
                <w:szCs w:val="21"/>
                <w:highlight w:val="none"/>
                <w:lang w:val="en-US" w:eastAsia="zh-CN" w:bidi="ar-SA"/>
              </w:rPr>
              <w:t>加分项：技术参数每优于一项加</w:t>
            </w:r>
            <w:r>
              <w:rPr>
                <w:rFonts w:hint="eastAsia" w:ascii="宋体" w:hAnsi="宋体" w:cs="宋体"/>
                <w:b w:val="0"/>
                <w:bCs w:val="0"/>
                <w:color w:val="auto"/>
                <w:kern w:val="2"/>
                <w:sz w:val="21"/>
                <w:szCs w:val="21"/>
                <w:highlight w:val="none"/>
                <w:lang w:val="en-US" w:eastAsia="zh-CN" w:bidi="ar-SA"/>
              </w:rPr>
              <w:t>0.5</w:t>
            </w:r>
            <w:r>
              <w:rPr>
                <w:rFonts w:hint="eastAsia" w:ascii="宋体" w:hAnsi="宋体" w:eastAsia="宋体" w:cs="宋体"/>
                <w:b w:val="0"/>
                <w:bCs w:val="0"/>
                <w:color w:val="auto"/>
                <w:kern w:val="2"/>
                <w:sz w:val="21"/>
                <w:szCs w:val="21"/>
                <w:highlight w:val="none"/>
                <w:lang w:val="en-US" w:eastAsia="zh-CN" w:bidi="ar-SA"/>
              </w:rPr>
              <w:t>分，最高</w:t>
            </w:r>
            <w:r>
              <w:rPr>
                <w:rFonts w:hint="eastAsia" w:ascii="宋体" w:hAnsi="宋体" w:cs="宋体"/>
                <w:b w:val="0"/>
                <w:bCs w:val="0"/>
                <w:color w:val="auto"/>
                <w:kern w:val="2"/>
                <w:sz w:val="21"/>
                <w:szCs w:val="21"/>
                <w:highlight w:val="none"/>
                <w:lang w:val="en-US" w:eastAsia="zh-CN" w:bidi="ar-SA"/>
              </w:rPr>
              <w:t>10</w:t>
            </w:r>
            <w:r>
              <w:rPr>
                <w:rFonts w:hint="eastAsia" w:ascii="宋体" w:hAnsi="宋体" w:eastAsia="宋体" w:cs="宋体"/>
                <w:b w:val="0"/>
                <w:bCs w:val="0"/>
                <w:color w:val="auto"/>
                <w:kern w:val="2"/>
                <w:sz w:val="21"/>
                <w:szCs w:val="21"/>
                <w:highlight w:val="none"/>
                <w:lang w:val="en-US" w:eastAsia="zh-CN" w:bidi="ar-SA"/>
              </w:rPr>
              <w:t>分（参数相同的优于项按一项计算）；</w:t>
            </w:r>
          </w:p>
          <w:p w14:paraId="5583B2E8">
            <w:pPr>
              <w:numPr>
                <w:ilvl w:val="0"/>
                <w:numId w:val="0"/>
              </w:numPr>
              <w:spacing w:line="240" w:lineRule="auto"/>
              <w:ind w:left="106"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技术参数投标人应提供充足的佐证材料（佐证材料包括但不限于：产品彩页、第三方检测报告、官网截图等证明材料）予以佐证，未提供不得分，佐证材料应编制在投标文件中（提供支撑材料需真实有效，否则引发的不利后果由投标人自行承担）。</w:t>
            </w:r>
          </w:p>
        </w:tc>
      </w:tr>
      <w:tr w14:paraId="023F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1" w:hRule="atLeast"/>
          <w:jc w:val="center"/>
        </w:trPr>
        <w:tc>
          <w:tcPr>
            <w:tcW w:w="906" w:type="dxa"/>
            <w:noWrap w:val="0"/>
            <w:vAlign w:val="center"/>
          </w:tcPr>
          <w:p w14:paraId="170AA4A7">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实施</w:t>
            </w:r>
          </w:p>
          <w:p w14:paraId="4BE4A000">
            <w:pPr>
              <w:spacing w:line="480" w:lineRule="exact"/>
              <w:ind w:right="-95" w:rightChars="-45"/>
              <w:jc w:val="center"/>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方案</w:t>
            </w:r>
          </w:p>
        </w:tc>
        <w:tc>
          <w:tcPr>
            <w:tcW w:w="948" w:type="dxa"/>
            <w:noWrap w:val="0"/>
            <w:vAlign w:val="center"/>
          </w:tcPr>
          <w:p w14:paraId="518EC62E">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center"/>
          </w:tcPr>
          <w:p w14:paraId="43465360">
            <w:pPr>
              <w:numPr>
                <w:ilvl w:val="0"/>
                <w:numId w:val="4"/>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评审内容 投标人需针对本项目提供完整的项目实施方案。内容包含：①供货组织安排、物力调配及保障措施②安装调试验收。</w:t>
            </w:r>
          </w:p>
          <w:p w14:paraId="57B7CBB6">
            <w:pPr>
              <w:numPr>
                <w:ilvl w:val="0"/>
                <w:numId w:val="4"/>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43AB8D5C">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实施方案</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4DF3C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6" w:type="dxa"/>
            <w:noWrap w:val="0"/>
            <w:vAlign w:val="center"/>
          </w:tcPr>
          <w:p w14:paraId="543682E1">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培训</w:t>
            </w:r>
          </w:p>
          <w:p w14:paraId="7FD1CA3E">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方案</w:t>
            </w:r>
          </w:p>
        </w:tc>
        <w:tc>
          <w:tcPr>
            <w:tcW w:w="948" w:type="dxa"/>
            <w:noWrap w:val="0"/>
            <w:vAlign w:val="center"/>
          </w:tcPr>
          <w:p w14:paraId="02D55AFD">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center"/>
          </w:tcPr>
          <w:p w14:paraId="30580295">
            <w:pPr>
              <w:numPr>
                <w:ilvl w:val="0"/>
                <w:numId w:val="5"/>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评审内容</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针对培训要求提供培训计划，为采购人培训操作维护人员，以保障使用过程中能熟练操作、维护和正常使用，培训方案内容包含①培训内容及方式②培训计划安排。</w:t>
            </w:r>
          </w:p>
          <w:p w14:paraId="399566F2">
            <w:pPr>
              <w:numPr>
                <w:ilvl w:val="0"/>
                <w:numId w:val="5"/>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2956EF72">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培训方案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7143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06" w:type="dxa"/>
            <w:noWrap w:val="0"/>
            <w:vAlign w:val="center"/>
          </w:tcPr>
          <w:p w14:paraId="79AD1A16">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质量</w:t>
            </w:r>
          </w:p>
          <w:p w14:paraId="5ACE9D1E">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保证</w:t>
            </w:r>
          </w:p>
        </w:tc>
        <w:tc>
          <w:tcPr>
            <w:tcW w:w="948" w:type="dxa"/>
            <w:noWrap w:val="0"/>
            <w:vAlign w:val="center"/>
          </w:tcPr>
          <w:p w14:paraId="1D710D73">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top"/>
          </w:tcPr>
          <w:p w14:paraId="62182FCE">
            <w:pPr>
              <w:numPr>
                <w:ilvl w:val="0"/>
                <w:numId w:val="6"/>
              </w:numPr>
              <w:spacing w:line="240" w:lineRule="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评审内容</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en-US" w:bidi="ar-SA"/>
              </w:rPr>
              <w:t>根据项目实际需求，提供质量保证方案。内容包含：①产品性能、使用寿命及效果②质量保证措施。</w:t>
            </w:r>
          </w:p>
          <w:p w14:paraId="03BCBDD6">
            <w:pPr>
              <w:numPr>
                <w:ilvl w:val="0"/>
                <w:numId w:val="6"/>
              </w:numPr>
              <w:spacing w:line="240" w:lineRule="auto"/>
              <w:ind w:left="0" w:leftChars="0" w:firstLine="0" w:firstLineChars="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评审标准</w:t>
            </w:r>
          </w:p>
          <w:p w14:paraId="2115ABEA">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质量保证</w:t>
            </w:r>
            <w:r>
              <w:rPr>
                <w:rFonts w:hint="eastAsia" w:ascii="宋体" w:hAnsi="宋体" w:eastAsia="宋体" w:cs="宋体"/>
                <w:b w:val="0"/>
                <w:bCs w:val="0"/>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质量保证缺漏项或只有标题没有实质性内容的扣1分，扣完为止。</w:t>
            </w:r>
          </w:p>
        </w:tc>
      </w:tr>
      <w:tr w14:paraId="010F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6" w:type="dxa"/>
            <w:noWrap w:val="0"/>
            <w:vAlign w:val="center"/>
          </w:tcPr>
          <w:p w14:paraId="1D6A20BD">
            <w:pPr>
              <w:spacing w:line="480" w:lineRule="exact"/>
              <w:ind w:right="-95" w:rightChars="-45"/>
              <w:jc w:val="center"/>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售后</w:t>
            </w:r>
          </w:p>
          <w:p w14:paraId="78F2DE77">
            <w:pPr>
              <w:spacing w:line="480" w:lineRule="exact"/>
              <w:ind w:right="-95" w:rightChars="-45"/>
              <w:jc w:val="center"/>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服务</w:t>
            </w:r>
          </w:p>
        </w:tc>
        <w:tc>
          <w:tcPr>
            <w:tcW w:w="948" w:type="dxa"/>
            <w:noWrap w:val="0"/>
            <w:vAlign w:val="center"/>
          </w:tcPr>
          <w:p w14:paraId="39D44983">
            <w:pPr>
              <w:spacing w:line="480" w:lineRule="exact"/>
              <w:ind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5分</w:t>
            </w:r>
          </w:p>
        </w:tc>
        <w:tc>
          <w:tcPr>
            <w:tcW w:w="7786" w:type="dxa"/>
            <w:noWrap w:val="0"/>
            <w:vAlign w:val="center"/>
          </w:tcPr>
          <w:p w14:paraId="424DE21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一、</w:t>
            </w:r>
            <w:r>
              <w:rPr>
                <w:rFonts w:hint="eastAsia" w:ascii="宋体" w:hAnsi="宋体" w:eastAsia="宋体" w:cs="宋体"/>
                <w:color w:val="auto"/>
                <w:kern w:val="2"/>
                <w:sz w:val="21"/>
                <w:szCs w:val="21"/>
                <w:highlight w:val="none"/>
                <w:lang w:val="en-US" w:eastAsia="zh-CN" w:bidi="ar-SA"/>
              </w:rPr>
              <w:t xml:space="preserve">评审内容 投标人提供针对本项目的售后服务方案，包括①售后服务标准及质量监督机制；②售后服务机构；③售后服务响应时间；④质保期内的维护保养及相关技术支持方案。 </w:t>
            </w:r>
          </w:p>
          <w:p w14:paraId="68EB323A">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二、</w:t>
            </w:r>
            <w:r>
              <w:rPr>
                <w:rFonts w:hint="eastAsia" w:ascii="宋体" w:hAnsi="宋体" w:eastAsia="宋体" w:cs="宋体"/>
                <w:b w:val="0"/>
                <w:bCs w:val="0"/>
                <w:color w:val="auto"/>
                <w:kern w:val="2"/>
                <w:sz w:val="21"/>
                <w:szCs w:val="21"/>
                <w:highlight w:val="none"/>
                <w:lang w:val="en-US" w:eastAsia="zh-CN" w:bidi="ar-SA"/>
              </w:rPr>
              <w:t>评审标准</w:t>
            </w:r>
          </w:p>
          <w:p w14:paraId="61DA035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售后服务</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w:t>
            </w:r>
            <w:r>
              <w:rPr>
                <w:rFonts w:hint="eastAsia" w:ascii="宋体" w:hAnsi="宋体" w:cs="宋体"/>
                <w:color w:val="auto"/>
                <w:kern w:val="2"/>
                <w:sz w:val="21"/>
                <w:szCs w:val="21"/>
                <w:highlight w:val="none"/>
                <w:lang w:val="en-US" w:eastAsia="zh-CN" w:bidi="ar-SA"/>
              </w:rPr>
              <w:t>售后服务</w:t>
            </w:r>
            <w:r>
              <w:rPr>
                <w:rFonts w:hint="eastAsia" w:ascii="宋体" w:hAnsi="宋体" w:eastAsia="宋体" w:cs="宋体"/>
                <w:color w:val="auto"/>
                <w:kern w:val="2"/>
                <w:sz w:val="21"/>
                <w:szCs w:val="21"/>
                <w:highlight w:val="none"/>
                <w:lang w:val="en-US" w:eastAsia="zh-CN" w:bidi="ar-SA"/>
              </w:rPr>
              <w:t>缺漏项或只有标题没有实质性内容的扣1分，扣完为止。</w:t>
            </w:r>
          </w:p>
        </w:tc>
      </w:tr>
      <w:tr w14:paraId="1B92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06" w:type="dxa"/>
            <w:noWrap w:val="0"/>
            <w:vAlign w:val="center"/>
          </w:tcPr>
          <w:p w14:paraId="26A0F636">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业绩</w:t>
            </w:r>
          </w:p>
        </w:tc>
        <w:tc>
          <w:tcPr>
            <w:tcW w:w="948" w:type="dxa"/>
            <w:noWrap w:val="0"/>
            <w:vAlign w:val="center"/>
          </w:tcPr>
          <w:p w14:paraId="4F913204">
            <w:pPr>
              <w:spacing w:line="480" w:lineRule="exact"/>
              <w:ind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10分</w:t>
            </w:r>
          </w:p>
        </w:tc>
        <w:tc>
          <w:tcPr>
            <w:tcW w:w="7786" w:type="dxa"/>
            <w:noWrap w:val="0"/>
            <w:vAlign w:val="center"/>
          </w:tcPr>
          <w:p w14:paraId="1C2F625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提供投标人2023年</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月1日至今</w:t>
            </w:r>
            <w:r>
              <w:rPr>
                <w:rFonts w:hint="eastAsia" w:ascii="宋体" w:hAnsi="宋体" w:cs="宋体"/>
                <w:color w:val="auto"/>
                <w:kern w:val="2"/>
                <w:sz w:val="21"/>
                <w:szCs w:val="21"/>
                <w:highlight w:val="none"/>
                <w:lang w:val="en-US" w:eastAsia="zh-CN" w:bidi="ar-SA"/>
              </w:rPr>
              <w:t>类似</w:t>
            </w:r>
            <w:r>
              <w:rPr>
                <w:rFonts w:hint="eastAsia" w:ascii="宋体" w:hAnsi="宋体" w:eastAsia="宋体" w:cs="宋体"/>
                <w:color w:val="auto"/>
                <w:kern w:val="2"/>
                <w:sz w:val="21"/>
                <w:szCs w:val="21"/>
                <w:highlight w:val="none"/>
                <w:lang w:val="en-US" w:eastAsia="zh-CN" w:bidi="ar-SA"/>
              </w:rPr>
              <w:t>项目合同（以合同签订日期为准），每提供1个得2分，最高得10分。</w:t>
            </w:r>
          </w:p>
          <w:p w14:paraId="2C62C87D">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备注：提供标明合同买卖双方、货物名称及数量的销售合同或中标通知书为准（复印件加盖公章）。</w:t>
            </w:r>
          </w:p>
        </w:tc>
      </w:tr>
      <w:tr w14:paraId="7610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640" w:type="dxa"/>
            <w:gridSpan w:val="3"/>
            <w:noWrap w:val="0"/>
            <w:vAlign w:val="center"/>
          </w:tcPr>
          <w:p w14:paraId="7D35C590">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汇总上述各项得分，按由高至低的顺序确定成交候选人。</w:t>
            </w:r>
          </w:p>
          <w:p w14:paraId="32E37211">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2、计算采用低价优先法，数据汇总时保留小数点后两位，第三位四舍五入。</w:t>
            </w:r>
          </w:p>
          <w:p w14:paraId="0152AFE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3、当递交磋商文件的供应商少于三个或经磋商委员会评审合格的供应商少于三个且明显缺乏竞争时，集中采购机构将依法重新组织磋商。</w:t>
            </w:r>
          </w:p>
          <w:p w14:paraId="68F627E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4、磋商委员会成员应写出评审报告，并在评标原始记录上签名。</w:t>
            </w:r>
          </w:p>
          <w:p w14:paraId="25BB75FF">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5、磋商文件的其它否决条件按相关法律、法规和规定执行。</w:t>
            </w:r>
          </w:p>
          <w:p w14:paraId="178964E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6、未尽事宜按有关规定执行。本文件最终解释权为集中采购机构。</w:t>
            </w:r>
          </w:p>
        </w:tc>
      </w:tr>
    </w:tbl>
    <w:p w14:paraId="52DAA8E8">
      <w:pPr>
        <w:spacing w:line="360" w:lineRule="auto"/>
        <w:ind w:firstLine="486" w:firstLineChars="200"/>
        <w:rPr>
          <w:rFonts w:hint="eastAsia" w:ascii="宋体" w:hAnsi="宋体" w:eastAsia="宋体" w:cs="宋体"/>
          <w:b/>
          <w:sz w:val="24"/>
        </w:rPr>
      </w:pPr>
      <w:r>
        <w:rPr>
          <w:rFonts w:hint="eastAsia" w:ascii="宋体" w:hAnsi="宋体" w:cs="宋体"/>
          <w:b/>
          <w:sz w:val="24"/>
          <w:lang w:val="en-US" w:eastAsia="zh-CN"/>
        </w:rPr>
        <w:t>9.</w:t>
      </w:r>
      <w:r>
        <w:rPr>
          <w:rFonts w:hint="eastAsia" w:ascii="宋体" w:hAnsi="宋体" w:eastAsia="宋体" w:cs="宋体"/>
          <w:b/>
          <w:sz w:val="24"/>
        </w:rPr>
        <w:t>相同品牌评审依据</w:t>
      </w:r>
    </w:p>
    <w:p w14:paraId="49279121">
      <w:pPr>
        <w:ind w:firstLine="426" w:firstLineChars="200"/>
        <w:rPr>
          <w:rFonts w:hint="eastAsia"/>
        </w:rPr>
      </w:pPr>
      <w:r>
        <w:rPr>
          <w:rFonts w:hint="eastAsia"/>
          <w:lang w:val="en-US" w:eastAsia="zh-CN"/>
        </w:rPr>
        <w:t>1）</w:t>
      </w:r>
      <w:r>
        <w:rPr>
          <w:rFonts w:hint="eastAsia"/>
        </w:rPr>
        <w:t>采用最低评标价法的采购项目，</w:t>
      </w:r>
      <w:r>
        <w:rPr>
          <w:rFonts w:hint="eastAsia"/>
          <w:b/>
          <w:bCs/>
        </w:rPr>
        <w:t>提供相同核心产品品牌</w:t>
      </w:r>
      <w:r>
        <w:rPr>
          <w:rFonts w:hint="eastAsia"/>
        </w:rPr>
        <w:t>的不同</w:t>
      </w:r>
      <w:r>
        <w:rPr>
          <w:rFonts w:hint="eastAsia"/>
          <w:lang w:eastAsia="zh-CN"/>
        </w:rPr>
        <w:t>供应商</w:t>
      </w:r>
      <w:r>
        <w:rPr>
          <w:rFonts w:hint="eastAsia"/>
        </w:rPr>
        <w:t>参加</w:t>
      </w:r>
      <w:r>
        <w:rPr>
          <w:rFonts w:hint="eastAsia"/>
          <w:b/>
          <w:bCs/>
        </w:rPr>
        <w:t>同一合同项</w:t>
      </w:r>
      <w:r>
        <w:rPr>
          <w:rFonts w:hint="eastAsia"/>
        </w:rPr>
        <w:t>下投标的，以其中通过资格审查、符合性审查且报价最低的参加评审；报价相同的，由采购人或者采购人委托磋商小组按照竞争性磋商文件规定的方式确定一个参加评审的</w:t>
      </w:r>
      <w:r>
        <w:rPr>
          <w:rFonts w:hint="eastAsia"/>
          <w:lang w:eastAsia="zh-CN"/>
        </w:rPr>
        <w:t>供应商</w:t>
      </w:r>
      <w:r>
        <w:rPr>
          <w:rFonts w:hint="eastAsia"/>
        </w:rPr>
        <w:t>，竞争性磋商文件未规定的采取随机抽取方式确定，其他投标无效。</w:t>
      </w:r>
    </w:p>
    <w:p w14:paraId="40A6A716">
      <w:pPr>
        <w:ind w:firstLine="426" w:firstLineChars="200"/>
        <w:rPr>
          <w:rFonts w:hint="eastAsia"/>
        </w:rPr>
      </w:pPr>
      <w:r>
        <w:rPr>
          <w:rFonts w:hint="eastAsia"/>
          <w:lang w:val="en-US" w:eastAsia="zh-CN"/>
        </w:rPr>
        <w:t>2）</w:t>
      </w:r>
      <w:r>
        <w:rPr>
          <w:rFonts w:hint="eastAsia"/>
        </w:rPr>
        <w:t>使用综合评分法的采购项目，提供相同核心产品品牌且通过资格审查、符合性审查的不同</w:t>
      </w:r>
      <w:r>
        <w:rPr>
          <w:rFonts w:hint="eastAsia"/>
          <w:lang w:eastAsia="zh-CN"/>
        </w:rPr>
        <w:t>供应商</w:t>
      </w:r>
      <w:r>
        <w:rPr>
          <w:rFonts w:hint="eastAsia"/>
        </w:rPr>
        <w:t>参加同一合同项下投标的，按一家</w:t>
      </w:r>
      <w:r>
        <w:rPr>
          <w:rFonts w:hint="eastAsia"/>
          <w:lang w:eastAsia="zh-CN"/>
        </w:rPr>
        <w:t>供应商</w:t>
      </w:r>
      <w:r>
        <w:rPr>
          <w:rFonts w:hint="eastAsia"/>
        </w:rPr>
        <w:t>计算，评审后得分最高的相同核心产品品牌</w:t>
      </w:r>
      <w:r>
        <w:rPr>
          <w:rFonts w:hint="eastAsia"/>
          <w:lang w:eastAsia="zh-CN"/>
        </w:rPr>
        <w:t>供应商</w:t>
      </w:r>
      <w:r>
        <w:rPr>
          <w:rFonts w:hint="eastAsia"/>
        </w:rPr>
        <w:t>获得成交</w:t>
      </w:r>
      <w:r>
        <w:rPr>
          <w:rFonts w:hint="eastAsia"/>
          <w:lang w:eastAsia="zh-CN"/>
        </w:rPr>
        <w:t>供应商</w:t>
      </w:r>
      <w:r>
        <w:rPr>
          <w:rFonts w:hint="eastAsia"/>
        </w:rPr>
        <w:t>推荐资格；评审得分相同的，由采购人或者采购人委托磋商小组按照竞争性磋商文件规定的方式确定一个</w:t>
      </w:r>
      <w:r>
        <w:rPr>
          <w:rFonts w:hint="eastAsia"/>
          <w:lang w:eastAsia="zh-CN"/>
        </w:rPr>
        <w:t>供应商</w:t>
      </w:r>
      <w:r>
        <w:rPr>
          <w:rFonts w:hint="eastAsia"/>
        </w:rPr>
        <w:t>获得成交</w:t>
      </w:r>
      <w:r>
        <w:rPr>
          <w:rFonts w:hint="eastAsia"/>
          <w:lang w:eastAsia="zh-CN"/>
        </w:rPr>
        <w:t>供应商</w:t>
      </w:r>
      <w:r>
        <w:rPr>
          <w:rFonts w:hint="eastAsia"/>
        </w:rPr>
        <w:t>推荐资格，竞争性磋商文件未规定的采取随机抽取方式确定，其他相同核心产品品牌</w:t>
      </w:r>
      <w:r>
        <w:rPr>
          <w:rFonts w:hint="eastAsia"/>
          <w:lang w:eastAsia="zh-CN"/>
        </w:rPr>
        <w:t>供应商</w:t>
      </w:r>
      <w:r>
        <w:rPr>
          <w:rFonts w:hint="eastAsia"/>
        </w:rPr>
        <w:t>不作为成交候选人。</w:t>
      </w: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cs="宋体"/>
          <w:b/>
          <w:sz w:val="24"/>
          <w:lang w:val="en-US" w:eastAsia="zh-CN"/>
        </w:rPr>
        <w:t>10</w:t>
      </w:r>
      <w:r>
        <w:rPr>
          <w:rFonts w:hint="eastAsia" w:ascii="宋体" w:hAnsi="宋体" w:eastAsia="宋体" w:cs="宋体"/>
          <w:b/>
          <w:sz w:val="24"/>
        </w:rPr>
        <w:t>.推荐成交候选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w:t>
      </w:r>
      <w:r>
        <w:rPr>
          <w:rFonts w:hint="eastAsia" w:ascii="宋体" w:hAnsi="宋体" w:cs="宋体"/>
          <w:b/>
          <w:sz w:val="24"/>
          <w:lang w:val="en-US" w:eastAsia="zh-CN"/>
        </w:rPr>
        <w:t>1</w:t>
      </w:r>
      <w:r>
        <w:rPr>
          <w:rFonts w:hint="eastAsia" w:ascii="宋体" w:hAnsi="宋体" w:eastAsia="宋体" w:cs="宋体"/>
          <w:b/>
          <w:sz w:val="24"/>
        </w:rPr>
        <w:t>.在评审过程中，出现下列情况之一的，响应文件视为无效：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中华人民共和国政府采购法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w:t>
      </w:r>
      <w:r>
        <w:rPr>
          <w:rFonts w:hint="eastAsia" w:ascii="宋体" w:hAnsi="宋体" w:cs="宋体"/>
          <w:b/>
          <w:bCs/>
          <w:sz w:val="24"/>
          <w:lang w:val="en-US" w:eastAsia="zh-CN"/>
        </w:rPr>
        <w:t>3</w:t>
      </w:r>
      <w:r>
        <w:rPr>
          <w:rFonts w:hint="eastAsia" w:ascii="宋体" w:hAnsi="宋体" w:eastAsia="宋体" w:cs="宋体"/>
          <w:b/>
          <w:bCs/>
          <w:sz w:val="24"/>
        </w:rPr>
        <w:t>.签订政府采购合同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（6）</w:t>
      </w:r>
      <w:r>
        <w:rPr>
          <w:rFonts w:hint="eastAsia" w:ascii="宋体" w:hAnsi="宋体" w:eastAsia="宋体" w:cs="宋体"/>
          <w:b/>
          <w:bCs/>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ind w:firstLine="729" w:firstLineChars="300"/>
        <w:rPr>
          <w:rFonts w:hint="eastAsia" w:ascii="宋体" w:hAnsi="宋体" w:eastAsia="宋体" w:cs="宋体"/>
          <w:b/>
          <w:bCs/>
          <w:sz w:val="24"/>
        </w:rPr>
      </w:pPr>
      <w:r>
        <w:rPr>
          <w:rFonts w:hint="eastAsia" w:ascii="宋体" w:hAnsi="宋体" w:eastAsia="宋体" w:cs="宋体"/>
          <w:b/>
          <w:bCs/>
          <w:sz w:val="24"/>
        </w:rPr>
        <w:t>1</w:t>
      </w:r>
      <w:r>
        <w:rPr>
          <w:rFonts w:hint="eastAsia" w:ascii="宋体" w:hAnsi="宋体" w:cs="宋体"/>
          <w:b/>
          <w:bCs/>
          <w:sz w:val="24"/>
          <w:lang w:val="en-US" w:eastAsia="zh-CN"/>
        </w:rPr>
        <w:t>4</w:t>
      </w:r>
      <w:r>
        <w:rPr>
          <w:rFonts w:hint="eastAsia" w:ascii="宋体" w:hAnsi="宋体" w:eastAsia="宋体" w:cs="宋体"/>
          <w:b/>
          <w:bCs/>
          <w:sz w:val="24"/>
        </w:rPr>
        <w:t>.其他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p w14:paraId="4AB9E6B6">
      <w:pPr>
        <w:spacing w:line="360" w:lineRule="auto"/>
        <w:ind w:firstLine="486" w:firstLineChars="200"/>
        <w:rPr>
          <w:rFonts w:hint="eastAsia" w:ascii="宋体" w:hAnsi="宋体" w:eastAsia="宋体" w:cs="宋体"/>
          <w:sz w:val="24"/>
        </w:rPr>
      </w:pPr>
    </w:p>
    <w:p w14:paraId="0DB26A7D">
      <w:pPr>
        <w:spacing w:line="360" w:lineRule="auto"/>
        <w:ind w:firstLine="486" w:firstLineChars="200"/>
        <w:rPr>
          <w:rFonts w:hint="eastAsia" w:ascii="宋体" w:hAnsi="宋体" w:eastAsia="宋体" w:cs="宋体"/>
          <w:sz w:val="24"/>
        </w:rPr>
      </w:pPr>
    </w:p>
    <w:p w14:paraId="14544E35">
      <w:pPr>
        <w:spacing w:line="360" w:lineRule="auto"/>
        <w:ind w:firstLine="486" w:firstLineChars="200"/>
        <w:rPr>
          <w:rFonts w:hint="eastAsia" w:ascii="宋体" w:hAnsi="宋体" w:eastAsia="宋体" w:cs="宋体"/>
          <w:sz w:val="24"/>
        </w:rPr>
      </w:pPr>
    </w:p>
    <w:p w14:paraId="1E4C6CE5">
      <w:pPr>
        <w:spacing w:line="360" w:lineRule="auto"/>
        <w:ind w:firstLine="486" w:firstLineChars="200"/>
        <w:rPr>
          <w:rFonts w:hint="eastAsia" w:ascii="宋体" w:hAnsi="宋体" w:eastAsia="宋体" w:cs="宋体"/>
          <w:sz w:val="24"/>
        </w:rPr>
      </w:pPr>
    </w:p>
    <w:p w14:paraId="030ADA59">
      <w:pPr>
        <w:spacing w:line="360" w:lineRule="auto"/>
        <w:ind w:firstLine="486" w:firstLineChars="200"/>
        <w:rPr>
          <w:rFonts w:hint="eastAsia" w:ascii="宋体" w:hAnsi="宋体" w:eastAsia="宋体" w:cs="宋体"/>
          <w:sz w:val="24"/>
        </w:rPr>
      </w:pPr>
    </w:p>
    <w:p w14:paraId="5C9D3BE1">
      <w:pPr>
        <w:spacing w:line="360" w:lineRule="auto"/>
        <w:ind w:firstLine="486" w:firstLineChars="200"/>
        <w:rPr>
          <w:rFonts w:hint="eastAsia" w:ascii="宋体" w:hAnsi="宋体" w:eastAsia="宋体" w:cs="宋体"/>
          <w:sz w:val="24"/>
        </w:rPr>
      </w:pPr>
    </w:p>
    <w:p w14:paraId="48FED750">
      <w:pPr>
        <w:spacing w:line="360" w:lineRule="auto"/>
        <w:ind w:firstLine="486" w:firstLineChars="200"/>
        <w:rPr>
          <w:rFonts w:hint="eastAsia" w:ascii="宋体" w:hAnsi="宋体" w:eastAsia="宋体" w:cs="宋体"/>
          <w:sz w:val="24"/>
        </w:rPr>
      </w:pPr>
    </w:p>
    <w:p w14:paraId="14668522">
      <w:pPr>
        <w:spacing w:line="360" w:lineRule="auto"/>
        <w:rPr>
          <w:rFonts w:hint="eastAsia" w:ascii="宋体" w:hAnsi="宋体" w:eastAsia="宋体" w:cs="宋体"/>
          <w:sz w:val="24"/>
        </w:rPr>
      </w:pPr>
    </w:p>
    <w:p w14:paraId="06E03AF4">
      <w:pPr>
        <w:spacing w:line="360" w:lineRule="auto"/>
        <w:rPr>
          <w:rFonts w:hint="eastAsia" w:ascii="宋体" w:hAnsi="宋体" w:eastAsia="宋体" w:cs="宋体"/>
          <w:sz w:val="24"/>
        </w:rPr>
      </w:pPr>
    </w:p>
    <w:p w14:paraId="38AC1038">
      <w:pPr>
        <w:spacing w:line="360" w:lineRule="auto"/>
        <w:rPr>
          <w:rFonts w:hint="eastAsia" w:ascii="宋体" w:hAnsi="宋体" w:eastAsia="宋体" w:cs="宋体"/>
          <w:sz w:val="24"/>
        </w:rPr>
      </w:pPr>
    </w:p>
    <w:p w14:paraId="1A991F01">
      <w:pPr>
        <w:spacing w:line="360" w:lineRule="auto"/>
        <w:rPr>
          <w:rFonts w:hint="eastAsia" w:ascii="宋体" w:hAnsi="宋体" w:eastAsia="宋体" w:cs="宋体"/>
          <w:sz w:val="24"/>
        </w:rPr>
      </w:pPr>
    </w:p>
    <w:tbl>
      <w:tblPr>
        <w:tblStyle w:val="21"/>
        <w:tblpPr w:leftFromText="180" w:rightFromText="180" w:vertAnchor="text" w:horzAnchor="page" w:tblpX="1525" w:tblpY="486"/>
        <w:tblOverlap w:val="never"/>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2344"/>
        <w:gridCol w:w="3733"/>
        <w:gridCol w:w="1033"/>
        <w:gridCol w:w="1507"/>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525"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7"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3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36"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78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7"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3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36"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78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7"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3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36"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78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7"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3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36"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78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7"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3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36"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78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7"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3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36"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78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7"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3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36"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78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7"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3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36"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78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7"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3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36"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78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7"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3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36"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78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7"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3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36"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78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7"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3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36"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78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7"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3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36"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78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7"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3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36"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78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7"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3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36"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78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7"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3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36"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78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7"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3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36"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78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7"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3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36"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78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7"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3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36"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78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7"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3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36"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78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7"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3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36"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78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25"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7"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3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36"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78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37802B70">
      <w:pPr>
        <w:spacing w:line="400" w:lineRule="exact"/>
        <w:ind w:firstLine="486" w:firstLineChars="200"/>
        <w:rPr>
          <w:rFonts w:hint="eastAsia" w:ascii="宋体" w:hAnsi="宋体" w:eastAsia="宋体" w:cs="宋体"/>
          <w:b/>
          <w:bCs/>
          <w:sz w:val="24"/>
          <w:szCs w:val="24"/>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1CCD8D36">
      <w:pPr>
        <w:pStyle w:val="2"/>
        <w:spacing w:before="0" w:after="0" w:line="24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color w:val="auto"/>
          <w:sz w:val="32"/>
          <w:szCs w:val="32"/>
          <w:highlight w:val="none"/>
        </w:rPr>
        <w:t>第三章 磋商内容及技术要求</w:t>
      </w:r>
      <w:bookmarkStart w:id="9" w:name="_Toc502742968"/>
      <w:bookmarkEnd w:id="9"/>
    </w:p>
    <w:p w14:paraId="0142E755">
      <w:pPr>
        <w:numPr>
          <w:ilvl w:val="0"/>
          <w:numId w:val="7"/>
        </w:numPr>
        <w:spacing w:line="240" w:lineRule="auto"/>
        <w:ind w:firstLine="643" w:firstLineChars="200"/>
        <w:rPr>
          <w:rFonts w:hint="eastAsia" w:ascii="Times New Roman" w:hAnsi="Times New Roman" w:eastAsia="宋体" w:cs="Times New Roman"/>
          <w:b/>
          <w:bCs/>
          <w:sz w:val="32"/>
          <w:szCs w:val="40"/>
          <w:lang w:val="en-US" w:eastAsia="zh-CN"/>
        </w:rPr>
      </w:pPr>
      <w:r>
        <w:rPr>
          <w:rFonts w:hint="eastAsia" w:ascii="Times New Roman" w:hAnsi="Times New Roman" w:eastAsia="宋体" w:cs="Times New Roman"/>
          <w:b/>
          <w:bCs/>
          <w:sz w:val="32"/>
          <w:szCs w:val="40"/>
          <w:lang w:val="en-US" w:eastAsia="zh-CN"/>
        </w:rPr>
        <w:t>采购需求</w:t>
      </w:r>
    </w:p>
    <w:tbl>
      <w:tblPr>
        <w:tblStyle w:val="21"/>
        <w:tblW w:w="13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936"/>
        <w:gridCol w:w="7403"/>
        <w:gridCol w:w="1391"/>
        <w:gridCol w:w="1255"/>
        <w:gridCol w:w="1214"/>
      </w:tblGrid>
      <w:tr w14:paraId="07A2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3" w:type="dxa"/>
            <w:tcBorders>
              <w:tl2br w:val="nil"/>
              <w:tr2bl w:val="nil"/>
            </w:tcBorders>
            <w:vAlign w:val="center"/>
          </w:tcPr>
          <w:p w14:paraId="249EAB54">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936" w:type="dxa"/>
            <w:tcBorders>
              <w:tl2br w:val="nil"/>
              <w:tr2bl w:val="nil"/>
            </w:tcBorders>
            <w:vAlign w:val="center"/>
          </w:tcPr>
          <w:p w14:paraId="66394985">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7403" w:type="dxa"/>
            <w:tcBorders>
              <w:tl2br w:val="nil"/>
              <w:tr2bl w:val="nil"/>
            </w:tcBorders>
            <w:vAlign w:val="center"/>
          </w:tcPr>
          <w:p w14:paraId="2465D99B">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规格和参数说明</w:t>
            </w:r>
          </w:p>
        </w:tc>
        <w:tc>
          <w:tcPr>
            <w:tcW w:w="1391" w:type="dxa"/>
            <w:tcBorders>
              <w:tl2br w:val="nil"/>
              <w:tr2bl w:val="nil"/>
            </w:tcBorders>
            <w:vAlign w:val="center"/>
          </w:tcPr>
          <w:p w14:paraId="2BDF1B69">
            <w:pPr>
              <w:spacing w:line="240" w:lineRule="auto"/>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255" w:type="dxa"/>
            <w:tcBorders>
              <w:tl2br w:val="nil"/>
              <w:tr2bl w:val="nil"/>
            </w:tcBorders>
            <w:vAlign w:val="center"/>
          </w:tcPr>
          <w:p w14:paraId="0728FB8E">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1214" w:type="dxa"/>
            <w:tcBorders>
              <w:tl2br w:val="nil"/>
              <w:tr2bl w:val="nil"/>
            </w:tcBorders>
            <w:vAlign w:val="center"/>
          </w:tcPr>
          <w:p w14:paraId="1E7F055F">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4F7B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2798ED0B">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1936" w:type="dxa"/>
            <w:tcBorders>
              <w:tl2br w:val="nil"/>
              <w:tr2bl w:val="nil"/>
            </w:tcBorders>
            <w:vAlign w:val="center"/>
          </w:tcPr>
          <w:p w14:paraId="0CA94567">
            <w:pPr>
              <w:spacing w:line="240" w:lineRule="auto"/>
              <w:jc w:val="center"/>
              <w:rPr>
                <w:rFonts w:hint="eastAsia" w:ascii="宋体" w:hAnsi="宋体" w:eastAsia="宋体" w:cs="宋体"/>
                <w:b w:val="0"/>
                <w:bCs w:val="0"/>
                <w:color w:val="auto"/>
                <w:sz w:val="21"/>
                <w:szCs w:val="21"/>
                <w:highlight w:val="none"/>
              </w:rPr>
            </w:pPr>
          </w:p>
          <w:p w14:paraId="527C98C0">
            <w:pPr>
              <w:spacing w:line="240" w:lineRule="auto"/>
              <w:jc w:val="center"/>
              <w:rPr>
                <w:rFonts w:hint="eastAsia" w:ascii="宋体" w:hAnsi="宋体" w:eastAsia="宋体" w:cs="宋体"/>
                <w:b w:val="0"/>
                <w:bCs w:val="0"/>
                <w:color w:val="auto"/>
                <w:sz w:val="21"/>
                <w:szCs w:val="21"/>
                <w:highlight w:val="none"/>
              </w:rPr>
            </w:pPr>
          </w:p>
          <w:p w14:paraId="5BA6F8B6">
            <w:pPr>
              <w:spacing w:line="240" w:lineRule="auto"/>
              <w:jc w:val="center"/>
              <w:rPr>
                <w:rFonts w:hint="eastAsia" w:ascii="宋体" w:hAnsi="宋体" w:eastAsia="宋体" w:cs="宋体"/>
                <w:b w:val="0"/>
                <w:bCs w:val="0"/>
                <w:color w:val="auto"/>
                <w:sz w:val="21"/>
                <w:szCs w:val="21"/>
                <w:highlight w:val="none"/>
              </w:rPr>
            </w:pPr>
          </w:p>
          <w:p w14:paraId="28D274B8">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平衡功能检测训练系统</w:t>
            </w:r>
          </w:p>
          <w:p w14:paraId="225E6FE2">
            <w:pPr>
              <w:spacing w:line="240" w:lineRule="auto"/>
              <w:jc w:val="center"/>
              <w:rPr>
                <w:rFonts w:hint="eastAsia" w:ascii="宋体" w:hAnsi="宋体" w:eastAsia="宋体" w:cs="宋体"/>
                <w:b w:val="0"/>
                <w:bCs w:val="0"/>
                <w:color w:val="auto"/>
                <w:sz w:val="21"/>
                <w:szCs w:val="21"/>
                <w:highlight w:val="none"/>
              </w:rPr>
            </w:pPr>
          </w:p>
          <w:p w14:paraId="0BD4BA99">
            <w:pPr>
              <w:spacing w:line="240" w:lineRule="auto"/>
              <w:jc w:val="center"/>
              <w:rPr>
                <w:rFonts w:hint="eastAsia" w:ascii="宋体" w:hAnsi="宋体" w:eastAsia="宋体" w:cs="宋体"/>
                <w:b w:val="0"/>
                <w:bCs w:val="0"/>
                <w:color w:val="auto"/>
                <w:sz w:val="21"/>
                <w:szCs w:val="21"/>
                <w:highlight w:val="none"/>
                <w:lang w:val="en-US" w:eastAsia="zh-CN"/>
              </w:rPr>
            </w:pPr>
          </w:p>
          <w:p w14:paraId="2D1C821D">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77EFAF8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一、规格： </w:t>
            </w:r>
          </w:p>
          <w:p w14:paraId="67CB4783">
            <w:pPr>
              <w:spacing w:line="240" w:lineRule="auto"/>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1.操作台 80×65×122 cm(允差±10cm) </w:t>
            </w:r>
          </w:p>
          <w:p w14:paraId="49979073">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2.站立架 100×85×114 cm (允差±10cm) </w:t>
            </w:r>
          </w:p>
          <w:p w14:paraId="270C167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3.坐椅 45×50cm(允差±10cm) </w:t>
            </w:r>
          </w:p>
          <w:p w14:paraId="07CBEC1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4.操作桌 70×50×73cm(允差±10cm) </w:t>
            </w:r>
          </w:p>
          <w:p w14:paraId="751C95AE">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二、核心功能模块 </w:t>
            </w:r>
          </w:p>
          <w:p w14:paraId="4358145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2.1 用户管理模块 </w:t>
            </w:r>
          </w:p>
          <w:p w14:paraId="3D97882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支持病人信息的新增、编辑、删除操作，具备多条件精准查询功能（含姓名检索等），可快速调取患者历史评估数据，实现患者信息的规范化管理，提升工作效率。 </w:t>
            </w:r>
          </w:p>
          <w:p w14:paraId="4DD9C878">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2.2 评估模式模块 </w:t>
            </w:r>
          </w:p>
          <w:p w14:paraId="5876E1B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内置8项核心评估模式，覆盖平衡功能全维度检测，患者站立于测定平台后，显示屏可实时同步显示重心偏移轨迹，直观呈现平衡状态： </w:t>
            </w:r>
          </w:p>
          <w:p w14:paraId="41D16F0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•坐位平衡评估 </w:t>
            </w:r>
          </w:p>
          <w:p w14:paraId="3680BA2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•站立位平衡功能评估 </w:t>
            </w:r>
          </w:p>
          <w:p w14:paraId="0E8EA4D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•跌倒风险评估 </w:t>
            </w:r>
          </w:p>
          <w:p w14:paraId="4E16DB8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•稳定极限评估 </w:t>
            </w:r>
          </w:p>
          <w:p w14:paraId="3E47097B">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•视觉依赖度分析 </w:t>
            </w:r>
          </w:p>
          <w:p w14:paraId="5D76386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•本体功能分析 </w:t>
            </w:r>
          </w:p>
          <w:p w14:paraId="54F2EAE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•单侧平衡对称性分析 </w:t>
            </w:r>
          </w:p>
          <w:p w14:paraId="435FA783">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•综合负荷耐受分析 </w:t>
            </w:r>
          </w:p>
          <w:p w14:paraId="3317493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2.3 训练模式模块 </w:t>
            </w:r>
          </w:p>
          <w:p w14:paraId="1325A48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涵盖常规引导训练与游戏化训练两大类型，兼顾训练专业性与趣味性，提升患者训练依从性： </w:t>
            </w:r>
          </w:p>
          <w:p w14:paraId="5BB28DCD">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 xml:space="preserve">•▲9 项常规引导训练：轨迹训练、左右平衡训练、前后平衡训练、十字平衡训练、左斜线平衡训练、右斜线平衡训练、波形训练、环形训练、米字型训练 </w:t>
            </w:r>
          </w:p>
          <w:p w14:paraId="655224F8">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2.4 报告管理模块 </w:t>
            </w:r>
          </w:p>
          <w:p w14:paraId="4FF658B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支持评估报告的预览、打印、删除等操作，报告内容全面、数据精准，可直接作为临床康复评估依据，具体包含： </w:t>
            </w:r>
          </w:p>
          <w:p w14:paraId="2D583B6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•基本信息：姓名、性别、年龄、出生日期、评估模式、评估日期等 </w:t>
            </w:r>
          </w:p>
          <w:p w14:paraId="34FDF37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•可视化图表：重心位移轨迹图、重心压力热力图（显示重心轨迹区域集中程度）、重心区域占比柱状图（显示重心轨迹区域分布占比） </w:t>
            </w:r>
          </w:p>
          <w:p w14:paraId="06A7911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•核心数据：COP 重心轨迹相关指标（重心轨迹长度、包络面积、平均速度、左右/前后方向均值、左右/前后方向标准差、左右/前后方向最大/最小值、左右/前后对称性、稳定性指数、Romberg 率等） </w:t>
            </w:r>
          </w:p>
          <w:p w14:paraId="0801837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•结论与建议：系统基于评估数据自动生成专业评估结论，并给出个性化康复建议 </w:t>
            </w:r>
          </w:p>
          <w:p w14:paraId="4971B73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三、产品特色 </w:t>
            </w:r>
          </w:p>
          <w:p w14:paraId="06515B8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•▲评估全面精准：8 项评估模式覆盖平衡功能核心维度，多指标量化分析，数据误差小，为临床诊断提供可靠支撑 </w:t>
            </w:r>
          </w:p>
          <w:p w14:paraId="483A08D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•训练模式多元：常规训练与游戏化训练结合，兼顾专业性与趣味性，有效提升患者训练积极性和依从性 </w:t>
            </w:r>
          </w:p>
          <w:p w14:paraId="2E594CEE">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•数据可视化强：通过轨迹图、热力图、柱状图等多种形式直观呈现评估结果，便于医护人员快速解读和患者理解 </w:t>
            </w:r>
          </w:p>
          <w:p w14:paraId="6201387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•操作便捷高效：界面设计简洁，流程清晰，支持快速查询、报告导出，适配医护人员日常工作场景 </w:t>
            </w:r>
          </w:p>
          <w:p w14:paraId="030764C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•▲个性化适配：可根据患者评估结果，灵活调整训练难度，适配不同康复阶段患者的需求 </w:t>
            </w:r>
          </w:p>
          <w:p w14:paraId="3CEF826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•信息安全可靠：患者信息规范化管理，数据存储安全，可追溯历史评估及训练记录，保障医疗数据安全 </w:t>
            </w:r>
          </w:p>
          <w:p w14:paraId="783E530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四、适应症 </w:t>
            </w:r>
          </w:p>
          <w:p w14:paraId="3402F05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本系统适用于各类存在平衡功能障碍或需提升平衡能力的人群，主要适应症包括： </w:t>
            </w:r>
          </w:p>
          <w:p w14:paraId="4831F33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•神经系统疾病：脑卒中（脑出血、脑梗死）恢复期、帕金森病、多发性硬化、脊髓损伤等导致的平衡功能障碍 </w:t>
            </w:r>
          </w:p>
          <w:p w14:paraId="7F244A0B">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•骨科疾病：髋关节置换术后、膝关节置换术后、踝关节损伤、脊柱侧弯等术后平衡功能康复 </w:t>
            </w:r>
          </w:p>
          <w:p w14:paraId="4287DCA8">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•老年人群：老年衰弱、平衡能力下降，需预防跌倒的人群 </w:t>
            </w:r>
          </w:p>
          <w:p w14:paraId="3992A34A">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•其他：运动损伤后平衡功能恢复、前庭功能障碍辅助评估与训练 </w:t>
            </w:r>
          </w:p>
          <w:p w14:paraId="207E9B3D">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五、配置要求 </w:t>
            </w:r>
          </w:p>
          <w:p w14:paraId="5C41C8F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5.1 软件配置 </w:t>
            </w:r>
          </w:p>
          <w:p w14:paraId="6968BEE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•操作系统：Windows 系统（Windows 10 及以上版本，64 位） </w:t>
            </w:r>
          </w:p>
          <w:p w14:paraId="2E830808">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•软件功能：支持评估数据实时采集、分析、存储，训练参数可调，报告自动生成与导出 </w:t>
            </w:r>
          </w:p>
          <w:p w14:paraId="14945DF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5.2 硬件配置 </w:t>
            </w:r>
          </w:p>
          <w:p w14:paraId="20A4758A">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•CPU 系列：Intel i5 及以上处理器 </w:t>
            </w:r>
          </w:p>
          <w:p w14:paraId="22D50CA1">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 xml:space="preserve">•内存：≥4GB </w:t>
            </w:r>
          </w:p>
          <w:p w14:paraId="0F88BA8C">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•硬盘容量：≥200GB</w:t>
            </w:r>
          </w:p>
          <w:p w14:paraId="35740572">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default"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kern w:val="0"/>
                <w:sz w:val="18"/>
                <w:szCs w:val="18"/>
                <w:highlight w:val="none"/>
                <w:lang w:val="en-US" w:eastAsia="zh-CN" w:bidi="ar"/>
              </w:rPr>
              <w:t>显示屏：≥27 英寸，分辨率 1920×1080 及以上，支持清晰显示重心轨迹及操作界面</w:t>
            </w:r>
          </w:p>
          <w:p w14:paraId="18CBCCA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•测定平台：高精度压力传感器，支持重心位移实时采集，采集频率≥100Hz </w:t>
            </w:r>
          </w:p>
          <w:p w14:paraId="3AEFDFE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•接口：支持 USB、HDMI 接口，便于数据传输及外接设备（打印机、鼠标、键盘等）</w:t>
            </w:r>
          </w:p>
        </w:tc>
        <w:tc>
          <w:tcPr>
            <w:tcW w:w="1391" w:type="dxa"/>
            <w:tcBorders>
              <w:tl2br w:val="nil"/>
              <w:tr2bl w:val="nil"/>
            </w:tcBorders>
            <w:vAlign w:val="center"/>
          </w:tcPr>
          <w:p w14:paraId="1B28D7C8">
            <w:pPr>
              <w:widowControl w:val="0"/>
              <w:ind w:firstLine="360" w:firstLineChars="200"/>
              <w:jc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2"/>
                <w:sz w:val="18"/>
                <w:szCs w:val="18"/>
                <w:highlight w:val="none"/>
                <w:lang w:val="en-US" w:eastAsia="zh-CN" w:bidi="ar-SA"/>
              </w:rPr>
              <w:t>1</w:t>
            </w:r>
          </w:p>
        </w:tc>
        <w:tc>
          <w:tcPr>
            <w:tcW w:w="1255" w:type="dxa"/>
            <w:tcBorders>
              <w:tl2br w:val="nil"/>
              <w:tr2bl w:val="nil"/>
            </w:tcBorders>
            <w:vAlign w:val="center"/>
          </w:tcPr>
          <w:p w14:paraId="1EE22A70">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tc>
        <w:tc>
          <w:tcPr>
            <w:tcW w:w="1214" w:type="dxa"/>
            <w:tcBorders>
              <w:tl2br w:val="nil"/>
              <w:tr2bl w:val="nil"/>
            </w:tcBorders>
            <w:vAlign w:val="center"/>
          </w:tcPr>
          <w:p w14:paraId="3F8BC2BB">
            <w:pPr>
              <w:spacing w:line="240" w:lineRule="auto"/>
              <w:ind w:left="960" w:hanging="720" w:hangingChars="400"/>
              <w:jc w:val="center"/>
              <w:rPr>
                <w:rFonts w:hint="eastAsia" w:ascii="宋体" w:hAnsi="宋体" w:eastAsia="宋体" w:cs="宋体"/>
                <w:b w:val="0"/>
                <w:bCs w:val="0"/>
                <w:color w:val="auto"/>
                <w:sz w:val="18"/>
                <w:szCs w:val="18"/>
                <w:highlight w:val="none"/>
                <w:lang w:val="en-US" w:eastAsia="zh-CN"/>
              </w:rPr>
            </w:pPr>
          </w:p>
        </w:tc>
      </w:tr>
      <w:tr w14:paraId="0328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9A9B221">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w:t>
            </w:r>
          </w:p>
        </w:tc>
        <w:tc>
          <w:tcPr>
            <w:tcW w:w="1936" w:type="dxa"/>
            <w:tcBorders>
              <w:tl2br w:val="nil"/>
              <w:tr2bl w:val="nil"/>
            </w:tcBorders>
            <w:vAlign w:val="center"/>
          </w:tcPr>
          <w:p w14:paraId="78A8BF9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关节角度尺</w:t>
            </w:r>
          </w:p>
        </w:tc>
        <w:tc>
          <w:tcPr>
            <w:tcW w:w="7403" w:type="dxa"/>
            <w:tcBorders>
              <w:tl2br w:val="nil"/>
              <w:tr2bl w:val="nil"/>
            </w:tcBorders>
          </w:tcPr>
          <w:p w14:paraId="56049D48">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
              </w:rPr>
              <w:t>1.产品规格：34*34*5cm (±2cm），测量器具5个(脊椎角度尺 ×1（测脊柱弯曲）\肢体角度尺 ×3（大中小三款，测肘、肩、膝、腕等四肢大关节）\手指角度尺 ×1（专门测量手指小关节活动）</w:t>
            </w:r>
          </w:p>
        </w:tc>
        <w:tc>
          <w:tcPr>
            <w:tcW w:w="1391" w:type="dxa"/>
            <w:tcBorders>
              <w:tl2br w:val="nil"/>
              <w:tr2bl w:val="nil"/>
            </w:tcBorders>
            <w:vAlign w:val="center"/>
          </w:tcPr>
          <w:p w14:paraId="5F8E3DC6">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1FB17C9E">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10434987">
            <w:pPr>
              <w:spacing w:line="240" w:lineRule="auto"/>
              <w:jc w:val="center"/>
              <w:rPr>
                <w:rFonts w:hint="eastAsia" w:ascii="宋体" w:hAnsi="宋体" w:eastAsia="宋体" w:cs="宋体"/>
                <w:b w:val="0"/>
                <w:bCs w:val="0"/>
                <w:color w:val="auto"/>
                <w:sz w:val="18"/>
                <w:szCs w:val="18"/>
                <w:highlight w:val="none"/>
                <w:lang w:val="en-US" w:eastAsia="zh-CN"/>
              </w:rPr>
            </w:pPr>
          </w:p>
        </w:tc>
      </w:tr>
      <w:tr w14:paraId="6441D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4DD79A79">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p>
        </w:tc>
        <w:tc>
          <w:tcPr>
            <w:tcW w:w="1936" w:type="dxa"/>
            <w:tcBorders>
              <w:tl2br w:val="nil"/>
              <w:tr2bl w:val="nil"/>
            </w:tcBorders>
            <w:vAlign w:val="center"/>
          </w:tcPr>
          <w:p w14:paraId="779E3A5F">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多功能关节活动测量表</w:t>
            </w:r>
          </w:p>
        </w:tc>
        <w:tc>
          <w:tcPr>
            <w:tcW w:w="7403" w:type="dxa"/>
            <w:tcBorders>
              <w:tl2br w:val="nil"/>
              <w:tr2bl w:val="nil"/>
            </w:tcBorders>
          </w:tcPr>
          <w:p w14:paraId="0A3B45D8">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1.产品规格：不小于19*17*4cm ，表盘直径≥6.5cm,表盘旋转角度360 °</w:t>
            </w:r>
          </w:p>
          <w:p w14:paraId="458BAA40">
            <w:pPr>
              <w:widowControl w:val="0"/>
              <w:numPr>
                <w:ilvl w:val="0"/>
                <w:numId w:val="8"/>
              </w:numPr>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说明：测量肘、手指等关节活动范围及脊柱弯曲程度</w:t>
            </w:r>
          </w:p>
          <w:p w14:paraId="6A22D245">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3.用途:康复评定、特教、中小学健康筛查、医学生实训；测量肘、手指等关节活动范围，以及脊柱弯曲 / 侧弯程度</w:t>
            </w:r>
          </w:p>
        </w:tc>
        <w:tc>
          <w:tcPr>
            <w:tcW w:w="1391" w:type="dxa"/>
            <w:tcBorders>
              <w:tl2br w:val="nil"/>
              <w:tr2bl w:val="nil"/>
            </w:tcBorders>
            <w:vAlign w:val="center"/>
          </w:tcPr>
          <w:p w14:paraId="73022B53">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2A254AF6">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4B9B0A6B">
            <w:pPr>
              <w:spacing w:line="240" w:lineRule="auto"/>
              <w:jc w:val="center"/>
              <w:rPr>
                <w:rFonts w:hint="eastAsia" w:ascii="宋体" w:hAnsi="宋体" w:eastAsia="宋体" w:cs="宋体"/>
                <w:b w:val="0"/>
                <w:bCs w:val="0"/>
                <w:color w:val="auto"/>
                <w:sz w:val="18"/>
                <w:szCs w:val="18"/>
                <w:highlight w:val="none"/>
                <w:lang w:val="en-US" w:eastAsia="zh-CN"/>
              </w:rPr>
            </w:pPr>
          </w:p>
        </w:tc>
      </w:tr>
      <w:tr w14:paraId="0ADC3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2362C51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w:t>
            </w:r>
          </w:p>
        </w:tc>
        <w:tc>
          <w:tcPr>
            <w:tcW w:w="1936" w:type="dxa"/>
            <w:tcBorders>
              <w:tl2br w:val="nil"/>
              <w:tr2bl w:val="nil"/>
            </w:tcBorders>
            <w:vAlign w:val="center"/>
          </w:tcPr>
          <w:p w14:paraId="51F7DFA1">
            <w:pPr>
              <w:numPr>
                <w:ilvl w:val="0"/>
                <w:numId w:val="0"/>
              </w:numPr>
              <w:spacing w:line="240" w:lineRule="auto"/>
              <w:jc w:val="center"/>
              <w:rPr>
                <w:rFonts w:hint="eastAsia" w:ascii="宋体" w:hAnsi="宋体" w:eastAsia="宋体" w:cs="宋体"/>
                <w:b w:val="0"/>
                <w:bCs w:val="0"/>
                <w:color w:val="auto"/>
                <w:sz w:val="21"/>
                <w:szCs w:val="21"/>
                <w:highlight w:val="none"/>
              </w:rPr>
            </w:pPr>
          </w:p>
          <w:p w14:paraId="6269AB03">
            <w:pPr>
              <w:numPr>
                <w:ilvl w:val="0"/>
                <w:numId w:val="0"/>
              </w:num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简易上肢功能评估器</w:t>
            </w:r>
          </w:p>
          <w:p w14:paraId="4D3B53BE">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4E37FBB7">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rPr>
              <w:t>1.参考规格：</w:t>
            </w:r>
            <w:r>
              <w:rPr>
                <w:rFonts w:hint="eastAsia" w:ascii="宋体" w:hAnsi="宋体" w:eastAsia="宋体" w:cs="宋体"/>
                <w:b w:val="0"/>
                <w:bCs w:val="0"/>
                <w:color w:val="auto"/>
                <w:sz w:val="18"/>
                <w:szCs w:val="18"/>
                <w:highlight w:val="none"/>
                <w:lang w:val="en-US" w:eastAsia="zh-CN"/>
              </w:rPr>
              <w:t>不小于</w:t>
            </w:r>
            <w:r>
              <w:rPr>
                <w:rFonts w:hint="eastAsia" w:ascii="宋体" w:hAnsi="宋体" w:eastAsia="宋体" w:cs="宋体"/>
                <w:b w:val="0"/>
                <w:bCs w:val="0"/>
                <w:color w:val="auto"/>
                <w:sz w:val="18"/>
                <w:szCs w:val="18"/>
                <w:highlight w:val="none"/>
              </w:rPr>
              <w:t>41×41×11cm，检测工具一套</w:t>
            </w:r>
            <w:r>
              <w:rPr>
                <w:rFonts w:hint="eastAsia" w:ascii="宋体" w:hAnsi="宋体" w:eastAsia="宋体" w:cs="宋体"/>
                <w:b w:val="0"/>
                <w:bCs w:val="0"/>
                <w:color w:val="auto"/>
                <w:sz w:val="18"/>
                <w:szCs w:val="18"/>
                <w:highlight w:val="none"/>
                <w:lang w:val="en-US" w:eastAsia="zh-CN"/>
              </w:rPr>
              <w:t>(</w:t>
            </w:r>
            <w:r>
              <w:rPr>
                <w:rFonts w:hint="eastAsia" w:ascii="宋体" w:hAnsi="宋体" w:eastAsia="宋体" w:cs="宋体"/>
                <w:b w:val="0"/>
                <w:bCs w:val="0"/>
                <w:color w:val="auto"/>
                <w:sz w:val="18"/>
                <w:szCs w:val="18"/>
                <w:highlight w:val="none"/>
              </w:rPr>
              <w:t>秒表1个，网球303P5个，中球5个，大木方5个，中木方5个，木圆板5个，小木方5个，人革布6张，金属圆片6个，小钢球6个，钢棍6根</w:t>
            </w:r>
            <w:r>
              <w:rPr>
                <w:rFonts w:hint="eastAsia" w:ascii="宋体" w:hAnsi="宋体" w:eastAsia="宋体" w:cs="宋体"/>
                <w:b w:val="0"/>
                <w:bCs w:val="0"/>
                <w:color w:val="auto"/>
                <w:sz w:val="18"/>
                <w:szCs w:val="18"/>
                <w:highlight w:val="none"/>
                <w:lang w:val="en-US" w:eastAsia="zh-CN"/>
              </w:rPr>
              <w:t>)</w:t>
            </w:r>
          </w:p>
        </w:tc>
        <w:tc>
          <w:tcPr>
            <w:tcW w:w="1391" w:type="dxa"/>
            <w:tcBorders>
              <w:tl2br w:val="nil"/>
              <w:tr2bl w:val="nil"/>
            </w:tcBorders>
            <w:vAlign w:val="center"/>
          </w:tcPr>
          <w:p w14:paraId="4153AC00">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6D359DEC">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5DE99C3B">
            <w:pPr>
              <w:spacing w:line="240" w:lineRule="auto"/>
              <w:jc w:val="center"/>
              <w:rPr>
                <w:rFonts w:hint="eastAsia" w:ascii="宋体" w:hAnsi="宋体" w:eastAsia="宋体" w:cs="宋体"/>
                <w:b w:val="0"/>
                <w:bCs w:val="0"/>
                <w:color w:val="auto"/>
                <w:sz w:val="18"/>
                <w:szCs w:val="18"/>
                <w:highlight w:val="none"/>
                <w:lang w:val="en-US" w:eastAsia="zh-CN"/>
              </w:rPr>
            </w:pPr>
          </w:p>
        </w:tc>
      </w:tr>
      <w:tr w14:paraId="6FE5E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9" w:hRule="atLeast"/>
        </w:trPr>
        <w:tc>
          <w:tcPr>
            <w:tcW w:w="723" w:type="dxa"/>
            <w:tcBorders>
              <w:tl2br w:val="nil"/>
              <w:tr2bl w:val="nil"/>
            </w:tcBorders>
            <w:vAlign w:val="center"/>
          </w:tcPr>
          <w:p w14:paraId="327B823E">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w:t>
            </w:r>
          </w:p>
        </w:tc>
        <w:tc>
          <w:tcPr>
            <w:tcW w:w="1936" w:type="dxa"/>
            <w:tcBorders>
              <w:tl2br w:val="nil"/>
              <w:tr2bl w:val="nil"/>
            </w:tcBorders>
            <w:vAlign w:val="center"/>
          </w:tcPr>
          <w:p w14:paraId="78B26CD1">
            <w:pPr>
              <w:numPr>
                <w:ilvl w:val="0"/>
                <w:numId w:val="0"/>
              </w:num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（指腕关节型）关节康复器</w:t>
            </w:r>
          </w:p>
          <w:p w14:paraId="226BB139">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20E36227">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kern w:val="0"/>
                <w:sz w:val="18"/>
                <w:szCs w:val="18"/>
                <w:highlight w:val="none"/>
                <w:lang w:val="en-US" w:eastAsia="zh-CN"/>
              </w:rPr>
              <w:t>角度范围：指关节、腕关节动作角度为0～90°；</w:t>
            </w:r>
          </w:p>
          <w:p w14:paraId="782C6096">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角速度：角速度分1至9档可调，步长为1档，连续可调;</w:t>
            </w:r>
          </w:p>
          <w:p w14:paraId="739B78E5">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最大承重载荷：20N；</w:t>
            </w:r>
          </w:p>
          <w:p w14:paraId="15E3F48C">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kern w:val="0"/>
                <w:sz w:val="18"/>
                <w:szCs w:val="18"/>
                <w:highlight w:val="none"/>
                <w:lang w:val="en-US" w:eastAsia="zh-CN"/>
              </w:rPr>
              <w:t>痉挛保护：大，中，小3个等级，分别为45N、30N、15N，误差范围为±20%</w:t>
            </w:r>
          </w:p>
          <w:p w14:paraId="0DE5CEAC">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sz w:val="18"/>
                <w:szCs w:val="18"/>
                <w:highlight w:val="none"/>
              </w:rPr>
              <w:t>当患者在治疗过程中产生肌肉痉挛，超过设备设定痉挛保护力的时候，设备会进行痉挛保护，同时设备界面上痉挛保护字体闪烁，关节固定机构将反方向转动。当连续触发两次痉挛保护时设备停止输出</w:t>
            </w:r>
            <w:r>
              <w:rPr>
                <w:rFonts w:hint="eastAsia" w:ascii="宋体" w:hAnsi="宋体" w:eastAsia="宋体" w:cs="宋体"/>
                <w:b w:val="0"/>
                <w:bCs w:val="0"/>
                <w:color w:val="auto"/>
                <w:sz w:val="18"/>
                <w:szCs w:val="18"/>
                <w:highlight w:val="none"/>
                <w:lang w:eastAsia="zh-CN"/>
              </w:rPr>
              <w:t>；</w:t>
            </w:r>
          </w:p>
          <w:p w14:paraId="0E073321">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手持操作器具有伸展、启动/暂停功能；</w:t>
            </w:r>
          </w:p>
          <w:p w14:paraId="49965534">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调节杆的调节范围：0～140mm，误差±10%；</w:t>
            </w:r>
          </w:p>
          <w:p w14:paraId="46432CD6">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设备具有校准复位功能；</w:t>
            </w:r>
          </w:p>
          <w:p w14:paraId="2E8FAA4F">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具有手动急停保护功能；</w:t>
            </w:r>
          </w:p>
          <w:p w14:paraId="748365EB">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启动及结束时具有提示音；</w:t>
            </w:r>
          </w:p>
          <w:p w14:paraId="28CDFC37">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治疗时间：1～240min，步长为1min，连续可调，误差±10%；</w:t>
            </w:r>
          </w:p>
          <w:p w14:paraId="74D9C711">
            <w:pPr>
              <w:keepNext w:val="0"/>
              <w:keepLines w:val="0"/>
              <w:pageBreakBefore w:val="0"/>
              <w:widowControl w:val="0"/>
              <w:numPr>
                <w:ilvl w:val="0"/>
                <w:numId w:val="9"/>
              </w:numPr>
              <w:kinsoku/>
              <w:wordWrap/>
              <w:overflowPunct/>
              <w:topLinePunct w:val="0"/>
              <w:autoSpaceDE/>
              <w:autoSpaceDN/>
              <w:bidi w:val="0"/>
              <w:adjustRightInd/>
              <w:snapToGrid/>
              <w:spacing w:line="288" w:lineRule="auto"/>
              <w:ind w:left="845" w:leftChars="0" w:hanging="425" w:firstLineChars="0"/>
              <w:jc w:val="left"/>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rPr>
              <w:t>配备防脱装置，避免手持式控制器从放置位置意外脱出；</w:t>
            </w:r>
          </w:p>
        </w:tc>
        <w:tc>
          <w:tcPr>
            <w:tcW w:w="1391" w:type="dxa"/>
            <w:tcBorders>
              <w:tl2br w:val="nil"/>
              <w:tr2bl w:val="nil"/>
            </w:tcBorders>
            <w:vAlign w:val="center"/>
          </w:tcPr>
          <w:p w14:paraId="0F8678A5">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176B907A">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7206A3AD">
            <w:pPr>
              <w:spacing w:line="240" w:lineRule="auto"/>
              <w:jc w:val="center"/>
              <w:rPr>
                <w:rFonts w:hint="eastAsia" w:ascii="宋体" w:hAnsi="宋体" w:eastAsia="宋体" w:cs="宋体"/>
                <w:b w:val="0"/>
                <w:bCs w:val="0"/>
                <w:color w:val="auto"/>
                <w:sz w:val="18"/>
                <w:szCs w:val="18"/>
                <w:highlight w:val="none"/>
              </w:rPr>
            </w:pPr>
          </w:p>
        </w:tc>
      </w:tr>
      <w:tr w14:paraId="09386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3E736E02">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w:t>
            </w:r>
          </w:p>
        </w:tc>
        <w:tc>
          <w:tcPr>
            <w:tcW w:w="1936" w:type="dxa"/>
            <w:tcBorders>
              <w:tl2br w:val="nil"/>
              <w:tr2bl w:val="nil"/>
            </w:tcBorders>
            <w:vAlign w:val="center"/>
          </w:tcPr>
          <w:p w14:paraId="6D954161">
            <w:pPr>
              <w:numPr>
                <w:ilvl w:val="0"/>
                <w:numId w:val="0"/>
              </w:num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（肩肘关节型）关节康复器</w:t>
            </w:r>
          </w:p>
          <w:p w14:paraId="16F2D1C9">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18EBB49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1.</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kern w:val="0"/>
                <w:sz w:val="18"/>
                <w:szCs w:val="18"/>
                <w:highlight w:val="none"/>
                <w:lang w:val="en-US" w:eastAsia="zh-CN"/>
              </w:rPr>
              <w:t>角度范围：肩、肘关节活动范围0～135°；</w:t>
            </w:r>
          </w:p>
          <w:p w14:paraId="3DE944C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2.角速度：角速度分1至9档可调，步长为1档，连续可调;</w:t>
            </w:r>
          </w:p>
          <w:p w14:paraId="5414A59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3.最大承重载荷：80N；</w:t>
            </w:r>
          </w:p>
          <w:p w14:paraId="58E91DB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4.</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kern w:val="0"/>
                <w:sz w:val="18"/>
                <w:szCs w:val="18"/>
                <w:highlight w:val="none"/>
                <w:lang w:val="en-US" w:eastAsia="zh-CN"/>
              </w:rPr>
              <w:t>痉挛保护：大，中，小3个等级，分别为120N、90N、60N，误差范围为±20%；</w:t>
            </w:r>
          </w:p>
          <w:p w14:paraId="42D306B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5.</w:t>
            </w:r>
            <w:r>
              <w:rPr>
                <w:rFonts w:hint="eastAsia" w:ascii="宋体" w:hAnsi="宋体" w:eastAsia="宋体" w:cs="宋体"/>
                <w:b w:val="0"/>
                <w:bCs w:val="0"/>
                <w:color w:val="auto"/>
                <w:kern w:val="0"/>
                <w:sz w:val="18"/>
                <w:szCs w:val="18"/>
                <w:highlight w:val="none"/>
                <w:lang w:val="en-US" w:eastAsia="zh-CN"/>
              </w:rPr>
              <w:t>配备防脱装置，避免手持式控制器从放置位置意外脱出；</w:t>
            </w:r>
          </w:p>
          <w:p w14:paraId="4CB37C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6.调节杆1的调节范围0～150mm，调节杆2的调节范围0～120mm，误差±10%；</w:t>
            </w:r>
          </w:p>
          <w:p w14:paraId="3D8E176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7.设备具有校准复位功能；</w:t>
            </w:r>
          </w:p>
          <w:p w14:paraId="30BFD62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8.具有手动急停保护功能；</w:t>
            </w:r>
          </w:p>
          <w:p w14:paraId="70ED426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9.启动及结束时具有提示音；</w:t>
            </w:r>
          </w:p>
          <w:p w14:paraId="6F442EF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10.控制模式：正常、速度、角度；</w:t>
            </w:r>
          </w:p>
          <w:p w14:paraId="373F979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11.痉挛保护应在3s内被激活，痉挛保护激活时伴有声音提示信号</w:t>
            </w:r>
          </w:p>
        </w:tc>
        <w:tc>
          <w:tcPr>
            <w:tcW w:w="1391" w:type="dxa"/>
            <w:tcBorders>
              <w:tl2br w:val="nil"/>
              <w:tr2bl w:val="nil"/>
            </w:tcBorders>
            <w:vAlign w:val="center"/>
          </w:tcPr>
          <w:p w14:paraId="0D5A81EA">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49ED5E8D">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6C88F1AC">
            <w:pPr>
              <w:spacing w:line="240" w:lineRule="auto"/>
              <w:jc w:val="center"/>
              <w:rPr>
                <w:rFonts w:hint="eastAsia" w:ascii="宋体" w:hAnsi="宋体" w:eastAsia="宋体" w:cs="宋体"/>
                <w:b w:val="0"/>
                <w:bCs w:val="0"/>
                <w:color w:val="auto"/>
                <w:sz w:val="18"/>
                <w:szCs w:val="18"/>
                <w:highlight w:val="none"/>
              </w:rPr>
            </w:pPr>
          </w:p>
        </w:tc>
      </w:tr>
      <w:tr w14:paraId="53E0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4BCE1A9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w:t>
            </w:r>
          </w:p>
        </w:tc>
        <w:tc>
          <w:tcPr>
            <w:tcW w:w="1936" w:type="dxa"/>
            <w:tcBorders>
              <w:tl2br w:val="nil"/>
              <w:tr2bl w:val="nil"/>
            </w:tcBorders>
            <w:vAlign w:val="center"/>
          </w:tcPr>
          <w:p w14:paraId="7ACDCF1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（踝关节）关节康复器</w:t>
            </w:r>
          </w:p>
        </w:tc>
        <w:tc>
          <w:tcPr>
            <w:tcW w:w="7403" w:type="dxa"/>
            <w:tcBorders>
              <w:tl2br w:val="nil"/>
              <w:tr2bl w:val="nil"/>
            </w:tcBorders>
          </w:tcPr>
          <w:p w14:paraId="4E9AFF2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1.</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kern w:val="0"/>
                <w:sz w:val="18"/>
                <w:szCs w:val="18"/>
                <w:highlight w:val="none"/>
                <w:lang w:val="en-US" w:eastAsia="zh-CN"/>
              </w:rPr>
              <w:t>角度范围：内外翻、背跖屈活动范围：-25°～ +25°；</w:t>
            </w:r>
          </w:p>
          <w:p w14:paraId="064E276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2.角速度：角速度分1至9档可调，步长为1档，连续可调;</w:t>
            </w:r>
          </w:p>
          <w:p w14:paraId="3EE36D5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3.</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kern w:val="0"/>
                <w:sz w:val="18"/>
                <w:szCs w:val="18"/>
                <w:highlight w:val="none"/>
                <w:lang w:val="en-US" w:eastAsia="zh-CN"/>
              </w:rPr>
              <w:t>痉挛保护：大，中，小3个等级，分别为50N、35N、20N，误差范围为±20%；</w:t>
            </w:r>
          </w:p>
          <w:p w14:paraId="2461019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4.</w:t>
            </w:r>
            <w:r>
              <w:rPr>
                <w:rFonts w:hint="eastAsia" w:ascii="宋体" w:hAnsi="宋体" w:eastAsia="宋体" w:cs="宋体"/>
                <w:b w:val="0"/>
                <w:bCs w:val="0"/>
                <w:color w:val="auto"/>
                <w:kern w:val="0"/>
                <w:sz w:val="18"/>
                <w:szCs w:val="18"/>
                <w:highlight w:val="none"/>
              </w:rPr>
              <w:t>痉挛保护应在3s内被激活</w:t>
            </w:r>
            <w:r>
              <w:rPr>
                <w:rFonts w:hint="eastAsia" w:ascii="宋体" w:hAnsi="宋体" w:eastAsia="宋体" w:cs="宋体"/>
                <w:b w:val="0"/>
                <w:bCs w:val="0"/>
                <w:color w:val="auto"/>
                <w:kern w:val="0"/>
                <w:sz w:val="18"/>
                <w:szCs w:val="18"/>
                <w:highlight w:val="none"/>
                <w:lang w:eastAsia="zh-CN"/>
              </w:rPr>
              <w:t>，</w:t>
            </w:r>
            <w:r>
              <w:rPr>
                <w:rFonts w:hint="eastAsia" w:ascii="宋体" w:hAnsi="宋体" w:eastAsia="宋体" w:cs="宋体"/>
                <w:b w:val="0"/>
                <w:bCs w:val="0"/>
                <w:color w:val="auto"/>
                <w:kern w:val="0"/>
                <w:sz w:val="18"/>
                <w:szCs w:val="18"/>
                <w:highlight w:val="none"/>
              </w:rPr>
              <w:t>痉挛保护激活时伴有声音提示信号</w:t>
            </w:r>
            <w:r>
              <w:rPr>
                <w:rFonts w:hint="eastAsia" w:ascii="宋体" w:hAnsi="宋体" w:eastAsia="宋体" w:cs="宋体"/>
                <w:b w:val="0"/>
                <w:bCs w:val="0"/>
                <w:color w:val="auto"/>
                <w:kern w:val="0"/>
                <w:sz w:val="18"/>
                <w:szCs w:val="18"/>
                <w:highlight w:val="none"/>
                <w:lang w:eastAsia="zh-CN"/>
              </w:rPr>
              <w:t>；</w:t>
            </w:r>
          </w:p>
          <w:p w14:paraId="4414E70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5.治疗时间：1～240min，步长为1min，连续可调，误差±10%；</w:t>
            </w:r>
          </w:p>
          <w:p w14:paraId="3CB3E57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6.手持操作器具有反向、启动/暂停功能；</w:t>
            </w:r>
          </w:p>
          <w:p w14:paraId="3A16AD0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7.启动及结束时具有提示音；</w:t>
            </w:r>
          </w:p>
          <w:p w14:paraId="7CF9502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20" w:leftChars="0"/>
              <w:jc w:val="left"/>
              <w:textAlignment w:val="auto"/>
              <w:rPr>
                <w:rFonts w:hint="eastAsia" w:ascii="宋体" w:hAnsi="宋体" w:eastAsia="宋体" w:cs="宋体"/>
                <w:b w:val="0"/>
                <w:bCs w:val="0"/>
                <w:color w:val="auto"/>
                <w:spacing w:val="-8"/>
                <w:sz w:val="18"/>
                <w:szCs w:val="18"/>
                <w:highlight w:val="none"/>
                <w:lang w:eastAsia="zh-CN"/>
              </w:rPr>
            </w:pPr>
            <w:r>
              <w:rPr>
                <w:rFonts w:hint="eastAsia" w:ascii="宋体" w:hAnsi="宋体" w:eastAsia="宋体" w:cs="宋体"/>
                <w:b w:val="0"/>
                <w:bCs w:val="0"/>
                <w:color w:val="auto"/>
                <w:kern w:val="0"/>
                <w:sz w:val="18"/>
                <w:szCs w:val="18"/>
                <w:highlight w:val="none"/>
                <w:lang w:val="en-US" w:eastAsia="zh-CN"/>
              </w:rPr>
              <w:t>8.控制模式：正常、速度、角度；</w:t>
            </w:r>
          </w:p>
        </w:tc>
        <w:tc>
          <w:tcPr>
            <w:tcW w:w="1391" w:type="dxa"/>
            <w:tcBorders>
              <w:tl2br w:val="nil"/>
              <w:tr2bl w:val="nil"/>
            </w:tcBorders>
            <w:vAlign w:val="center"/>
          </w:tcPr>
          <w:p w14:paraId="7E598971">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2C2C8BA1">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14896055">
            <w:pPr>
              <w:spacing w:line="240" w:lineRule="auto"/>
              <w:jc w:val="center"/>
              <w:rPr>
                <w:rFonts w:hint="eastAsia" w:ascii="宋体" w:hAnsi="宋体" w:eastAsia="宋体" w:cs="宋体"/>
                <w:b w:val="0"/>
                <w:bCs w:val="0"/>
                <w:color w:val="auto"/>
                <w:sz w:val="18"/>
                <w:szCs w:val="18"/>
                <w:highlight w:val="none"/>
              </w:rPr>
            </w:pPr>
          </w:p>
        </w:tc>
      </w:tr>
      <w:tr w14:paraId="66E0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367E0E2">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w:t>
            </w:r>
          </w:p>
        </w:tc>
        <w:tc>
          <w:tcPr>
            <w:tcW w:w="1936" w:type="dxa"/>
            <w:tcBorders>
              <w:tl2br w:val="nil"/>
              <w:tr2bl w:val="nil"/>
            </w:tcBorders>
            <w:vAlign w:val="center"/>
          </w:tcPr>
          <w:p w14:paraId="5E359C62">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训练用</w:t>
            </w:r>
            <w:r>
              <w:rPr>
                <w:rFonts w:hint="eastAsia" w:ascii="宋体" w:hAnsi="宋体" w:eastAsia="宋体" w:cs="宋体"/>
                <w:b w:val="0"/>
                <w:bCs w:val="0"/>
                <w:color w:val="auto"/>
                <w:sz w:val="21"/>
                <w:szCs w:val="21"/>
                <w:highlight w:val="none"/>
                <w:lang w:eastAsia="zh-CN"/>
              </w:rPr>
              <w:t>阶</w:t>
            </w:r>
            <w:r>
              <w:rPr>
                <w:rFonts w:hint="eastAsia" w:ascii="宋体" w:hAnsi="宋体" w:eastAsia="宋体" w:cs="宋体"/>
                <w:b w:val="0"/>
                <w:bCs w:val="0"/>
                <w:color w:val="auto"/>
                <w:sz w:val="21"/>
                <w:szCs w:val="21"/>
                <w:highlight w:val="none"/>
              </w:rPr>
              <w:t>梯（双</w:t>
            </w:r>
            <w:r>
              <w:rPr>
                <w:rFonts w:hint="eastAsia" w:ascii="宋体" w:hAnsi="宋体" w:eastAsia="宋体" w:cs="宋体"/>
                <w:b w:val="0"/>
                <w:bCs w:val="0"/>
                <w:color w:val="auto"/>
                <w:sz w:val="21"/>
                <w:szCs w:val="21"/>
                <w:highlight w:val="none"/>
                <w:lang w:val="en-US" w:eastAsia="zh-CN"/>
              </w:rPr>
              <w:t>向</w:t>
            </w:r>
            <w:r>
              <w:rPr>
                <w:rFonts w:hint="eastAsia" w:ascii="宋体" w:hAnsi="宋体" w:eastAsia="宋体" w:cs="宋体"/>
                <w:b w:val="0"/>
                <w:bCs w:val="0"/>
                <w:color w:val="auto"/>
                <w:sz w:val="21"/>
                <w:szCs w:val="21"/>
                <w:highlight w:val="none"/>
              </w:rPr>
              <w:t>）</w:t>
            </w:r>
          </w:p>
        </w:tc>
        <w:tc>
          <w:tcPr>
            <w:tcW w:w="7403" w:type="dxa"/>
            <w:tcBorders>
              <w:tl2br w:val="nil"/>
              <w:tr2bl w:val="nil"/>
            </w:tcBorders>
          </w:tcPr>
          <w:p w14:paraId="0FB76C47">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1.材质：不锈钢管扶手、密度板、地毯、静电喷塑架 </w:t>
            </w:r>
          </w:p>
          <w:p w14:paraId="4919C75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2.结构型式： 扶手杠、固定管柱、阶梯 </w:t>
            </w:r>
          </w:p>
          <w:p w14:paraId="6772E12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3.扶手杠调节范围（cm）：0-25 </w:t>
            </w:r>
          </w:p>
          <w:p w14:paraId="4C28F8A1">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4.扶手杠侧向额定载荷(kg)：≥70 </w:t>
            </w:r>
          </w:p>
          <w:p w14:paraId="3F78CD39">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red"/>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5.梯面高度：10 ㎝、11 ㎝、12 ㎝,深 28cm</w:t>
            </w:r>
          </w:p>
          <w:p w14:paraId="0C5F0143">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6.阶梯额定载荷(kg)： ≥135 </w:t>
            </w:r>
          </w:p>
          <w:p w14:paraId="7B5BEC4E">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7.参考规格(cm)：337×83×120～147</w:t>
            </w:r>
          </w:p>
        </w:tc>
        <w:tc>
          <w:tcPr>
            <w:tcW w:w="1391" w:type="dxa"/>
            <w:tcBorders>
              <w:tl2br w:val="nil"/>
              <w:tr2bl w:val="nil"/>
            </w:tcBorders>
            <w:vAlign w:val="center"/>
          </w:tcPr>
          <w:p w14:paraId="03B00068">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7F59E5A9">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tc>
        <w:tc>
          <w:tcPr>
            <w:tcW w:w="1214" w:type="dxa"/>
            <w:tcBorders>
              <w:tl2br w:val="nil"/>
              <w:tr2bl w:val="nil"/>
            </w:tcBorders>
            <w:vAlign w:val="center"/>
          </w:tcPr>
          <w:p w14:paraId="1CDF23AF">
            <w:pPr>
              <w:spacing w:line="240" w:lineRule="auto"/>
              <w:jc w:val="center"/>
              <w:rPr>
                <w:rFonts w:hint="eastAsia" w:ascii="宋体" w:hAnsi="宋体" w:eastAsia="宋体" w:cs="宋体"/>
                <w:b w:val="0"/>
                <w:bCs w:val="0"/>
                <w:color w:val="auto"/>
                <w:sz w:val="18"/>
                <w:szCs w:val="18"/>
                <w:highlight w:val="none"/>
              </w:rPr>
            </w:pPr>
          </w:p>
        </w:tc>
      </w:tr>
      <w:tr w14:paraId="074E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454DD5A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9</w:t>
            </w:r>
          </w:p>
        </w:tc>
        <w:tc>
          <w:tcPr>
            <w:tcW w:w="1936" w:type="dxa"/>
            <w:tcBorders>
              <w:tl2br w:val="nil"/>
              <w:tr2bl w:val="nil"/>
            </w:tcBorders>
            <w:vAlign w:val="center"/>
          </w:tcPr>
          <w:p w14:paraId="217A2BCB">
            <w:pPr>
              <w:spacing w:line="24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平行杠</w:t>
            </w:r>
          </w:p>
        </w:tc>
        <w:tc>
          <w:tcPr>
            <w:tcW w:w="7403" w:type="dxa"/>
            <w:tcBorders>
              <w:tl2br w:val="nil"/>
              <w:tr2bl w:val="nil"/>
            </w:tcBorders>
          </w:tcPr>
          <w:p w14:paraId="3E717C51">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1.参考规格(cm)：320×25～109×75～104，矫正板坡度 15° </w:t>
            </w:r>
          </w:p>
          <w:p w14:paraId="152ABE31">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2.参考质量：138.0kg </w:t>
            </w:r>
          </w:p>
          <w:p w14:paraId="070BC87A">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3.结构型式：杠杆、宽度调节支架、升降管柱、固定管柱、矫正板、底座 </w:t>
            </w:r>
          </w:p>
          <w:p w14:paraId="0641E648">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4.材质：不锈钢扶手、静电喷塑架、木板、地毯 </w:t>
            </w:r>
          </w:p>
          <w:p w14:paraId="65331D4E">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5.杠杆直径(cm)：Φ 3.5 </w:t>
            </w:r>
          </w:p>
          <w:p w14:paraId="7914F912">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6.杠杆宽度调节范围（cm）： 25～109 </w:t>
            </w:r>
          </w:p>
          <w:p w14:paraId="3DB8F729">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7.高度调节范围（cm）：75～104.5，10 档可调 </w:t>
            </w:r>
          </w:p>
          <w:p w14:paraId="5DE0CE46">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8.额定载荷(kg)：≥ 135 </w:t>
            </w:r>
          </w:p>
          <w:p w14:paraId="22D5E9CD">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9.矫正板坡度： 15°</w:t>
            </w:r>
          </w:p>
        </w:tc>
        <w:tc>
          <w:tcPr>
            <w:tcW w:w="1391" w:type="dxa"/>
            <w:tcBorders>
              <w:tl2br w:val="nil"/>
              <w:tr2bl w:val="nil"/>
            </w:tcBorders>
            <w:vAlign w:val="center"/>
          </w:tcPr>
          <w:p w14:paraId="5A45B296">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67788B28">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tc>
        <w:tc>
          <w:tcPr>
            <w:tcW w:w="1214" w:type="dxa"/>
            <w:tcBorders>
              <w:tl2br w:val="nil"/>
              <w:tr2bl w:val="nil"/>
            </w:tcBorders>
            <w:vAlign w:val="center"/>
          </w:tcPr>
          <w:p w14:paraId="25F8E8FC">
            <w:pPr>
              <w:spacing w:line="240" w:lineRule="auto"/>
              <w:jc w:val="center"/>
              <w:rPr>
                <w:rFonts w:hint="eastAsia" w:ascii="宋体" w:hAnsi="宋体" w:eastAsia="宋体" w:cs="宋体"/>
                <w:b w:val="0"/>
                <w:bCs w:val="0"/>
                <w:color w:val="auto"/>
                <w:sz w:val="18"/>
                <w:szCs w:val="18"/>
                <w:highlight w:val="none"/>
              </w:rPr>
            </w:pPr>
          </w:p>
        </w:tc>
      </w:tr>
      <w:tr w14:paraId="1D88B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0456802">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10</w:t>
            </w:r>
          </w:p>
        </w:tc>
        <w:tc>
          <w:tcPr>
            <w:tcW w:w="1936" w:type="dxa"/>
            <w:tcBorders>
              <w:tl2br w:val="nil"/>
              <w:tr2bl w:val="nil"/>
            </w:tcBorders>
            <w:vAlign w:val="center"/>
          </w:tcPr>
          <w:p w14:paraId="552059AF">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肢体康复器</w:t>
            </w:r>
          </w:p>
        </w:tc>
        <w:tc>
          <w:tcPr>
            <w:tcW w:w="7403" w:type="dxa"/>
            <w:tcBorders>
              <w:tl2br w:val="nil"/>
              <w:tr2bl w:val="nil"/>
            </w:tcBorders>
          </w:tcPr>
          <w:p w14:paraId="504E81D5">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1.康复器被动模式的转速5～60r/min可调，步长为1r/min；</w:t>
            </w:r>
          </w:p>
          <w:p w14:paraId="7B58E143">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2.康复器 的转速变化率为不大于0.5r/s2；</w:t>
            </w:r>
          </w:p>
          <w:p w14:paraId="5F6FFC79">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3.康复器下肢最大输出扭矩为9.2N·m；</w:t>
            </w:r>
          </w:p>
          <w:p w14:paraId="04E49B4C">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4.康复器的阻力扭矩可调节范围：0~20档，调节步长为1。0~20的阻力档位分别对应0~20N·m 的阻力扭矩值，允差为士3N·m；</w:t>
            </w:r>
          </w:p>
          <w:p w14:paraId="141A7038">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5.康复器训练时间可调节范围1~99min，步长 lmin；</w:t>
            </w:r>
          </w:p>
          <w:p w14:paraId="05604A49">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6.康复器具有痉挛保护功能：监测到痉挛发生时，康复器作出保护动作并出现弹窗提示，在 5s之内停止运转，并自动转入反向低速运转。该功能默认为开启状态，可在参数设置时关闭功能；</w:t>
            </w:r>
          </w:p>
          <w:p w14:paraId="518FC9B2">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7.连续工作时间：＞8h；</w:t>
            </w:r>
          </w:p>
          <w:p w14:paraId="1EC95E2B">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8.工作噪声：康复器在正常工作时的噪声≤60dB；</w:t>
            </w:r>
          </w:p>
          <w:p w14:paraId="3BCD6FEB">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9.5种训练模式：主动模式、被动模式、主被动模式、助力训练、等速训练；</w:t>
            </w:r>
          </w:p>
          <w:p w14:paraId="314A4EB0">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10.下肢训练装置具有脚踏调节功能；</w:t>
            </w:r>
          </w:p>
          <w:p w14:paraId="1505E6AE">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11.训练状态显示：</w:t>
            </w:r>
          </w:p>
          <w:p w14:paraId="44006A7C">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（1）可以显示当前训练功能，训练时间，阻力，速度，运动轨迹，对称性监测信息；</w:t>
            </w:r>
          </w:p>
          <w:p w14:paraId="065D4145">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（2）显示界面可设置两种不同的场景背景，不同的训练速度会显示不同的工具模组；</w:t>
            </w:r>
          </w:p>
          <w:p w14:paraId="20F69C0A">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（3）工具模组：训练速度小于等于15r/min时，训练场景中显示为自行车；训练速度为16~30r/min 时，训练场景中显示为黄色汽车；训练速度为31~45r/min时，训练场景中显示为紫色跑车；训练速度大于等于46r/min时，训练场景中显示为红色赛车；</w:t>
            </w:r>
          </w:p>
          <w:p w14:paraId="457C5D30">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12.主被动模式：设备可以在主动模式和被动模式间自动转换；</w:t>
            </w:r>
          </w:p>
          <w:p w14:paraId="11574025">
            <w:pPr>
              <w:widowControl w:val="0"/>
              <w:numPr>
                <w:ilvl w:val="0"/>
                <w:numId w:val="0"/>
              </w:numPr>
              <w:spacing w:before="22" w:line="239" w:lineRule="auto"/>
              <w:ind w:left="26" w:leftChars="0" w:right="181" w:rightChars="0"/>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13.康复器治疗结束后，可显示训练结果：包括总训练时长、主动训练时长被、动训练时长、总训练距离、主动训练距离、被动训练距离、左右对称性、能量消耗、痉挛次数、肌张力等级等内容；</w:t>
            </w:r>
          </w:p>
        </w:tc>
        <w:tc>
          <w:tcPr>
            <w:tcW w:w="1391" w:type="dxa"/>
            <w:tcBorders>
              <w:tl2br w:val="nil"/>
              <w:tr2bl w:val="nil"/>
            </w:tcBorders>
            <w:vAlign w:val="center"/>
          </w:tcPr>
          <w:p w14:paraId="077D96A5">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1BB8BF0B">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6DC65B00">
            <w:pPr>
              <w:spacing w:line="240" w:lineRule="auto"/>
              <w:jc w:val="center"/>
              <w:rPr>
                <w:rFonts w:hint="eastAsia" w:ascii="宋体" w:hAnsi="宋体" w:eastAsia="宋体" w:cs="宋体"/>
                <w:b w:val="0"/>
                <w:bCs w:val="0"/>
                <w:color w:val="auto"/>
                <w:sz w:val="18"/>
                <w:szCs w:val="18"/>
                <w:highlight w:val="none"/>
              </w:rPr>
            </w:pPr>
          </w:p>
        </w:tc>
      </w:tr>
      <w:tr w14:paraId="1EB62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14C3B2F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w:t>
            </w:r>
          </w:p>
        </w:tc>
        <w:tc>
          <w:tcPr>
            <w:tcW w:w="1936" w:type="dxa"/>
            <w:tcBorders>
              <w:tl2br w:val="nil"/>
              <w:tr2bl w:val="nil"/>
            </w:tcBorders>
            <w:vAlign w:val="center"/>
          </w:tcPr>
          <w:p w14:paraId="10F23170">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矫正镜</w:t>
            </w:r>
          </w:p>
        </w:tc>
        <w:tc>
          <w:tcPr>
            <w:tcW w:w="7403" w:type="dxa"/>
            <w:tcBorders>
              <w:tl2br w:val="nil"/>
              <w:tr2bl w:val="nil"/>
            </w:tcBorders>
          </w:tcPr>
          <w:p w14:paraId="09615A5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1.产品规格：87x65x191cm (允差±10cm)，镜面玻璃厚度0.5cm (允差±0.2cm)</w:t>
            </w:r>
          </w:p>
          <w:p w14:paraId="257537DA">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2.说明：各种姿势矫正训练</w:t>
            </w:r>
          </w:p>
        </w:tc>
        <w:tc>
          <w:tcPr>
            <w:tcW w:w="1391" w:type="dxa"/>
            <w:tcBorders>
              <w:tl2br w:val="nil"/>
              <w:tr2bl w:val="nil"/>
            </w:tcBorders>
            <w:vAlign w:val="center"/>
          </w:tcPr>
          <w:p w14:paraId="2DD2BB83">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7B423613">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7A1F34C5">
            <w:pPr>
              <w:spacing w:line="240" w:lineRule="auto"/>
              <w:jc w:val="center"/>
              <w:rPr>
                <w:rFonts w:hint="eastAsia" w:ascii="宋体" w:hAnsi="宋体" w:eastAsia="宋体" w:cs="宋体"/>
                <w:b w:val="0"/>
                <w:bCs w:val="0"/>
                <w:color w:val="auto"/>
                <w:sz w:val="18"/>
                <w:szCs w:val="18"/>
                <w:highlight w:val="none"/>
                <w:lang w:val="en-US" w:eastAsia="zh-CN"/>
              </w:rPr>
            </w:pPr>
          </w:p>
        </w:tc>
      </w:tr>
      <w:tr w14:paraId="1562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06090AE">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w:t>
            </w:r>
          </w:p>
        </w:tc>
        <w:tc>
          <w:tcPr>
            <w:tcW w:w="1936" w:type="dxa"/>
            <w:tcBorders>
              <w:tl2br w:val="nil"/>
              <w:tr2bl w:val="nil"/>
            </w:tcBorders>
            <w:vAlign w:val="center"/>
          </w:tcPr>
          <w:p w14:paraId="2637EB2E">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医用康复床（PT训练床）</w:t>
            </w:r>
          </w:p>
        </w:tc>
        <w:tc>
          <w:tcPr>
            <w:tcW w:w="7403" w:type="dxa"/>
            <w:tcBorders>
              <w:tl2br w:val="nil"/>
              <w:tr2bl w:val="nil"/>
            </w:tcBorders>
          </w:tcPr>
          <w:p w14:paraId="5F46222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1.规格：190*123*48cm（允差±10%),最大承载能力130kg（允差±10%)</w:t>
            </w:r>
          </w:p>
          <w:p w14:paraId="05F2D67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2.说明：用于 PT 训练患者床上活动</w:t>
            </w:r>
          </w:p>
        </w:tc>
        <w:tc>
          <w:tcPr>
            <w:tcW w:w="1391" w:type="dxa"/>
            <w:tcBorders>
              <w:tl2br w:val="nil"/>
              <w:tr2bl w:val="nil"/>
            </w:tcBorders>
            <w:vAlign w:val="center"/>
          </w:tcPr>
          <w:p w14:paraId="793B3222">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30B493BD">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46B9D933">
            <w:pPr>
              <w:spacing w:line="240" w:lineRule="auto"/>
              <w:jc w:val="center"/>
              <w:rPr>
                <w:rFonts w:hint="eastAsia" w:ascii="宋体" w:hAnsi="宋体" w:eastAsia="宋体" w:cs="宋体"/>
                <w:b w:val="0"/>
                <w:bCs w:val="0"/>
                <w:color w:val="auto"/>
                <w:sz w:val="18"/>
                <w:szCs w:val="18"/>
                <w:highlight w:val="none"/>
              </w:rPr>
            </w:pPr>
          </w:p>
        </w:tc>
      </w:tr>
      <w:tr w14:paraId="4BE4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20182B4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13</w:t>
            </w:r>
          </w:p>
        </w:tc>
        <w:tc>
          <w:tcPr>
            <w:tcW w:w="1936" w:type="dxa"/>
            <w:tcBorders>
              <w:tl2br w:val="nil"/>
              <w:tr2bl w:val="nil"/>
            </w:tcBorders>
            <w:vAlign w:val="center"/>
          </w:tcPr>
          <w:p w14:paraId="5F8F7E40">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电动直立床</w:t>
            </w:r>
          </w:p>
        </w:tc>
        <w:tc>
          <w:tcPr>
            <w:tcW w:w="7403" w:type="dxa"/>
            <w:tcBorders>
              <w:tl2br w:val="nil"/>
              <w:tr2bl w:val="nil"/>
            </w:tcBorders>
          </w:tcPr>
          <w:p w14:paraId="5FC8937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1.电动直立床是物理治疗及康复训练设备，适用于脊髓或下肢伤残患者进行恢复性站立训练。 </w:t>
            </w:r>
          </w:p>
          <w:p w14:paraId="26B62F4E">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2.警告性说明 </w:t>
            </w:r>
          </w:p>
          <w:p w14:paraId="64DA1C37">
            <w:pPr>
              <w:keepNext w:val="0"/>
              <w:keepLines w:val="0"/>
              <w:widowControl/>
              <w:suppressLineNumbers w:val="0"/>
              <w:spacing w:line="240" w:lineRule="auto"/>
              <w:ind w:firstLine="180" w:firstLineChars="100"/>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长期卧床患者开始进行训练时，应遵循“循序渐进”的原则，以防发生体位性低血压、下肢肿胀等现象。 </w:t>
            </w:r>
          </w:p>
          <w:p w14:paraId="5A4CE61B">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基本参数 </w:t>
            </w:r>
          </w:p>
          <w:p w14:paraId="0E28D4A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1.200×80×50cm,（允差10%) </w:t>
            </w:r>
          </w:p>
          <w:p w14:paraId="29EAED4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2.床面高度 52cm，（允差10%) </w:t>
            </w:r>
          </w:p>
          <w:p w14:paraId="228453E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3.床面宽度 61cm，（允差10%) </w:t>
            </w:r>
          </w:p>
          <w:p w14:paraId="7500B1E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4.床面角度转动范围 0°～90°，（允差10%) </w:t>
            </w:r>
          </w:p>
          <w:p w14:paraId="09BDA6A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5.额定负载 135kg，平均角速度 1.25°/S，（允差10%) </w:t>
            </w:r>
          </w:p>
          <w:p w14:paraId="1DC6CF0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6.输入功率 120VA。 </w:t>
            </w:r>
          </w:p>
          <w:p w14:paraId="18E090F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7.功能偏瘫、截瘫及其它重症患者恢复训练时的站立训练。 </w:t>
            </w:r>
          </w:p>
          <w:p w14:paraId="2D7ED73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8.床体移动方式：带 4 只移动静音脚轮 </w:t>
            </w:r>
          </w:p>
          <w:p w14:paraId="2159A46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9.站立脚踏板：站立脚踏板可调试，左右脚角度可调节 </w:t>
            </w:r>
          </w:p>
          <w:p w14:paraId="46C8CD9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10.安全绑带：安全绑带宽度 100mm 抗拉力为 150Kg（允差10%) </w:t>
            </w:r>
          </w:p>
          <w:p w14:paraId="6343CE68">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11.餐桌板：配有可拆卸式餐桌插板 </w:t>
            </w:r>
          </w:p>
          <w:p w14:paraId="109F546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12.开关配置：配有急停开关 </w:t>
            </w:r>
          </w:p>
          <w:p w14:paraId="12B9F86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13.对长期卧床和髓拐伤患者,利用倾斜功能进行站姿训练,为预防体位性低血压肌肉萎缩和关节僵硬等多种并发症有良好的作用,其床面高度能方便患者进行轮椅和床上转移.适应症:偏瘫,截瘫,长期卧床导至体位性低血压,肌无力,肌萎缩,平衡功能障碍及心血管病患等.</w:t>
            </w:r>
          </w:p>
        </w:tc>
        <w:tc>
          <w:tcPr>
            <w:tcW w:w="1391" w:type="dxa"/>
            <w:tcBorders>
              <w:tl2br w:val="nil"/>
              <w:tr2bl w:val="nil"/>
            </w:tcBorders>
            <w:vAlign w:val="center"/>
          </w:tcPr>
          <w:p w14:paraId="7E908898">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204CB3D0">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7E93BE53">
            <w:pPr>
              <w:spacing w:line="240" w:lineRule="auto"/>
              <w:jc w:val="center"/>
              <w:rPr>
                <w:rFonts w:hint="eastAsia" w:ascii="宋体" w:hAnsi="宋体" w:eastAsia="宋体" w:cs="宋体"/>
                <w:b w:val="0"/>
                <w:bCs w:val="0"/>
                <w:color w:val="auto"/>
                <w:sz w:val="18"/>
                <w:szCs w:val="18"/>
                <w:highlight w:val="none"/>
              </w:rPr>
            </w:pPr>
          </w:p>
        </w:tc>
      </w:tr>
      <w:tr w14:paraId="7CA6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24D5D7D">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14</w:t>
            </w:r>
          </w:p>
        </w:tc>
        <w:tc>
          <w:tcPr>
            <w:tcW w:w="1936" w:type="dxa"/>
            <w:tcBorders>
              <w:tl2br w:val="nil"/>
              <w:tr2bl w:val="nil"/>
            </w:tcBorders>
            <w:vAlign w:val="center"/>
          </w:tcPr>
          <w:p w14:paraId="6CDE652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下肢功率车</w:t>
            </w:r>
          </w:p>
        </w:tc>
        <w:tc>
          <w:tcPr>
            <w:tcW w:w="7403" w:type="dxa"/>
            <w:tcBorders>
              <w:tl2br w:val="nil"/>
              <w:tr2bl w:val="nil"/>
            </w:tcBorders>
          </w:tcPr>
          <w:p w14:paraId="05AC58A3">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1、结构型式:电子表、扶手架、阻尼调节器、座垫、脚踏板及绑带、基架 </w:t>
            </w:r>
          </w:p>
          <w:p w14:paraId="0A8176BE">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2、材质:静电喷塑架、橡胶踏板、橡胶垫、海绵扶手 </w:t>
            </w:r>
          </w:p>
          <w:p w14:paraId="7C6EE593">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3、电子表的功能: </w:t>
            </w:r>
          </w:p>
          <w:p w14:paraId="0EE4B2F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(1)、显示窗口:显示时间、速度、距离、热里等数值 </w:t>
            </w:r>
          </w:p>
          <w:p w14:paraId="1CC2635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(2)、回零键:按此键，使显示窗口当前显示的数据回雯。</w:t>
            </w:r>
          </w:p>
          <w:p w14:paraId="4CEDD98C">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4、座垫额定载荷 kg:≥135 </w:t>
            </w:r>
          </w:p>
          <w:p w14:paraId="45833D9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5、阻尼调节档数:≥8 </w:t>
            </w:r>
          </w:p>
          <w:p w14:paraId="7533593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red"/>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6、参考规格(cm):115x48x123(允差±10cm)</w:t>
            </w:r>
          </w:p>
        </w:tc>
        <w:tc>
          <w:tcPr>
            <w:tcW w:w="1391" w:type="dxa"/>
            <w:tcBorders>
              <w:tl2br w:val="nil"/>
              <w:tr2bl w:val="nil"/>
            </w:tcBorders>
            <w:vAlign w:val="center"/>
          </w:tcPr>
          <w:p w14:paraId="099B4BB9">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p>
        </w:tc>
        <w:tc>
          <w:tcPr>
            <w:tcW w:w="1255" w:type="dxa"/>
            <w:tcBorders>
              <w:tl2br w:val="nil"/>
              <w:tr2bl w:val="nil"/>
            </w:tcBorders>
            <w:vAlign w:val="center"/>
          </w:tcPr>
          <w:p w14:paraId="3E735420">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辆</w:t>
            </w:r>
          </w:p>
        </w:tc>
        <w:tc>
          <w:tcPr>
            <w:tcW w:w="1214" w:type="dxa"/>
            <w:tcBorders>
              <w:tl2br w:val="nil"/>
              <w:tr2bl w:val="nil"/>
            </w:tcBorders>
            <w:vAlign w:val="center"/>
          </w:tcPr>
          <w:p w14:paraId="1E38670F">
            <w:pPr>
              <w:spacing w:line="240" w:lineRule="auto"/>
              <w:jc w:val="center"/>
              <w:rPr>
                <w:rFonts w:hint="eastAsia" w:ascii="宋体" w:hAnsi="宋体" w:eastAsia="宋体" w:cs="宋体"/>
                <w:b w:val="0"/>
                <w:bCs w:val="0"/>
                <w:color w:val="auto"/>
                <w:sz w:val="18"/>
                <w:szCs w:val="18"/>
                <w:highlight w:val="none"/>
                <w:lang w:val="en-US" w:eastAsia="zh-CN"/>
              </w:rPr>
            </w:pPr>
          </w:p>
        </w:tc>
      </w:tr>
      <w:tr w14:paraId="58ED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243325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w:t>
            </w:r>
          </w:p>
        </w:tc>
        <w:tc>
          <w:tcPr>
            <w:tcW w:w="1936" w:type="dxa"/>
            <w:tcBorders>
              <w:tl2br w:val="nil"/>
              <w:tr2bl w:val="nil"/>
            </w:tcBorders>
            <w:vAlign w:val="center"/>
          </w:tcPr>
          <w:p w14:paraId="2D315280">
            <w:pPr>
              <w:spacing w:line="240" w:lineRule="auto"/>
              <w:jc w:val="center"/>
              <w:rPr>
                <w:rFonts w:hint="eastAsia" w:ascii="宋体" w:hAnsi="宋体" w:eastAsia="宋体" w:cs="宋体"/>
                <w:b w:val="0"/>
                <w:bCs w:val="0"/>
                <w:color w:val="auto"/>
                <w:sz w:val="21"/>
                <w:szCs w:val="21"/>
                <w:highlight w:val="none"/>
              </w:rPr>
            </w:pPr>
            <w:bookmarkStart w:id="10" w:name="OLE_LINK2"/>
            <w:r>
              <w:rPr>
                <w:rFonts w:hint="eastAsia" w:ascii="宋体" w:hAnsi="宋体" w:eastAsia="宋体" w:cs="宋体"/>
                <w:b w:val="0"/>
                <w:bCs w:val="0"/>
                <w:color w:val="auto"/>
                <w:sz w:val="21"/>
                <w:szCs w:val="21"/>
                <w:highlight w:val="none"/>
              </w:rPr>
              <w:t>可调式沙磨板及附件</w:t>
            </w:r>
            <w:bookmarkEnd w:id="10"/>
          </w:p>
        </w:tc>
        <w:tc>
          <w:tcPr>
            <w:tcW w:w="7403" w:type="dxa"/>
            <w:tcBorders>
              <w:tl2br w:val="nil"/>
              <w:tr2bl w:val="nil"/>
            </w:tcBorders>
          </w:tcPr>
          <w:p w14:paraId="62D20659">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1.参考规格(cm)：100×80×84-130cm (允差±10cm)</w:t>
            </w:r>
          </w:p>
          <w:p w14:paraId="1BCC3F52">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2.沙磨板面积(cm)：93×72（允差±10） </w:t>
            </w:r>
          </w:p>
          <w:p w14:paraId="2DE1428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3.沙磨板厚度(cm)：≥0.5 </w:t>
            </w:r>
          </w:p>
          <w:p w14:paraId="1A329625">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4.沙磨板角度调节范围：0～50° </w:t>
            </w:r>
          </w:p>
          <w:p w14:paraId="4D0016A0">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5.附件品种和件数 4 个品种，各 1 件 </w:t>
            </w:r>
          </w:p>
        </w:tc>
        <w:tc>
          <w:tcPr>
            <w:tcW w:w="1391" w:type="dxa"/>
            <w:tcBorders>
              <w:tl2br w:val="nil"/>
              <w:tr2bl w:val="nil"/>
            </w:tcBorders>
            <w:vAlign w:val="center"/>
          </w:tcPr>
          <w:p w14:paraId="42694B34">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4DEDB658">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p w14:paraId="0B3F9FEA">
            <w:pPr>
              <w:spacing w:line="240" w:lineRule="auto"/>
              <w:jc w:val="center"/>
              <w:rPr>
                <w:rFonts w:hint="eastAsia" w:ascii="宋体" w:hAnsi="宋体" w:eastAsia="宋体" w:cs="宋体"/>
                <w:b w:val="0"/>
                <w:bCs w:val="0"/>
                <w:color w:val="auto"/>
                <w:sz w:val="18"/>
                <w:szCs w:val="18"/>
                <w:highlight w:val="none"/>
                <w:lang w:val="en-US" w:eastAsia="zh-CN"/>
              </w:rPr>
            </w:pPr>
          </w:p>
        </w:tc>
        <w:tc>
          <w:tcPr>
            <w:tcW w:w="1214" w:type="dxa"/>
            <w:tcBorders>
              <w:tl2br w:val="nil"/>
              <w:tr2bl w:val="nil"/>
            </w:tcBorders>
            <w:vAlign w:val="center"/>
          </w:tcPr>
          <w:p w14:paraId="0912AD2B">
            <w:pPr>
              <w:spacing w:line="240" w:lineRule="auto"/>
              <w:jc w:val="center"/>
              <w:rPr>
                <w:rFonts w:hint="eastAsia" w:ascii="宋体" w:hAnsi="宋体" w:eastAsia="宋体" w:cs="宋体"/>
                <w:b w:val="0"/>
                <w:bCs w:val="0"/>
                <w:color w:val="auto"/>
                <w:sz w:val="18"/>
                <w:szCs w:val="18"/>
                <w:highlight w:val="none"/>
              </w:rPr>
            </w:pPr>
          </w:p>
        </w:tc>
      </w:tr>
      <w:tr w14:paraId="5CED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46DE3D74">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16</w:t>
            </w:r>
          </w:p>
        </w:tc>
        <w:tc>
          <w:tcPr>
            <w:tcW w:w="1936" w:type="dxa"/>
            <w:tcBorders>
              <w:tl2br w:val="nil"/>
              <w:tr2bl w:val="nil"/>
            </w:tcBorders>
            <w:vAlign w:val="center"/>
          </w:tcPr>
          <w:p w14:paraId="4244274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套圈</w:t>
            </w:r>
          </w:p>
        </w:tc>
        <w:tc>
          <w:tcPr>
            <w:tcW w:w="7403" w:type="dxa"/>
            <w:tcBorders>
              <w:tl2br w:val="nil"/>
              <w:tr2bl w:val="nil"/>
            </w:tcBorders>
          </w:tcPr>
          <w:p w14:paraId="275552AA">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1.材质：木质。由 9 根立柱 9 个套圈组成，底板有数字显示。</w:t>
            </w:r>
          </w:p>
          <w:p w14:paraId="3DB42101">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 xml:space="preserve">2.参考尺寸：≥42×42×15cm </w:t>
            </w:r>
          </w:p>
          <w:p w14:paraId="64747509">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3.训练患者眼-手协调功能。</w:t>
            </w:r>
          </w:p>
        </w:tc>
        <w:tc>
          <w:tcPr>
            <w:tcW w:w="1391" w:type="dxa"/>
            <w:tcBorders>
              <w:tl2br w:val="nil"/>
              <w:tr2bl w:val="nil"/>
            </w:tcBorders>
            <w:vAlign w:val="center"/>
          </w:tcPr>
          <w:p w14:paraId="09AE2B49">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214819EA">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tc>
        <w:tc>
          <w:tcPr>
            <w:tcW w:w="1214" w:type="dxa"/>
            <w:tcBorders>
              <w:tl2br w:val="nil"/>
              <w:tr2bl w:val="nil"/>
            </w:tcBorders>
            <w:vAlign w:val="center"/>
          </w:tcPr>
          <w:p w14:paraId="103CE131">
            <w:pPr>
              <w:spacing w:line="240" w:lineRule="auto"/>
              <w:jc w:val="center"/>
              <w:rPr>
                <w:rFonts w:hint="eastAsia" w:ascii="宋体" w:hAnsi="宋体" w:eastAsia="宋体" w:cs="宋体"/>
                <w:b w:val="0"/>
                <w:bCs w:val="0"/>
                <w:color w:val="auto"/>
                <w:sz w:val="18"/>
                <w:szCs w:val="18"/>
                <w:highlight w:val="none"/>
              </w:rPr>
            </w:pPr>
          </w:p>
        </w:tc>
      </w:tr>
      <w:tr w14:paraId="56E5D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23480433">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w:t>
            </w:r>
          </w:p>
        </w:tc>
        <w:tc>
          <w:tcPr>
            <w:tcW w:w="1936" w:type="dxa"/>
            <w:tcBorders>
              <w:tl2br w:val="nil"/>
              <w:tr2bl w:val="nil"/>
            </w:tcBorders>
            <w:vAlign w:val="center"/>
          </w:tcPr>
          <w:p w14:paraId="57EC74DE">
            <w:pPr>
              <w:spacing w:line="240" w:lineRule="auto"/>
              <w:jc w:val="center"/>
              <w:rPr>
                <w:rFonts w:hint="eastAsia" w:ascii="宋体" w:hAnsi="宋体" w:eastAsia="宋体" w:cs="宋体"/>
                <w:b w:val="0"/>
                <w:bCs w:val="0"/>
                <w:color w:val="auto"/>
                <w:sz w:val="21"/>
                <w:szCs w:val="21"/>
                <w:highlight w:val="none"/>
              </w:rPr>
            </w:pPr>
          </w:p>
          <w:p w14:paraId="32399301">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几何图形插板</w:t>
            </w:r>
          </w:p>
          <w:p w14:paraId="0E439DF7">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65971B47">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1.产品参考规格：≥50*40cm*3cm</w:t>
            </w:r>
          </w:p>
          <w:p w14:paraId="0C9F942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2.说明：患者感知能力及大脑对图形的识别能力</w:t>
            </w:r>
          </w:p>
        </w:tc>
        <w:tc>
          <w:tcPr>
            <w:tcW w:w="1391" w:type="dxa"/>
            <w:tcBorders>
              <w:tl2br w:val="nil"/>
              <w:tr2bl w:val="nil"/>
            </w:tcBorders>
            <w:vAlign w:val="center"/>
          </w:tcPr>
          <w:p w14:paraId="18D5F556">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439B5C66">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块</w:t>
            </w:r>
          </w:p>
        </w:tc>
        <w:tc>
          <w:tcPr>
            <w:tcW w:w="1214" w:type="dxa"/>
            <w:tcBorders>
              <w:tl2br w:val="nil"/>
              <w:tr2bl w:val="nil"/>
            </w:tcBorders>
            <w:vAlign w:val="center"/>
          </w:tcPr>
          <w:p w14:paraId="1C2A9390">
            <w:pPr>
              <w:spacing w:line="240" w:lineRule="auto"/>
              <w:jc w:val="center"/>
              <w:rPr>
                <w:rFonts w:hint="eastAsia" w:ascii="宋体" w:hAnsi="宋体" w:eastAsia="宋体" w:cs="宋体"/>
                <w:b w:val="0"/>
                <w:bCs w:val="0"/>
                <w:color w:val="auto"/>
                <w:sz w:val="18"/>
                <w:szCs w:val="18"/>
                <w:highlight w:val="none"/>
                <w:lang w:val="en-US" w:eastAsia="zh-CN"/>
              </w:rPr>
            </w:pPr>
          </w:p>
        </w:tc>
      </w:tr>
      <w:tr w14:paraId="68E9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723" w:type="dxa"/>
            <w:tcBorders>
              <w:tl2br w:val="nil"/>
              <w:tr2bl w:val="nil"/>
            </w:tcBorders>
            <w:vAlign w:val="center"/>
          </w:tcPr>
          <w:p w14:paraId="51600C02">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18</w:t>
            </w:r>
          </w:p>
        </w:tc>
        <w:tc>
          <w:tcPr>
            <w:tcW w:w="1936" w:type="dxa"/>
            <w:tcBorders>
              <w:tl2br w:val="nil"/>
              <w:tr2bl w:val="nil"/>
            </w:tcBorders>
            <w:vAlign w:val="center"/>
          </w:tcPr>
          <w:p w14:paraId="49334ABD">
            <w:pPr>
              <w:spacing w:line="240" w:lineRule="auto"/>
              <w:jc w:val="center"/>
              <w:rPr>
                <w:rFonts w:hint="eastAsia" w:ascii="宋体" w:hAnsi="宋体" w:eastAsia="宋体" w:cs="宋体"/>
                <w:b w:val="0"/>
                <w:bCs w:val="0"/>
                <w:color w:val="auto"/>
                <w:sz w:val="21"/>
                <w:szCs w:val="21"/>
                <w:highlight w:val="none"/>
              </w:rPr>
            </w:pPr>
          </w:p>
          <w:p w14:paraId="0A20CB40">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上肢关节康复器（上肢推举训练款）</w:t>
            </w:r>
          </w:p>
        </w:tc>
        <w:tc>
          <w:tcPr>
            <w:tcW w:w="7403" w:type="dxa"/>
            <w:tcBorders>
              <w:tl2br w:val="nil"/>
              <w:tr2bl w:val="nil"/>
            </w:tcBorders>
          </w:tcPr>
          <w:p w14:paraId="248FEA6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1.产品规格：68*51*54-65cm(允差±5cm)，可调坡度 30 °~ 45 ° 。推拉范围 36cm、配重 9 个，时间、次数实时显示。</w:t>
            </w:r>
          </w:p>
          <w:p w14:paraId="1118A30C">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2.说明：上肢肌力协调活动能力和关节活动度的作业训练</w:t>
            </w:r>
          </w:p>
        </w:tc>
        <w:tc>
          <w:tcPr>
            <w:tcW w:w="1391" w:type="dxa"/>
            <w:tcBorders>
              <w:tl2br w:val="nil"/>
              <w:tr2bl w:val="nil"/>
            </w:tcBorders>
            <w:vAlign w:val="center"/>
          </w:tcPr>
          <w:p w14:paraId="2C94C98A">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734A85F8">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0B6B419F">
            <w:pPr>
              <w:spacing w:line="240" w:lineRule="auto"/>
              <w:jc w:val="center"/>
              <w:rPr>
                <w:rFonts w:hint="eastAsia" w:ascii="宋体" w:hAnsi="宋体" w:eastAsia="宋体" w:cs="宋体"/>
                <w:b w:val="0"/>
                <w:bCs w:val="0"/>
                <w:color w:val="auto"/>
                <w:sz w:val="18"/>
                <w:szCs w:val="18"/>
                <w:highlight w:val="none"/>
              </w:rPr>
            </w:pPr>
          </w:p>
        </w:tc>
      </w:tr>
      <w:tr w14:paraId="3FA3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12DBFDF">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19</w:t>
            </w:r>
          </w:p>
        </w:tc>
        <w:tc>
          <w:tcPr>
            <w:tcW w:w="1936" w:type="dxa"/>
            <w:tcBorders>
              <w:tl2br w:val="nil"/>
              <w:tr2bl w:val="nil"/>
            </w:tcBorders>
            <w:vAlign w:val="center"/>
          </w:tcPr>
          <w:p w14:paraId="57D4D05E">
            <w:pPr>
              <w:spacing w:line="24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作业训练器</w:t>
            </w:r>
          </w:p>
          <w:p w14:paraId="1E6A4200">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7D82E9BC">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1.产品规格：架子50 × 15 × 50cm（允差±10%) ，小平板30 × 30 × 9cm ，大平板48× 38× 13㎝ ，(允差±2cm)</w:t>
            </w:r>
          </w:p>
          <w:p w14:paraId="123B5760">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2.功能 ：改善手指对指功能 ，提高手的协调性 、灵活性。还可用于手的感觉功能训练。</w:t>
            </w:r>
          </w:p>
        </w:tc>
        <w:tc>
          <w:tcPr>
            <w:tcW w:w="1391" w:type="dxa"/>
            <w:tcBorders>
              <w:tl2br w:val="nil"/>
              <w:tr2bl w:val="nil"/>
            </w:tcBorders>
            <w:vAlign w:val="center"/>
          </w:tcPr>
          <w:p w14:paraId="5920E815">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2F674CB0">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tc>
        <w:tc>
          <w:tcPr>
            <w:tcW w:w="1214" w:type="dxa"/>
            <w:tcBorders>
              <w:tl2br w:val="nil"/>
              <w:tr2bl w:val="nil"/>
            </w:tcBorders>
            <w:vAlign w:val="center"/>
          </w:tcPr>
          <w:p w14:paraId="4DF62771">
            <w:pPr>
              <w:spacing w:line="240" w:lineRule="auto"/>
              <w:jc w:val="center"/>
              <w:rPr>
                <w:rFonts w:hint="eastAsia" w:ascii="宋体" w:hAnsi="宋体" w:eastAsia="宋体" w:cs="宋体"/>
                <w:b w:val="0"/>
                <w:bCs w:val="0"/>
                <w:color w:val="auto"/>
                <w:sz w:val="18"/>
                <w:szCs w:val="18"/>
                <w:highlight w:val="none"/>
              </w:rPr>
            </w:pPr>
          </w:p>
        </w:tc>
      </w:tr>
      <w:tr w14:paraId="4CC5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6590D0C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20</w:t>
            </w:r>
          </w:p>
        </w:tc>
        <w:tc>
          <w:tcPr>
            <w:tcW w:w="1936" w:type="dxa"/>
            <w:tcBorders>
              <w:tl2br w:val="nil"/>
              <w:tr2bl w:val="nil"/>
            </w:tcBorders>
            <w:vAlign w:val="center"/>
          </w:tcPr>
          <w:p w14:paraId="1DAC84F3">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上螺母</w:t>
            </w:r>
          </w:p>
          <w:p w14:paraId="6F435662">
            <w:pPr>
              <w:spacing w:line="240" w:lineRule="auto"/>
              <w:jc w:val="center"/>
              <w:rPr>
                <w:rFonts w:hint="eastAsia" w:ascii="宋体" w:hAnsi="宋体" w:eastAsia="宋体" w:cs="宋体"/>
                <w:b w:val="0"/>
                <w:bCs w:val="0"/>
                <w:color w:val="auto"/>
                <w:sz w:val="21"/>
                <w:szCs w:val="21"/>
                <w:highlight w:val="none"/>
                <w:lang w:val="en-US" w:eastAsia="zh-CN"/>
              </w:rPr>
            </w:pPr>
          </w:p>
        </w:tc>
        <w:tc>
          <w:tcPr>
            <w:tcW w:w="7403" w:type="dxa"/>
            <w:tcBorders>
              <w:tl2br w:val="nil"/>
              <w:tr2bl w:val="nil"/>
            </w:tcBorders>
          </w:tcPr>
          <w:p w14:paraId="0494A4F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 产品规格：31*19*19cm (±5cm），大号螺栓16个，小号螺栓8个</w:t>
            </w:r>
          </w:p>
          <w:p w14:paraId="6B0D0F49">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2. 说明：通过模拟作业，改善手指对指功能</w:t>
            </w:r>
          </w:p>
        </w:tc>
        <w:tc>
          <w:tcPr>
            <w:tcW w:w="1391" w:type="dxa"/>
            <w:tcBorders>
              <w:tl2br w:val="nil"/>
              <w:tr2bl w:val="nil"/>
            </w:tcBorders>
            <w:vAlign w:val="center"/>
          </w:tcPr>
          <w:p w14:paraId="34227466">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5D93F731">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54F573E8">
            <w:pPr>
              <w:spacing w:line="240" w:lineRule="auto"/>
              <w:jc w:val="center"/>
              <w:rPr>
                <w:rFonts w:hint="eastAsia" w:ascii="宋体" w:hAnsi="宋体" w:eastAsia="宋体" w:cs="宋体"/>
                <w:b w:val="0"/>
                <w:bCs w:val="0"/>
                <w:color w:val="auto"/>
                <w:sz w:val="18"/>
                <w:szCs w:val="18"/>
                <w:highlight w:val="none"/>
              </w:rPr>
            </w:pPr>
          </w:p>
        </w:tc>
      </w:tr>
      <w:tr w14:paraId="47A6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65E795F">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w:t>
            </w:r>
          </w:p>
        </w:tc>
        <w:tc>
          <w:tcPr>
            <w:tcW w:w="1936" w:type="dxa"/>
            <w:tcBorders>
              <w:tl2br w:val="nil"/>
              <w:tr2bl w:val="nil"/>
            </w:tcBorders>
            <w:vAlign w:val="center"/>
          </w:tcPr>
          <w:p w14:paraId="7B3114A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上螺丝</w:t>
            </w:r>
          </w:p>
        </w:tc>
        <w:tc>
          <w:tcPr>
            <w:tcW w:w="7403" w:type="dxa"/>
            <w:tcBorders>
              <w:tl2br w:val="nil"/>
              <w:tr2bl w:val="nil"/>
            </w:tcBorders>
          </w:tcPr>
          <w:p w14:paraId="7CEC7D6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1.产品规格：34*24*3cm (±2cm），小号螺栓7个，大号螺栓13个</w:t>
            </w:r>
          </w:p>
          <w:p w14:paraId="2BADD187">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2.说明：通过模拟作业，提高手的协调性，灵活性</w:t>
            </w:r>
          </w:p>
        </w:tc>
        <w:tc>
          <w:tcPr>
            <w:tcW w:w="1391" w:type="dxa"/>
            <w:tcBorders>
              <w:tl2br w:val="nil"/>
              <w:tr2bl w:val="nil"/>
            </w:tcBorders>
            <w:vAlign w:val="center"/>
          </w:tcPr>
          <w:p w14:paraId="3D350523">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2071A8C9">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75685AFE">
            <w:pPr>
              <w:spacing w:line="240" w:lineRule="auto"/>
              <w:jc w:val="center"/>
              <w:rPr>
                <w:rFonts w:hint="eastAsia" w:ascii="宋体" w:hAnsi="宋体" w:eastAsia="宋体" w:cs="宋体"/>
                <w:b w:val="0"/>
                <w:bCs w:val="0"/>
                <w:color w:val="auto"/>
                <w:sz w:val="18"/>
                <w:szCs w:val="18"/>
                <w:highlight w:val="none"/>
              </w:rPr>
            </w:pPr>
          </w:p>
        </w:tc>
      </w:tr>
      <w:tr w14:paraId="70DF3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40421B7">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w:t>
            </w:r>
          </w:p>
        </w:tc>
        <w:tc>
          <w:tcPr>
            <w:tcW w:w="1936" w:type="dxa"/>
            <w:tcBorders>
              <w:tl2br w:val="nil"/>
              <w:tr2bl w:val="nil"/>
            </w:tcBorders>
            <w:vAlign w:val="center"/>
          </w:tcPr>
          <w:p w14:paraId="18768B59">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手平衡协调训练器</w:t>
            </w:r>
          </w:p>
        </w:tc>
        <w:tc>
          <w:tcPr>
            <w:tcW w:w="7403" w:type="dxa"/>
            <w:tcBorders>
              <w:tl2br w:val="nil"/>
              <w:tr2bl w:val="nil"/>
            </w:tcBorders>
          </w:tcPr>
          <w:p w14:paraId="4B450920">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1.产品规格：25*30cm(±2cm)</w:t>
            </w:r>
          </w:p>
          <w:p w14:paraId="7686DC5E">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2.用途：手协调功能训练</w:t>
            </w:r>
          </w:p>
        </w:tc>
        <w:tc>
          <w:tcPr>
            <w:tcW w:w="1391" w:type="dxa"/>
            <w:tcBorders>
              <w:tl2br w:val="nil"/>
              <w:tr2bl w:val="nil"/>
            </w:tcBorders>
            <w:vAlign w:val="center"/>
          </w:tcPr>
          <w:p w14:paraId="64C87F90">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11B9563D">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tc>
        <w:tc>
          <w:tcPr>
            <w:tcW w:w="1214" w:type="dxa"/>
            <w:tcBorders>
              <w:tl2br w:val="nil"/>
              <w:tr2bl w:val="nil"/>
            </w:tcBorders>
            <w:vAlign w:val="center"/>
          </w:tcPr>
          <w:p w14:paraId="5E2F39B7">
            <w:pPr>
              <w:spacing w:line="240" w:lineRule="auto"/>
              <w:jc w:val="center"/>
              <w:rPr>
                <w:rFonts w:hint="eastAsia" w:ascii="宋体" w:hAnsi="宋体" w:eastAsia="宋体" w:cs="宋体"/>
                <w:b w:val="0"/>
                <w:bCs w:val="0"/>
                <w:color w:val="auto"/>
                <w:sz w:val="18"/>
                <w:szCs w:val="18"/>
                <w:highlight w:val="none"/>
              </w:rPr>
            </w:pPr>
          </w:p>
        </w:tc>
      </w:tr>
      <w:tr w14:paraId="54BA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67D98CB8">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w:t>
            </w:r>
          </w:p>
        </w:tc>
        <w:tc>
          <w:tcPr>
            <w:tcW w:w="1936" w:type="dxa"/>
            <w:tcBorders>
              <w:tl2br w:val="nil"/>
              <w:tr2bl w:val="nil"/>
            </w:tcBorders>
            <w:vAlign w:val="center"/>
          </w:tcPr>
          <w:p w14:paraId="18C8C365">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上肢关节康复器（OT综合工作台</w:t>
            </w:r>
            <w:r>
              <w:rPr>
                <w:rFonts w:hint="eastAsia" w:ascii="宋体" w:hAnsi="宋体" w:eastAsia="宋体" w:cs="宋体"/>
                <w:b w:val="0"/>
                <w:bCs w:val="0"/>
                <w:color w:val="auto"/>
                <w:sz w:val="21"/>
                <w:szCs w:val="21"/>
                <w:highlight w:val="none"/>
                <w:lang w:eastAsia="zh-CN"/>
              </w:rPr>
              <w:t>）</w:t>
            </w:r>
          </w:p>
          <w:p w14:paraId="3FA7E0F6">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0545C15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1.产品规格：操作台180*100*90cm(±10cm )，左右操作台面40*30cm(±5cm )后操作面板97*30(±5cm )，操作面板调节范围：460mm-810mm (±5cm ) </w:t>
            </w:r>
          </w:p>
          <w:p w14:paraId="083C849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2.组件：上肢协调功能练习器(手指)，分指板或者堆杯二选一、铁棍插板、木插板、套圈(立式)、几何图形插板、认知图形插板、模拟作业工具、上螺丝、上螺母、磁性纽 </w:t>
            </w:r>
          </w:p>
          <w:p w14:paraId="6664B7ED">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3.说明：改善手指对指功能，提高眼手协调功能，训练患者感知能力及大脑对图形的识别能力。</w:t>
            </w:r>
          </w:p>
        </w:tc>
        <w:tc>
          <w:tcPr>
            <w:tcW w:w="1391" w:type="dxa"/>
            <w:tcBorders>
              <w:tl2br w:val="nil"/>
              <w:tr2bl w:val="nil"/>
            </w:tcBorders>
            <w:vAlign w:val="center"/>
          </w:tcPr>
          <w:p w14:paraId="44C59233">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43D5DC81">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4C26FA75">
            <w:pPr>
              <w:spacing w:line="240" w:lineRule="auto"/>
              <w:jc w:val="center"/>
              <w:rPr>
                <w:rFonts w:hint="eastAsia" w:ascii="宋体" w:hAnsi="宋体" w:eastAsia="宋体" w:cs="宋体"/>
                <w:b w:val="0"/>
                <w:bCs w:val="0"/>
                <w:color w:val="auto"/>
                <w:sz w:val="18"/>
                <w:szCs w:val="18"/>
                <w:highlight w:val="none"/>
              </w:rPr>
            </w:pPr>
          </w:p>
        </w:tc>
      </w:tr>
      <w:tr w14:paraId="1B84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55BB58B">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w:t>
            </w:r>
          </w:p>
        </w:tc>
        <w:tc>
          <w:tcPr>
            <w:tcW w:w="1936" w:type="dxa"/>
            <w:tcBorders>
              <w:tl2br w:val="nil"/>
              <w:tr2bl w:val="nil"/>
            </w:tcBorders>
            <w:vAlign w:val="center"/>
          </w:tcPr>
          <w:p w14:paraId="3A5216FA">
            <w:pPr>
              <w:numPr>
                <w:ilvl w:val="0"/>
                <w:numId w:val="0"/>
              </w:numPr>
              <w:spacing w:line="240" w:lineRule="auto"/>
              <w:ind w:left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模拟作业工具</w:t>
            </w:r>
          </w:p>
        </w:tc>
        <w:tc>
          <w:tcPr>
            <w:tcW w:w="7403" w:type="dxa"/>
            <w:tcBorders>
              <w:tl2br w:val="nil"/>
              <w:tr2bl w:val="nil"/>
            </w:tcBorders>
          </w:tcPr>
          <w:p w14:paraId="11562EAB">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1.产品规格：拟工具：16 个,重量 0.4 ㎏（允差±10%) </w:t>
            </w:r>
          </w:p>
          <w:p w14:paraId="0656B44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2.说明：通过手操作各种模拟工具，改善手指对指功能，提高手的协调性、灵活性。还可用于手的感觉功能练习。</w:t>
            </w:r>
          </w:p>
        </w:tc>
        <w:tc>
          <w:tcPr>
            <w:tcW w:w="1391" w:type="dxa"/>
            <w:tcBorders>
              <w:tl2br w:val="nil"/>
              <w:tr2bl w:val="nil"/>
            </w:tcBorders>
            <w:vAlign w:val="center"/>
          </w:tcPr>
          <w:p w14:paraId="15CA6483">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3766DD94">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1B0AC23F">
            <w:pPr>
              <w:spacing w:line="240" w:lineRule="auto"/>
              <w:jc w:val="center"/>
              <w:rPr>
                <w:rFonts w:hint="eastAsia" w:ascii="宋体" w:hAnsi="宋体" w:eastAsia="宋体" w:cs="宋体"/>
                <w:b w:val="0"/>
                <w:bCs w:val="0"/>
                <w:color w:val="auto"/>
                <w:sz w:val="18"/>
                <w:szCs w:val="18"/>
                <w:highlight w:val="none"/>
              </w:rPr>
            </w:pPr>
          </w:p>
        </w:tc>
      </w:tr>
      <w:tr w14:paraId="242C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6AFB3B38">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25</w:t>
            </w:r>
          </w:p>
        </w:tc>
        <w:tc>
          <w:tcPr>
            <w:tcW w:w="1936" w:type="dxa"/>
            <w:tcBorders>
              <w:tl2br w:val="nil"/>
              <w:tr2bl w:val="nil"/>
            </w:tcBorders>
            <w:vAlign w:val="center"/>
          </w:tcPr>
          <w:p w14:paraId="39AF775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PT凳</w:t>
            </w:r>
          </w:p>
          <w:p w14:paraId="24C8A348">
            <w:pPr>
              <w:spacing w:line="240" w:lineRule="auto"/>
              <w:jc w:val="center"/>
              <w:rPr>
                <w:rFonts w:hint="eastAsia" w:ascii="宋体" w:hAnsi="宋体" w:eastAsia="宋体" w:cs="宋体"/>
                <w:b w:val="0"/>
                <w:bCs w:val="0"/>
                <w:color w:val="auto"/>
                <w:sz w:val="21"/>
                <w:szCs w:val="21"/>
                <w:highlight w:val="none"/>
              </w:rPr>
            </w:pPr>
          </w:p>
          <w:p w14:paraId="755DAEE3">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7B46CA5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1.规格：60*43*42~53cm(允差5cm) </w:t>
            </w:r>
          </w:p>
          <w:p w14:paraId="07512673">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2.坐垫：43*39*5cm(允差3cm),液压杆 28-39cm (允差2cm)可调，升高11cm.最高55cm,最低43cm(允差3cm)，铝钢结合，带液压油缸，360°旋转。凳面上升载荷≤15kg(允差2kg),凳面下降载荷≥25kg(允差2kg) </w:t>
            </w:r>
          </w:p>
          <w:p w14:paraId="7F61AD3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3.说明：治疗师对患者进行手法治疗时的可移动式坐具</w:t>
            </w:r>
          </w:p>
        </w:tc>
        <w:tc>
          <w:tcPr>
            <w:tcW w:w="1391" w:type="dxa"/>
            <w:tcBorders>
              <w:tl2br w:val="nil"/>
              <w:tr2bl w:val="nil"/>
            </w:tcBorders>
            <w:vAlign w:val="center"/>
          </w:tcPr>
          <w:p w14:paraId="0CA54888">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5</w:t>
            </w:r>
          </w:p>
        </w:tc>
        <w:tc>
          <w:tcPr>
            <w:tcW w:w="1255" w:type="dxa"/>
            <w:tcBorders>
              <w:tl2br w:val="nil"/>
              <w:tr2bl w:val="nil"/>
            </w:tcBorders>
            <w:vAlign w:val="center"/>
          </w:tcPr>
          <w:p w14:paraId="5E1DC5D1">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2DC569AE">
            <w:pPr>
              <w:spacing w:line="240" w:lineRule="auto"/>
              <w:jc w:val="center"/>
              <w:rPr>
                <w:rFonts w:hint="eastAsia" w:ascii="宋体" w:hAnsi="宋体" w:eastAsia="宋体" w:cs="宋体"/>
                <w:b w:val="0"/>
                <w:bCs w:val="0"/>
                <w:color w:val="auto"/>
                <w:sz w:val="18"/>
                <w:szCs w:val="18"/>
                <w:highlight w:val="none"/>
              </w:rPr>
            </w:pPr>
          </w:p>
        </w:tc>
      </w:tr>
      <w:tr w14:paraId="03894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39D76266">
            <w:pPr>
              <w:spacing w:line="240" w:lineRule="auto"/>
              <w:jc w:val="center"/>
              <w:rPr>
                <w:rFonts w:hint="eastAsia" w:ascii="宋体" w:hAnsi="宋体" w:eastAsia="宋体" w:cs="宋体"/>
                <w:b w:val="0"/>
                <w:bCs w:val="0"/>
                <w:color w:val="auto"/>
                <w:sz w:val="21"/>
                <w:szCs w:val="21"/>
                <w:highlight w:val="none"/>
              </w:rPr>
            </w:pPr>
          </w:p>
          <w:p w14:paraId="78D49829">
            <w:pPr>
              <w:spacing w:line="240" w:lineRule="auto"/>
              <w:jc w:val="center"/>
              <w:rPr>
                <w:rFonts w:hint="eastAsia" w:ascii="宋体" w:hAnsi="宋体" w:eastAsia="宋体" w:cs="宋体"/>
                <w:b w:val="0"/>
                <w:bCs w:val="0"/>
                <w:color w:val="auto"/>
                <w:sz w:val="21"/>
                <w:szCs w:val="21"/>
                <w:highlight w:val="none"/>
              </w:rPr>
            </w:pPr>
          </w:p>
          <w:p w14:paraId="21EE6ECF">
            <w:pPr>
              <w:spacing w:line="240" w:lineRule="auto"/>
              <w:jc w:val="center"/>
              <w:rPr>
                <w:rFonts w:hint="eastAsia" w:ascii="宋体" w:hAnsi="宋体" w:eastAsia="宋体" w:cs="宋体"/>
                <w:b w:val="0"/>
                <w:bCs w:val="0"/>
                <w:color w:val="auto"/>
                <w:sz w:val="21"/>
                <w:szCs w:val="21"/>
                <w:highlight w:val="none"/>
              </w:rPr>
            </w:pPr>
          </w:p>
          <w:p w14:paraId="289C85F9">
            <w:pPr>
              <w:spacing w:line="240" w:lineRule="auto"/>
              <w:jc w:val="center"/>
              <w:rPr>
                <w:rFonts w:hint="eastAsia" w:ascii="宋体" w:hAnsi="宋体" w:eastAsia="宋体" w:cs="宋体"/>
                <w:b w:val="0"/>
                <w:bCs w:val="0"/>
                <w:color w:val="auto"/>
                <w:sz w:val="21"/>
                <w:szCs w:val="21"/>
                <w:highlight w:val="none"/>
              </w:rPr>
            </w:pPr>
          </w:p>
          <w:p w14:paraId="4EFBEF88">
            <w:pPr>
              <w:spacing w:line="240" w:lineRule="auto"/>
              <w:jc w:val="center"/>
              <w:rPr>
                <w:rFonts w:hint="eastAsia" w:ascii="宋体" w:hAnsi="宋体" w:eastAsia="宋体" w:cs="宋体"/>
                <w:b w:val="0"/>
                <w:bCs w:val="0"/>
                <w:color w:val="auto"/>
                <w:sz w:val="21"/>
                <w:szCs w:val="21"/>
                <w:highlight w:val="none"/>
              </w:rPr>
            </w:pPr>
          </w:p>
          <w:p w14:paraId="162A2744">
            <w:pPr>
              <w:spacing w:line="240" w:lineRule="auto"/>
              <w:jc w:val="center"/>
              <w:rPr>
                <w:rFonts w:hint="eastAsia" w:ascii="宋体" w:hAnsi="宋体" w:eastAsia="宋体" w:cs="宋体"/>
                <w:b w:val="0"/>
                <w:bCs w:val="0"/>
                <w:color w:val="auto"/>
                <w:sz w:val="21"/>
                <w:szCs w:val="21"/>
                <w:highlight w:val="none"/>
              </w:rPr>
            </w:pPr>
          </w:p>
          <w:p w14:paraId="591B3254">
            <w:pPr>
              <w:spacing w:line="240" w:lineRule="auto"/>
              <w:jc w:val="center"/>
              <w:rPr>
                <w:rFonts w:hint="eastAsia" w:ascii="宋体" w:hAnsi="宋体" w:eastAsia="宋体" w:cs="宋体"/>
                <w:b w:val="0"/>
                <w:bCs w:val="0"/>
                <w:color w:val="auto"/>
                <w:sz w:val="21"/>
                <w:szCs w:val="21"/>
                <w:highlight w:val="none"/>
              </w:rPr>
            </w:pPr>
          </w:p>
          <w:p w14:paraId="6ACF2999">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w:t>
            </w:r>
          </w:p>
        </w:tc>
        <w:tc>
          <w:tcPr>
            <w:tcW w:w="1936" w:type="dxa"/>
            <w:tcBorders>
              <w:tl2br w:val="nil"/>
              <w:tr2bl w:val="nil"/>
            </w:tcBorders>
            <w:vAlign w:val="center"/>
          </w:tcPr>
          <w:p w14:paraId="73F66521">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60BE4D20">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2F49546F">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17E470CB">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725C50E3">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79D1EF88">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6767E44D">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16F692C8">
            <w:pPr>
              <w:numPr>
                <w:ilvl w:val="0"/>
                <w:numId w:val="0"/>
              </w:numPr>
              <w:spacing w:line="240" w:lineRule="auto"/>
              <w:ind w:left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心理脑功能（言语）评估训练系统</w:t>
            </w:r>
          </w:p>
          <w:p w14:paraId="0E99019A">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091584D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专业的系统言语认知功能障碍评定系统，准确评定患者言语认知障碍类型。评定结束，提供康复训练建议。 </w:t>
            </w:r>
          </w:p>
          <w:p w14:paraId="4E5C48B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▲1.1、评估包含 ≥6 个模块，1.语音功能评估模块，"西方失语成套测验(WAB)","Frenchay 构音障碍评估","语言流畅度测评","理解能力测评","复述能力测评","语言命名能力测评","阅读能力测评","书写能力测评","运用能力测评","结构、视空间和计算能力测评", </w:t>
            </w:r>
          </w:p>
          <w:p w14:paraId="22AF85F3">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1.2、躯体功能评估模块，"上肢主要肌肉手法肌力检查","下肢主要肌肉手法肌力检查","躯干主要肌肉手法肌力检查","上肢主要关节活动范围测量","下肢主要关节活动范围测量","肌张力临床分级","Ashworth 痉挛量表","改良 </w:t>
            </w:r>
          </w:p>
          <w:p w14:paraId="46F4DE0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Ashworth 痉挛量表","临床常用协调试验","东京大学康复部协调性检查","平衡障碍严重程度分级","脊髓损伤患者平衡障碍评估","常用平衡评估方法","Fugl-Meyer 平衡功能评定","脊髓损伤感觉障碍评估","Fugl-Meyer 四肢感觉 </w:t>
            </w:r>
          </w:p>
          <w:p w14:paraId="7A43CA7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功能评估","Fugl-Meyer 关节活动度及疼痛评估","上肢功能评估","步行能力分级","偏瘫步态髋矢状面分析","偏瘫步态躯干矢状面分析","偏瘫步态踝足矢状面分析","偏瘫步态膝矢状面分析","Brunnstrom 脑卒中偏瘫恢复六阶段评估","上田敏偏瘫上肢功能评估","上田敏偏瘫下肢功能评估","上田敏偏瘫手指功能评估","简化 Fugl-Meyer 评估法","偏瘫患者运动评估量表(MAS)","Rivermead 运动指数","偏瘫手功能评估","肩关节半脱位评估","肩手综合征评估","帕金森病统一评分量表运动分表(UPDRS-Ⅲ)","功能性运动量表(FAC)","Berg 平衡量表(BBS)","计时起立一步行测验(TUGT)","10m 步行测试","改良 Hoehn-Yahr 分期","特异性活动平衡自信量表(ABC)","改良 Rankin 量表(MRS)","功能性步态评价(FGA)","SBT 量表(SBT)", </w:t>
            </w:r>
          </w:p>
          <w:p w14:paraId="0BD7C03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1.3 心理功能评估模块："焦虑抑郁联合评估表","Zung 焦虑自评量表(SAS)","汉密尔顿焦虑量表(HAMA)","抑郁自评量表(SDS)","汉密尔顿抑郁量表(HAMD)","脑卒中后抑郁多模式诊断","格拉斯哥昏迷评估表(GCS)","认知功能筛 </w:t>
            </w:r>
          </w:p>
          <w:p w14:paraId="1E1509DA">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选检查表(CCSE)","简易智能状态检查(MMSE)","长谷川痴呆量表(HDS)","LOTCA 认知评估","韦氏成人智力量表城市版(WAIS-RC)","韦氏成人智力量表农村版(WAIS-RC)","记忆功能障碍筛查","韦氏记忆量表(WMS)(甲式)","韦氏记忆量表(WMS)(乙式)","Rivermead 行为记忆试验(RBMT)","注意力评估","失认症评估","失用症评估", </w:t>
            </w:r>
          </w:p>
          <w:p w14:paraId="1013D9E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1.4、吞咽困难评估模块、"洼田饮水试验","吞咽障碍简易筛查表","吞咽肌临床功能评定", </w:t>
            </w:r>
          </w:p>
          <w:p w14:paraId="6D61C08A">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1.5 日常生活活动能力评估模块、"Barthel 指数(BI)","改良 Barthel 指数(BI)","功能活动问卷(FAQ)","工具性 ADL量表(IADL)","功能独立性评估法(FIM）",</w:t>
            </w:r>
          </w:p>
          <w:p w14:paraId="20F212C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1.6 生活质量评估模块、"生活满意度指数 A","生活满意度指数B(LSIB)","生活质量指数", </w:t>
            </w:r>
          </w:p>
          <w:p w14:paraId="15A2237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2、第二要求： </w:t>
            </w:r>
          </w:p>
          <w:p w14:paraId="0499811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2.1 提供成套评估：要求提供经过信度效度检验的语言成套测验，使临床人员能够完成对患者各领域的语言评估； </w:t>
            </w:r>
          </w:p>
          <w:p w14:paraId="52D636D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2.2 反馈记录全媒体化：可实时全程录制医生及患者的语音，捕获患者的屏幕，可全程记录患者的多种反馈，录制现场视频；再现评测现场数据，方便典型病例的完整的评估回溯； </w:t>
            </w:r>
          </w:p>
          <w:p w14:paraId="768CA71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2.3 支持多语音平台：支持全程语音评测指导，内置多语音平台，支持普通话及语音切换； </w:t>
            </w:r>
          </w:p>
          <w:p w14:paraId="3036E49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2.4 支持多媒体反馈：支持丰富反馈方式，被试者可选择、绘画书写、图像选择、图像排列、语音、数字计算等多种反馈； </w:t>
            </w:r>
          </w:p>
          <w:p w14:paraId="2958B6B8">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2.5 提供强大的统计：穿透式统计可深入统计到量表的具体评估项目得分情况，系统既可宏观统计，又可微观统计，实现数据分析全透明化； </w:t>
            </w:r>
          </w:p>
          <w:p w14:paraId="1D7B89DA">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2.6 多重对比分析：可对历次评估结果进行图形化对比，还可对历次评估结果的剖面图进行对比分析； </w:t>
            </w:r>
          </w:p>
          <w:p w14:paraId="7BDE919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2.7 数据自动备份：信息数据可备份，确保用户数据存储安全； </w:t>
            </w:r>
          </w:p>
          <w:p w14:paraId="00B1CEBD">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2.8 科研数据 Excel 化，提供各量表总分和小项分等各数据的 Excel 文件导出； </w:t>
            </w:r>
          </w:p>
          <w:p w14:paraId="6667D40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2.9 评估操作简单一致：评估控制操作界面风格统一，操作方式一致，可随时了解评估进度及已评估情况； </w:t>
            </w:r>
          </w:p>
          <w:p w14:paraId="3BDB278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▲2.10 病历数据模板化，满足病历数据编码要求：可针对用户的科研特定要求制定相应的病历数据模板，从而使病历项目与用户要求一致，同时可按用户要求方式对病历数据进行编码方便统计分析。 </w:t>
            </w:r>
          </w:p>
        </w:tc>
        <w:tc>
          <w:tcPr>
            <w:tcW w:w="1391" w:type="dxa"/>
            <w:tcBorders>
              <w:tl2br w:val="nil"/>
              <w:tr2bl w:val="nil"/>
            </w:tcBorders>
            <w:vAlign w:val="center"/>
          </w:tcPr>
          <w:p w14:paraId="13B950FD">
            <w:pPr>
              <w:spacing w:line="240" w:lineRule="auto"/>
              <w:jc w:val="center"/>
              <w:rPr>
                <w:rFonts w:hint="eastAsia" w:ascii="宋体" w:hAnsi="宋体" w:eastAsia="宋体" w:cs="宋体"/>
                <w:b w:val="0"/>
                <w:bCs w:val="0"/>
                <w:color w:val="auto"/>
                <w:sz w:val="18"/>
                <w:szCs w:val="18"/>
                <w:highlight w:val="none"/>
              </w:rPr>
            </w:pPr>
          </w:p>
          <w:p w14:paraId="1F529F8D">
            <w:pPr>
              <w:spacing w:line="240" w:lineRule="auto"/>
              <w:jc w:val="center"/>
              <w:rPr>
                <w:rFonts w:hint="eastAsia" w:ascii="宋体" w:hAnsi="宋体" w:eastAsia="宋体" w:cs="宋体"/>
                <w:b w:val="0"/>
                <w:bCs w:val="0"/>
                <w:color w:val="auto"/>
                <w:sz w:val="18"/>
                <w:szCs w:val="18"/>
                <w:highlight w:val="none"/>
              </w:rPr>
            </w:pPr>
          </w:p>
          <w:p w14:paraId="1A4D9D55">
            <w:pPr>
              <w:spacing w:line="240" w:lineRule="auto"/>
              <w:jc w:val="center"/>
              <w:rPr>
                <w:rFonts w:hint="eastAsia" w:ascii="宋体" w:hAnsi="宋体" w:eastAsia="宋体" w:cs="宋体"/>
                <w:b w:val="0"/>
                <w:bCs w:val="0"/>
                <w:color w:val="auto"/>
                <w:sz w:val="18"/>
                <w:szCs w:val="18"/>
                <w:highlight w:val="none"/>
              </w:rPr>
            </w:pPr>
          </w:p>
          <w:p w14:paraId="1DCB77CC">
            <w:pPr>
              <w:spacing w:line="240" w:lineRule="auto"/>
              <w:jc w:val="center"/>
              <w:rPr>
                <w:rFonts w:hint="eastAsia" w:ascii="宋体" w:hAnsi="宋体" w:eastAsia="宋体" w:cs="宋体"/>
                <w:b w:val="0"/>
                <w:bCs w:val="0"/>
                <w:color w:val="auto"/>
                <w:sz w:val="18"/>
                <w:szCs w:val="18"/>
                <w:highlight w:val="none"/>
              </w:rPr>
            </w:pPr>
          </w:p>
          <w:p w14:paraId="25145346">
            <w:pPr>
              <w:spacing w:line="240" w:lineRule="auto"/>
              <w:jc w:val="center"/>
              <w:rPr>
                <w:rFonts w:hint="eastAsia" w:ascii="宋体" w:hAnsi="宋体" w:eastAsia="宋体" w:cs="宋体"/>
                <w:b w:val="0"/>
                <w:bCs w:val="0"/>
                <w:color w:val="auto"/>
                <w:sz w:val="18"/>
                <w:szCs w:val="18"/>
                <w:highlight w:val="none"/>
              </w:rPr>
            </w:pPr>
          </w:p>
          <w:p w14:paraId="3F154608">
            <w:pPr>
              <w:spacing w:line="240" w:lineRule="auto"/>
              <w:jc w:val="center"/>
              <w:rPr>
                <w:rFonts w:hint="eastAsia" w:ascii="宋体" w:hAnsi="宋体" w:eastAsia="宋体" w:cs="宋体"/>
                <w:b w:val="0"/>
                <w:bCs w:val="0"/>
                <w:color w:val="auto"/>
                <w:sz w:val="18"/>
                <w:szCs w:val="18"/>
                <w:highlight w:val="none"/>
              </w:rPr>
            </w:pPr>
          </w:p>
          <w:p w14:paraId="51CA99C3">
            <w:pPr>
              <w:spacing w:line="240" w:lineRule="auto"/>
              <w:jc w:val="center"/>
              <w:rPr>
                <w:rFonts w:hint="eastAsia" w:ascii="宋体" w:hAnsi="宋体" w:eastAsia="宋体" w:cs="宋体"/>
                <w:b w:val="0"/>
                <w:bCs w:val="0"/>
                <w:color w:val="auto"/>
                <w:sz w:val="18"/>
                <w:szCs w:val="18"/>
                <w:highlight w:val="none"/>
              </w:rPr>
            </w:pPr>
          </w:p>
          <w:p w14:paraId="39F38ED4">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166974D0">
            <w:pPr>
              <w:spacing w:line="240" w:lineRule="auto"/>
              <w:jc w:val="center"/>
              <w:rPr>
                <w:rFonts w:hint="eastAsia" w:ascii="宋体" w:hAnsi="宋体" w:eastAsia="宋体" w:cs="宋体"/>
                <w:b w:val="0"/>
                <w:bCs w:val="0"/>
                <w:color w:val="auto"/>
                <w:sz w:val="18"/>
                <w:szCs w:val="18"/>
                <w:highlight w:val="none"/>
                <w:lang w:val="en-US" w:eastAsia="zh-CN"/>
              </w:rPr>
            </w:pPr>
          </w:p>
          <w:p w14:paraId="6B4F1CBE">
            <w:pPr>
              <w:spacing w:line="240" w:lineRule="auto"/>
              <w:jc w:val="center"/>
              <w:rPr>
                <w:rFonts w:hint="eastAsia" w:ascii="宋体" w:hAnsi="宋体" w:eastAsia="宋体" w:cs="宋体"/>
                <w:b w:val="0"/>
                <w:bCs w:val="0"/>
                <w:color w:val="auto"/>
                <w:sz w:val="18"/>
                <w:szCs w:val="18"/>
                <w:highlight w:val="none"/>
                <w:lang w:val="en-US" w:eastAsia="zh-CN"/>
              </w:rPr>
            </w:pPr>
          </w:p>
          <w:p w14:paraId="15F63A3B">
            <w:pPr>
              <w:spacing w:line="240" w:lineRule="auto"/>
              <w:jc w:val="center"/>
              <w:rPr>
                <w:rFonts w:hint="eastAsia" w:ascii="宋体" w:hAnsi="宋体" w:eastAsia="宋体" w:cs="宋体"/>
                <w:b w:val="0"/>
                <w:bCs w:val="0"/>
                <w:color w:val="auto"/>
                <w:sz w:val="18"/>
                <w:szCs w:val="18"/>
                <w:highlight w:val="none"/>
                <w:lang w:val="en-US" w:eastAsia="zh-CN"/>
              </w:rPr>
            </w:pPr>
          </w:p>
          <w:p w14:paraId="06F90211">
            <w:pPr>
              <w:spacing w:line="240" w:lineRule="auto"/>
              <w:jc w:val="center"/>
              <w:rPr>
                <w:rFonts w:hint="eastAsia" w:ascii="宋体" w:hAnsi="宋体" w:eastAsia="宋体" w:cs="宋体"/>
                <w:b w:val="0"/>
                <w:bCs w:val="0"/>
                <w:color w:val="auto"/>
                <w:sz w:val="18"/>
                <w:szCs w:val="18"/>
                <w:highlight w:val="none"/>
                <w:lang w:val="en-US" w:eastAsia="zh-CN"/>
              </w:rPr>
            </w:pPr>
          </w:p>
          <w:p w14:paraId="59749A57">
            <w:pPr>
              <w:spacing w:line="240" w:lineRule="auto"/>
              <w:jc w:val="center"/>
              <w:rPr>
                <w:rFonts w:hint="eastAsia" w:ascii="宋体" w:hAnsi="宋体" w:eastAsia="宋体" w:cs="宋体"/>
                <w:b w:val="0"/>
                <w:bCs w:val="0"/>
                <w:color w:val="auto"/>
                <w:sz w:val="18"/>
                <w:szCs w:val="18"/>
                <w:highlight w:val="none"/>
                <w:lang w:val="en-US" w:eastAsia="zh-CN"/>
              </w:rPr>
            </w:pPr>
          </w:p>
          <w:p w14:paraId="714AC40F">
            <w:pPr>
              <w:spacing w:line="240" w:lineRule="auto"/>
              <w:jc w:val="center"/>
              <w:rPr>
                <w:rFonts w:hint="eastAsia" w:ascii="宋体" w:hAnsi="宋体" w:eastAsia="宋体" w:cs="宋体"/>
                <w:b w:val="0"/>
                <w:bCs w:val="0"/>
                <w:color w:val="auto"/>
                <w:sz w:val="18"/>
                <w:szCs w:val="18"/>
                <w:highlight w:val="none"/>
                <w:lang w:val="en-US" w:eastAsia="zh-CN"/>
              </w:rPr>
            </w:pPr>
          </w:p>
          <w:p w14:paraId="155D8303">
            <w:pPr>
              <w:spacing w:line="240" w:lineRule="auto"/>
              <w:jc w:val="center"/>
              <w:rPr>
                <w:rFonts w:hint="eastAsia" w:ascii="宋体" w:hAnsi="宋体" w:eastAsia="宋体" w:cs="宋体"/>
                <w:b w:val="0"/>
                <w:bCs w:val="0"/>
                <w:color w:val="auto"/>
                <w:sz w:val="18"/>
                <w:szCs w:val="18"/>
                <w:highlight w:val="none"/>
                <w:lang w:val="en-US" w:eastAsia="zh-CN"/>
              </w:rPr>
            </w:pPr>
          </w:p>
          <w:p w14:paraId="6E4BFC6A">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17B18254">
            <w:pPr>
              <w:spacing w:line="240" w:lineRule="auto"/>
              <w:jc w:val="center"/>
              <w:rPr>
                <w:rFonts w:hint="eastAsia" w:ascii="宋体" w:hAnsi="宋体" w:eastAsia="宋体" w:cs="宋体"/>
                <w:b w:val="0"/>
                <w:bCs w:val="0"/>
                <w:color w:val="auto"/>
                <w:sz w:val="18"/>
                <w:szCs w:val="18"/>
                <w:highlight w:val="none"/>
              </w:rPr>
            </w:pPr>
          </w:p>
        </w:tc>
      </w:tr>
      <w:tr w14:paraId="5D6B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43F1D8EE">
            <w:pPr>
              <w:spacing w:line="240" w:lineRule="auto"/>
              <w:jc w:val="center"/>
              <w:rPr>
                <w:rFonts w:hint="eastAsia" w:ascii="宋体" w:hAnsi="宋体" w:eastAsia="宋体" w:cs="宋体"/>
                <w:b w:val="0"/>
                <w:bCs w:val="0"/>
                <w:color w:val="auto"/>
                <w:sz w:val="21"/>
                <w:szCs w:val="21"/>
                <w:highlight w:val="none"/>
              </w:rPr>
            </w:pPr>
          </w:p>
          <w:p w14:paraId="1DDE4CE5">
            <w:pPr>
              <w:spacing w:line="240" w:lineRule="auto"/>
              <w:jc w:val="center"/>
              <w:rPr>
                <w:rFonts w:hint="eastAsia" w:ascii="宋体" w:hAnsi="宋体" w:eastAsia="宋体" w:cs="宋体"/>
                <w:b w:val="0"/>
                <w:bCs w:val="0"/>
                <w:color w:val="auto"/>
                <w:sz w:val="21"/>
                <w:szCs w:val="21"/>
                <w:highlight w:val="none"/>
              </w:rPr>
            </w:pPr>
          </w:p>
          <w:p w14:paraId="7380AB61">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27</w:t>
            </w:r>
          </w:p>
        </w:tc>
        <w:tc>
          <w:tcPr>
            <w:tcW w:w="1936" w:type="dxa"/>
            <w:tcBorders>
              <w:tl2br w:val="nil"/>
              <w:tr2bl w:val="nil"/>
            </w:tcBorders>
            <w:vAlign w:val="center"/>
          </w:tcPr>
          <w:p w14:paraId="2AF4724A">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76B7616A">
            <w:pPr>
              <w:numPr>
                <w:ilvl w:val="0"/>
                <w:numId w:val="0"/>
              </w:numPr>
              <w:spacing w:line="240" w:lineRule="auto"/>
              <w:ind w:leftChars="0"/>
              <w:jc w:val="center"/>
              <w:rPr>
                <w:rFonts w:hint="eastAsia" w:ascii="宋体" w:hAnsi="宋体" w:eastAsia="宋体" w:cs="宋体"/>
                <w:b w:val="0"/>
                <w:bCs w:val="0"/>
                <w:color w:val="auto"/>
                <w:sz w:val="21"/>
                <w:szCs w:val="21"/>
                <w:highlight w:val="none"/>
              </w:rPr>
            </w:pPr>
          </w:p>
          <w:p w14:paraId="6A6A7CE9">
            <w:pPr>
              <w:numPr>
                <w:ilvl w:val="0"/>
                <w:numId w:val="0"/>
              </w:numPr>
              <w:spacing w:line="240" w:lineRule="auto"/>
              <w:ind w:left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吞咽神经肌肉电刺激仪</w:t>
            </w:r>
          </w:p>
          <w:p w14:paraId="3E5AA1F0">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39043C7A">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1.输出模式 </w:t>
            </w:r>
          </w:p>
          <w:p w14:paraId="237B28F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脉冲宽度:100μs~300us;脉冲频率:50Hz~100Hz 可调;输出模式:连续输出;输出波形:单向方波。 </w:t>
            </w:r>
          </w:p>
          <w:p w14:paraId="5EC8E65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2.间歇模式：脉冲宽度:100μs~300us;脉冲间隔:100us，脉冲频率:50Hz~100Hz 可调;输出模式:输出 5s，间歇 5s,依次循环，输出波形:单向方波。 </w:t>
            </w:r>
          </w:p>
          <w:p w14:paraId="2A2CB3C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3.基强度：输出电流:0~25mA 可调;波形:单向方波 </w:t>
            </w:r>
          </w:p>
          <w:p w14:paraId="62CF40D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4.治疗时间:0~60min 可设定（以 5min 递增）。 </w:t>
            </w:r>
          </w:p>
          <w:p w14:paraId="7AFF5DE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5.吞咽电极：正负极为两个电极板，正负极电极搭配方可使用。 </w:t>
            </w:r>
          </w:p>
          <w:p w14:paraId="4325135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6.根据情况可以进行负压调节，方可进行拔罐理疗。 </w:t>
            </w:r>
          </w:p>
          <w:p w14:paraId="18977729">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7.脉冲转换：分为脉冲 1 和脉冲 2.</w:t>
            </w:r>
          </w:p>
        </w:tc>
        <w:tc>
          <w:tcPr>
            <w:tcW w:w="1391" w:type="dxa"/>
            <w:tcBorders>
              <w:tl2br w:val="nil"/>
              <w:tr2bl w:val="nil"/>
            </w:tcBorders>
            <w:vAlign w:val="center"/>
          </w:tcPr>
          <w:p w14:paraId="5F5C5CDF">
            <w:pPr>
              <w:spacing w:line="240" w:lineRule="auto"/>
              <w:jc w:val="center"/>
              <w:rPr>
                <w:rFonts w:hint="eastAsia" w:ascii="宋体" w:hAnsi="宋体" w:eastAsia="宋体" w:cs="宋体"/>
                <w:b w:val="0"/>
                <w:bCs w:val="0"/>
                <w:color w:val="auto"/>
                <w:sz w:val="18"/>
                <w:szCs w:val="18"/>
                <w:highlight w:val="none"/>
              </w:rPr>
            </w:pPr>
          </w:p>
          <w:p w14:paraId="114A272E">
            <w:pPr>
              <w:spacing w:line="240" w:lineRule="auto"/>
              <w:jc w:val="center"/>
              <w:rPr>
                <w:rFonts w:hint="eastAsia" w:ascii="宋体" w:hAnsi="宋体" w:eastAsia="宋体" w:cs="宋体"/>
                <w:b w:val="0"/>
                <w:bCs w:val="0"/>
                <w:color w:val="auto"/>
                <w:sz w:val="18"/>
                <w:szCs w:val="18"/>
                <w:highlight w:val="none"/>
              </w:rPr>
            </w:pPr>
          </w:p>
          <w:p w14:paraId="4328F651">
            <w:pPr>
              <w:spacing w:line="240" w:lineRule="auto"/>
              <w:jc w:val="center"/>
              <w:rPr>
                <w:rFonts w:hint="eastAsia" w:ascii="宋体" w:hAnsi="宋体" w:eastAsia="宋体" w:cs="宋体"/>
                <w:b w:val="0"/>
                <w:bCs w:val="0"/>
                <w:color w:val="auto"/>
                <w:sz w:val="18"/>
                <w:szCs w:val="18"/>
                <w:highlight w:val="none"/>
              </w:rPr>
            </w:pPr>
          </w:p>
          <w:p w14:paraId="2601FFE4">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35AC8B70">
            <w:pPr>
              <w:spacing w:line="240" w:lineRule="auto"/>
              <w:jc w:val="center"/>
              <w:rPr>
                <w:rFonts w:hint="eastAsia" w:ascii="宋体" w:hAnsi="宋体" w:eastAsia="宋体" w:cs="宋体"/>
                <w:b w:val="0"/>
                <w:bCs w:val="0"/>
                <w:color w:val="auto"/>
                <w:sz w:val="18"/>
                <w:szCs w:val="18"/>
                <w:highlight w:val="none"/>
                <w:lang w:val="en-US" w:eastAsia="zh-CN"/>
              </w:rPr>
            </w:pPr>
          </w:p>
          <w:p w14:paraId="49AD3004">
            <w:pPr>
              <w:spacing w:line="240" w:lineRule="auto"/>
              <w:jc w:val="center"/>
              <w:rPr>
                <w:rFonts w:hint="eastAsia" w:ascii="宋体" w:hAnsi="宋体" w:eastAsia="宋体" w:cs="宋体"/>
                <w:b w:val="0"/>
                <w:bCs w:val="0"/>
                <w:color w:val="auto"/>
                <w:sz w:val="18"/>
                <w:szCs w:val="18"/>
                <w:highlight w:val="none"/>
                <w:lang w:val="en-US" w:eastAsia="zh-CN"/>
              </w:rPr>
            </w:pPr>
          </w:p>
          <w:p w14:paraId="07E146DF">
            <w:pPr>
              <w:spacing w:line="240" w:lineRule="auto"/>
              <w:jc w:val="center"/>
              <w:rPr>
                <w:rFonts w:hint="eastAsia" w:ascii="宋体" w:hAnsi="宋体" w:eastAsia="宋体" w:cs="宋体"/>
                <w:b w:val="0"/>
                <w:bCs w:val="0"/>
                <w:color w:val="auto"/>
                <w:sz w:val="18"/>
                <w:szCs w:val="18"/>
                <w:highlight w:val="none"/>
                <w:lang w:val="en-US" w:eastAsia="zh-CN"/>
              </w:rPr>
            </w:pPr>
          </w:p>
          <w:p w14:paraId="535C555C">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6DF9DE90">
            <w:pPr>
              <w:spacing w:line="240" w:lineRule="auto"/>
              <w:jc w:val="center"/>
              <w:rPr>
                <w:rFonts w:hint="eastAsia" w:ascii="宋体" w:hAnsi="宋体" w:eastAsia="宋体" w:cs="宋体"/>
                <w:b w:val="0"/>
                <w:bCs w:val="0"/>
                <w:color w:val="auto"/>
                <w:sz w:val="18"/>
                <w:szCs w:val="18"/>
                <w:highlight w:val="none"/>
              </w:rPr>
            </w:pPr>
          </w:p>
        </w:tc>
      </w:tr>
      <w:tr w14:paraId="2A8E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7AD9B9A">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w:t>
            </w:r>
          </w:p>
        </w:tc>
        <w:tc>
          <w:tcPr>
            <w:tcW w:w="1936" w:type="dxa"/>
            <w:tcBorders>
              <w:tl2br w:val="nil"/>
              <w:tr2bl w:val="nil"/>
            </w:tcBorders>
            <w:vAlign w:val="center"/>
          </w:tcPr>
          <w:p w14:paraId="6CDAF25E">
            <w:pPr>
              <w:spacing w:line="240" w:lineRule="auto"/>
              <w:jc w:val="center"/>
              <w:rPr>
                <w:rFonts w:hint="eastAsia" w:ascii="宋体" w:hAnsi="宋体" w:eastAsia="宋体" w:cs="宋体"/>
                <w:b w:val="0"/>
                <w:bCs w:val="0"/>
                <w:color w:val="auto"/>
                <w:sz w:val="21"/>
                <w:szCs w:val="21"/>
                <w:highlight w:val="none"/>
              </w:rPr>
            </w:pPr>
          </w:p>
          <w:p w14:paraId="3AA5D536">
            <w:pPr>
              <w:spacing w:line="240" w:lineRule="auto"/>
              <w:jc w:val="center"/>
              <w:rPr>
                <w:rFonts w:hint="eastAsia" w:ascii="宋体" w:hAnsi="宋体" w:eastAsia="宋体" w:cs="宋体"/>
                <w:b w:val="0"/>
                <w:bCs w:val="0"/>
                <w:color w:val="auto"/>
                <w:sz w:val="21"/>
                <w:szCs w:val="21"/>
                <w:highlight w:val="none"/>
              </w:rPr>
            </w:pPr>
          </w:p>
          <w:p w14:paraId="3EDA0A2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红外偏振光治疗仪</w:t>
            </w:r>
          </w:p>
          <w:p w14:paraId="2456B8A1">
            <w:pPr>
              <w:spacing w:line="240" w:lineRule="auto"/>
              <w:jc w:val="center"/>
              <w:rPr>
                <w:rFonts w:hint="eastAsia" w:ascii="宋体" w:hAnsi="宋体" w:eastAsia="宋体" w:cs="宋体"/>
                <w:b w:val="0"/>
                <w:bCs w:val="0"/>
                <w:color w:val="auto"/>
                <w:sz w:val="21"/>
                <w:szCs w:val="21"/>
                <w:highlight w:val="none"/>
              </w:rPr>
            </w:pPr>
          </w:p>
          <w:p w14:paraId="0C52BF42">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3F4BA376">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1.柜式一体机，双通道，1个发散式红外辐射头，2个集束式偏振光辐射头。</w:t>
            </w:r>
          </w:p>
          <w:p w14:paraId="3F9031D3">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2.操作方式：触摸式液晶显示屏，操作便捷。</w:t>
            </w:r>
          </w:p>
          <w:p w14:paraId="3B631A2A">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3.治疗时间：1～60min可调，步进1min，允差±5%。</w:t>
            </w:r>
          </w:p>
          <w:p w14:paraId="38B23F7B">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4.万向支架：万向支架水平旋转方向＞180°，竖直转动角度＞90°，辐射器仰角变化＞90°。</w:t>
            </w:r>
          </w:p>
          <w:p w14:paraId="42F24AAD">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5.输出不稳定度：连续输出功率稳定度不大于±10%。</w:t>
            </w:r>
          </w:p>
          <w:p w14:paraId="37738D57">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一、发散式红外辐射头</w:t>
            </w:r>
          </w:p>
          <w:p w14:paraId="3D75748E">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6.发散式红外辐射头波长范围为0.6～2.7μm范围内，误差不超过±20%。</w:t>
            </w:r>
          </w:p>
          <w:p w14:paraId="5800AA2A">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7.输出光功率：0-30W,步进为最大功率的10%，10%～100%分十档可调，允差±10%。</w:t>
            </w:r>
          </w:p>
          <w:p w14:paraId="0FA6BB56">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8.发散式红外辐射头防护罩的表面容许最高温度不得超过74℃。</w:t>
            </w:r>
          </w:p>
          <w:p w14:paraId="2F39F7CE">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二、集束式偏振光辐射头</w:t>
            </w:r>
          </w:p>
          <w:p w14:paraId="7AA009C4">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9.集束式偏振光辐射头波长范围为0.6～1.6μm，误差不超过±20%。</w:t>
            </w:r>
          </w:p>
          <w:p w14:paraId="631445E1">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10.集束式偏振光辐射头输出光功率，步进为最大功率的10%，10%～100%分十档可调，允差±20%：</w:t>
            </w:r>
          </w:p>
          <w:p w14:paraId="57C4D35E">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11.5种输出方式。</w:t>
            </w:r>
          </w:p>
          <w:p w14:paraId="146FDE85">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12.与皮肤接触的集束式偏振光辐射头防护罩的表面温度≤41℃。</w:t>
            </w:r>
          </w:p>
        </w:tc>
        <w:tc>
          <w:tcPr>
            <w:tcW w:w="1391" w:type="dxa"/>
            <w:tcBorders>
              <w:tl2br w:val="nil"/>
              <w:tr2bl w:val="nil"/>
            </w:tcBorders>
            <w:vAlign w:val="center"/>
          </w:tcPr>
          <w:p w14:paraId="68BC91FB">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3345B49B">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6F136B94">
            <w:pPr>
              <w:spacing w:line="240" w:lineRule="auto"/>
              <w:jc w:val="center"/>
              <w:rPr>
                <w:rFonts w:hint="eastAsia" w:ascii="宋体" w:hAnsi="宋体" w:eastAsia="宋体" w:cs="宋体"/>
                <w:b w:val="0"/>
                <w:bCs w:val="0"/>
                <w:color w:val="auto"/>
                <w:sz w:val="18"/>
                <w:szCs w:val="18"/>
                <w:highlight w:val="none"/>
                <w:lang w:val="en-US" w:eastAsia="zh-CN"/>
              </w:rPr>
            </w:pPr>
          </w:p>
        </w:tc>
      </w:tr>
      <w:tr w14:paraId="56F5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BDB691E">
            <w:pPr>
              <w:spacing w:line="240" w:lineRule="auto"/>
              <w:jc w:val="both"/>
              <w:rPr>
                <w:rFonts w:hint="eastAsia" w:ascii="宋体" w:hAnsi="宋体" w:eastAsia="宋体" w:cs="宋体"/>
                <w:b w:val="0"/>
                <w:bCs w:val="0"/>
                <w:color w:val="auto"/>
                <w:sz w:val="21"/>
                <w:szCs w:val="21"/>
                <w:highlight w:val="none"/>
              </w:rPr>
            </w:pPr>
          </w:p>
          <w:p w14:paraId="58640D57">
            <w:pPr>
              <w:spacing w:line="240" w:lineRule="auto"/>
              <w:jc w:val="center"/>
              <w:rPr>
                <w:rFonts w:hint="eastAsia" w:ascii="宋体" w:hAnsi="宋体" w:eastAsia="宋体" w:cs="宋体"/>
                <w:b w:val="0"/>
                <w:bCs w:val="0"/>
                <w:color w:val="auto"/>
                <w:sz w:val="21"/>
                <w:szCs w:val="21"/>
                <w:highlight w:val="none"/>
              </w:rPr>
            </w:pPr>
          </w:p>
          <w:p w14:paraId="26DE9D7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w:t>
            </w:r>
          </w:p>
        </w:tc>
        <w:tc>
          <w:tcPr>
            <w:tcW w:w="1936" w:type="dxa"/>
            <w:tcBorders>
              <w:tl2br w:val="nil"/>
              <w:tr2bl w:val="nil"/>
            </w:tcBorders>
            <w:vAlign w:val="center"/>
          </w:tcPr>
          <w:p w14:paraId="444792FD">
            <w:pPr>
              <w:spacing w:line="240" w:lineRule="auto"/>
              <w:jc w:val="center"/>
              <w:rPr>
                <w:rFonts w:hint="eastAsia" w:ascii="宋体" w:hAnsi="宋体" w:eastAsia="宋体" w:cs="宋体"/>
                <w:b w:val="0"/>
                <w:bCs w:val="0"/>
                <w:color w:val="auto"/>
                <w:sz w:val="21"/>
                <w:szCs w:val="21"/>
                <w:highlight w:val="none"/>
              </w:rPr>
            </w:pPr>
          </w:p>
          <w:p w14:paraId="3CFF4CC9">
            <w:pPr>
              <w:spacing w:line="240" w:lineRule="auto"/>
              <w:jc w:val="both"/>
              <w:rPr>
                <w:rFonts w:hint="eastAsia" w:ascii="宋体" w:hAnsi="宋体" w:eastAsia="宋体" w:cs="宋体"/>
                <w:b w:val="0"/>
                <w:bCs w:val="0"/>
                <w:color w:val="auto"/>
                <w:sz w:val="21"/>
                <w:szCs w:val="21"/>
                <w:highlight w:val="none"/>
              </w:rPr>
            </w:pPr>
          </w:p>
          <w:p w14:paraId="3A398F35">
            <w:pPr>
              <w:spacing w:line="240" w:lineRule="auto"/>
              <w:jc w:val="center"/>
              <w:rPr>
                <w:rFonts w:hint="eastAsia" w:ascii="宋体" w:hAnsi="宋体" w:eastAsia="宋体" w:cs="宋体"/>
                <w:b w:val="0"/>
                <w:bCs w:val="0"/>
                <w:color w:val="auto"/>
                <w:sz w:val="21"/>
                <w:szCs w:val="21"/>
                <w:highlight w:val="none"/>
              </w:rPr>
            </w:pPr>
          </w:p>
          <w:p w14:paraId="135A0C1A">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红外热辐射治疗仪</w:t>
            </w:r>
          </w:p>
          <w:p w14:paraId="10813AE5">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6980DCC8">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1</w:t>
            </w:r>
            <w:r>
              <w:rPr>
                <w:rFonts w:hint="eastAsia" w:ascii="宋体" w:hAnsi="宋体" w:eastAsia="宋体" w:cs="宋体"/>
                <w:b w:val="0"/>
                <w:bCs w:val="0"/>
                <w:color w:val="auto"/>
                <w:sz w:val="18"/>
                <w:szCs w:val="18"/>
                <w:highlight w:val="none"/>
              </w:rPr>
              <w:t>.柜式结构，单通道；</w:t>
            </w:r>
          </w:p>
          <w:p w14:paraId="6C73FD12">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2</w:t>
            </w:r>
            <w:r>
              <w:rPr>
                <w:rFonts w:hint="eastAsia" w:ascii="宋体" w:hAnsi="宋体" w:eastAsia="宋体" w:cs="宋体"/>
                <w:b w:val="0"/>
                <w:bCs w:val="0"/>
                <w:color w:val="auto"/>
                <w:sz w:val="18"/>
                <w:szCs w:val="18"/>
                <w:highlight w:val="none"/>
              </w:rPr>
              <w:t>.采用彩色触摸屏控制，清晰直观，操作简单；</w:t>
            </w:r>
          </w:p>
          <w:p w14:paraId="2E0B807F">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3</w:t>
            </w:r>
            <w:r>
              <w:rPr>
                <w:rFonts w:hint="eastAsia" w:ascii="宋体" w:hAnsi="宋体" w:eastAsia="宋体" w:cs="宋体"/>
                <w:b w:val="0"/>
                <w:bCs w:val="0"/>
                <w:color w:val="auto"/>
                <w:sz w:val="18"/>
                <w:szCs w:val="18"/>
                <w:highlight w:val="none"/>
              </w:rPr>
              <w:t>.</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sz w:val="18"/>
                <w:szCs w:val="18"/>
                <w:highlight w:val="none"/>
              </w:rPr>
              <w:t>10%峰值波长范围是0.6μm～1.4μm,波长范围起始值和终止值的误差均，应不超过±20%;</w:t>
            </w:r>
          </w:p>
          <w:p w14:paraId="255B6E50">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4</w:t>
            </w:r>
            <w:r>
              <w:rPr>
                <w:rFonts w:hint="eastAsia" w:ascii="宋体" w:hAnsi="宋体" w:eastAsia="宋体" w:cs="宋体"/>
                <w:b w:val="0"/>
                <w:bCs w:val="0"/>
                <w:color w:val="auto"/>
                <w:sz w:val="18"/>
                <w:szCs w:val="18"/>
                <w:highlight w:val="none"/>
              </w:rPr>
              <w:t>.</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sz w:val="18"/>
                <w:szCs w:val="18"/>
                <w:highlight w:val="none"/>
              </w:rPr>
              <w:t>治疗仪出光口平面处，最大辐射功率密度为1600mW/cm²,允差不超过士20%,距离出光口平面20cm处，最大辐射功率密度为260mW/cm²,允差不超过±20%,距离出光口平面30cm处，最大辐射功率密为135mW/cm²,允差不超过±20%;</w:t>
            </w:r>
          </w:p>
          <w:p w14:paraId="10A8E71F">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5</w:t>
            </w:r>
            <w:r>
              <w:rPr>
                <w:rFonts w:hint="eastAsia" w:ascii="宋体" w:hAnsi="宋体" w:eastAsia="宋体" w:cs="宋体"/>
                <w:b w:val="0"/>
                <w:bCs w:val="0"/>
                <w:color w:val="auto"/>
                <w:sz w:val="18"/>
                <w:szCs w:val="18"/>
                <w:highlight w:val="none"/>
              </w:rPr>
              <w:t>.可通过触摸屏设置治疗时间、手动调节治疗高度、启动治疗、停止治疗；</w:t>
            </w:r>
          </w:p>
          <w:p w14:paraId="6747F933">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6</w:t>
            </w:r>
            <w:r>
              <w:rPr>
                <w:rFonts w:hint="eastAsia" w:ascii="宋体" w:hAnsi="宋体" w:eastAsia="宋体" w:cs="宋体"/>
                <w:b w:val="0"/>
                <w:bCs w:val="0"/>
                <w:color w:val="auto"/>
                <w:sz w:val="18"/>
                <w:szCs w:val="18"/>
                <w:highlight w:val="none"/>
              </w:rPr>
              <w:t>.产品功能特点：</w:t>
            </w:r>
          </w:p>
          <w:p w14:paraId="48AD7C71">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(1)设备光源具有过热保护装置，光源温度过高时自动熄灭，停止治疗；</w:t>
            </w:r>
          </w:p>
          <w:p w14:paraId="20DACF6C">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(2)治疗仪应具有患者体表温度监测功能，当患者体表温度超过设定值时，应具有声音提示的功能，并切断光源加热电路，且不可自动恢复；</w:t>
            </w:r>
          </w:p>
          <w:p w14:paraId="49327878">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(3)治疗仪的调整机构在活动范围内应能任意调节和固定，固定后不应由于自身的重力而发生下垂；</w:t>
            </w:r>
          </w:p>
          <w:p w14:paraId="4590B5F8">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(4)设备具有倾倒断电保护功能，治疗仪倾斜角度超过45度时自动断电。</w:t>
            </w:r>
          </w:p>
          <w:p w14:paraId="0B295108">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7</w:t>
            </w:r>
            <w:r>
              <w:rPr>
                <w:rFonts w:hint="eastAsia" w:ascii="宋体" w:hAnsi="宋体" w:eastAsia="宋体" w:cs="宋体"/>
                <w:b w:val="0"/>
                <w:bCs w:val="0"/>
                <w:color w:val="auto"/>
                <w:sz w:val="18"/>
                <w:szCs w:val="18"/>
                <w:highlight w:val="none"/>
              </w:rPr>
              <w:t>.出光口面积：治疗仪的出光口面积应大于95cm2。</w:t>
            </w:r>
          </w:p>
        </w:tc>
        <w:tc>
          <w:tcPr>
            <w:tcW w:w="1391" w:type="dxa"/>
            <w:tcBorders>
              <w:tl2br w:val="nil"/>
              <w:tr2bl w:val="nil"/>
            </w:tcBorders>
            <w:vAlign w:val="center"/>
          </w:tcPr>
          <w:p w14:paraId="22395DE2">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p>
        </w:tc>
        <w:tc>
          <w:tcPr>
            <w:tcW w:w="1255" w:type="dxa"/>
            <w:tcBorders>
              <w:tl2br w:val="nil"/>
              <w:tr2bl w:val="nil"/>
            </w:tcBorders>
            <w:vAlign w:val="center"/>
          </w:tcPr>
          <w:p w14:paraId="04A6128F">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6837E6B8">
            <w:pPr>
              <w:spacing w:line="240" w:lineRule="auto"/>
              <w:jc w:val="center"/>
              <w:rPr>
                <w:rFonts w:hint="eastAsia" w:ascii="宋体" w:hAnsi="宋体" w:eastAsia="宋体" w:cs="宋体"/>
                <w:b w:val="0"/>
                <w:bCs w:val="0"/>
                <w:color w:val="auto"/>
                <w:sz w:val="18"/>
                <w:szCs w:val="18"/>
                <w:highlight w:val="none"/>
                <w:lang w:val="en-US" w:eastAsia="zh-CN"/>
              </w:rPr>
            </w:pPr>
          </w:p>
        </w:tc>
      </w:tr>
      <w:tr w14:paraId="353F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6F6F553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w:t>
            </w:r>
          </w:p>
        </w:tc>
        <w:tc>
          <w:tcPr>
            <w:tcW w:w="1936" w:type="dxa"/>
            <w:tcBorders>
              <w:tl2br w:val="nil"/>
              <w:tr2bl w:val="nil"/>
            </w:tcBorders>
            <w:vAlign w:val="center"/>
          </w:tcPr>
          <w:p w14:paraId="207BA3EB">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中频电疗仪</w:t>
            </w:r>
          </w:p>
        </w:tc>
        <w:tc>
          <w:tcPr>
            <w:tcW w:w="7403" w:type="dxa"/>
            <w:tcBorders>
              <w:tl2br w:val="nil"/>
              <w:tr2bl w:val="nil"/>
            </w:tcBorders>
          </w:tcPr>
          <w:p w14:paraId="04D92420">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1.台面款，数码显示；</w:t>
            </w:r>
          </w:p>
          <w:p w14:paraId="32C81C2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2.具有2路输出通道，2路可独立控制，同时治疗2位患者或2个部位；亦可组合使用，形成1组干扰电数量；</w:t>
            </w:r>
          </w:p>
          <w:p w14:paraId="3590211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3.中频治疗具有4种治疗模式：多步模式、音频模式、正弦调制、脉冲调制；</w:t>
            </w:r>
          </w:p>
          <w:p w14:paraId="25D63C21">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4.具有102个内置处方及10个自定义处方，选择多样，灵活适配；</w:t>
            </w:r>
          </w:p>
          <w:p w14:paraId="4FAEE9F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5.输出电流：≤50mA；</w:t>
            </w:r>
          </w:p>
          <w:p w14:paraId="70A8C5C6">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6</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spacing w:val="-8"/>
                <w:kern w:val="2"/>
                <w:sz w:val="18"/>
                <w:szCs w:val="18"/>
                <w:highlight w:val="none"/>
                <w:lang w:val="en-US" w:eastAsia="zh-CN" w:bidi="ar-SA"/>
              </w:rPr>
              <w:t>载波频率：2kHz～10kHz，允差±10%；</w:t>
            </w:r>
          </w:p>
          <w:p w14:paraId="791ED0FE">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7.调制波频率：0～150Hz，允差±10%；</w:t>
            </w:r>
          </w:p>
          <w:p w14:paraId="5A2F11FA">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8.差频频率范围：0～200Hz范围内的单一值，允差在±10%或±1Hz；</w:t>
            </w:r>
          </w:p>
          <w:p w14:paraId="6DE3709F">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9.调幅度：0～100%的范围内的单一值，调幅度允差±5%；</w:t>
            </w:r>
          </w:p>
          <w:p w14:paraId="42D271CC">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10</w:t>
            </w:r>
            <w:r>
              <w:rPr>
                <w:rFonts w:hint="eastAsia" w:ascii="宋体" w:hAnsi="宋体" w:eastAsia="宋体" w:cs="宋体"/>
                <w:b w:val="0"/>
                <w:bCs w:val="0"/>
                <w:color w:val="auto"/>
                <w:kern w:val="0"/>
                <w:sz w:val="18"/>
                <w:szCs w:val="18"/>
                <w:highlight w:val="none"/>
                <w:lang w:val="en-US" w:eastAsia="zh-CN" w:bidi="ar"/>
              </w:rPr>
              <w:t>▲</w:t>
            </w:r>
            <w:r>
              <w:rPr>
                <w:rFonts w:hint="eastAsia" w:ascii="宋体" w:hAnsi="宋体" w:eastAsia="宋体" w:cs="宋体"/>
                <w:b w:val="0"/>
                <w:bCs w:val="0"/>
                <w:color w:val="auto"/>
                <w:spacing w:val="-8"/>
                <w:kern w:val="2"/>
                <w:sz w:val="18"/>
                <w:szCs w:val="18"/>
                <w:highlight w:val="none"/>
                <w:lang w:val="en-US" w:eastAsia="zh-CN" w:bidi="ar-SA"/>
              </w:rPr>
              <w:t>干扰电输出：电疗仪具有双路（二维）干扰输出；</w:t>
            </w:r>
          </w:p>
          <w:p w14:paraId="6265A415">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11.安全功能：</w:t>
            </w:r>
          </w:p>
          <w:p w14:paraId="3B4BC876">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（1）电极超温保护；</w:t>
            </w:r>
          </w:p>
          <w:p w14:paraId="6C2405A7">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（2）输出状态识别检测（开路、短路、过流）；</w:t>
            </w:r>
          </w:p>
        </w:tc>
        <w:tc>
          <w:tcPr>
            <w:tcW w:w="1391" w:type="dxa"/>
            <w:tcBorders>
              <w:tl2br w:val="nil"/>
              <w:tr2bl w:val="nil"/>
            </w:tcBorders>
            <w:vAlign w:val="center"/>
          </w:tcPr>
          <w:p w14:paraId="2D9BD3AF">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p>
        </w:tc>
        <w:tc>
          <w:tcPr>
            <w:tcW w:w="1255" w:type="dxa"/>
            <w:tcBorders>
              <w:tl2br w:val="nil"/>
              <w:tr2bl w:val="nil"/>
            </w:tcBorders>
            <w:vAlign w:val="center"/>
          </w:tcPr>
          <w:p w14:paraId="76B91F42">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26DECC29">
            <w:pPr>
              <w:spacing w:line="240" w:lineRule="auto"/>
              <w:jc w:val="center"/>
              <w:rPr>
                <w:rFonts w:hint="eastAsia" w:ascii="宋体" w:hAnsi="宋体" w:eastAsia="宋体" w:cs="宋体"/>
                <w:b w:val="0"/>
                <w:bCs w:val="0"/>
                <w:color w:val="auto"/>
                <w:sz w:val="18"/>
                <w:szCs w:val="18"/>
                <w:highlight w:val="none"/>
                <w:lang w:val="en-US" w:eastAsia="zh-CN"/>
              </w:rPr>
            </w:pPr>
          </w:p>
        </w:tc>
      </w:tr>
      <w:tr w14:paraId="6F6DF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6E0DE08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w:t>
            </w:r>
          </w:p>
        </w:tc>
        <w:tc>
          <w:tcPr>
            <w:tcW w:w="1936" w:type="dxa"/>
            <w:tcBorders>
              <w:tl2br w:val="nil"/>
              <w:tr2bl w:val="nil"/>
            </w:tcBorders>
            <w:vAlign w:val="center"/>
          </w:tcPr>
          <w:p w14:paraId="1712C1D4">
            <w:pPr>
              <w:spacing w:line="240" w:lineRule="auto"/>
              <w:jc w:val="center"/>
              <w:rPr>
                <w:rFonts w:hint="eastAsia" w:ascii="宋体" w:hAnsi="宋体" w:eastAsia="宋体" w:cs="宋体"/>
                <w:b w:val="0"/>
                <w:bCs w:val="0"/>
                <w:color w:val="auto"/>
                <w:sz w:val="21"/>
                <w:szCs w:val="21"/>
                <w:highlight w:val="none"/>
              </w:rPr>
            </w:pPr>
            <w:bookmarkStart w:id="11" w:name="OLE_LINK43"/>
            <w:bookmarkStart w:id="12" w:name="OLE_LINK44"/>
          </w:p>
          <w:p w14:paraId="21CB26E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多体位医用诊疗床</w:t>
            </w:r>
          </w:p>
          <w:bookmarkEnd w:id="11"/>
          <w:bookmarkEnd w:id="12"/>
          <w:p w14:paraId="3C41E9C2">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191F70C2">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1、床体尺寸（长宽高）：2000×620×660mm，允差±5%。</w:t>
            </w:r>
          </w:p>
          <w:p w14:paraId="2B23AAB1">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2、人性化设计具有肩孔、海绵扶手。</w:t>
            </w:r>
          </w:p>
          <w:p w14:paraId="1046D005">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3、配有患者呼吸孔及海绵堵头。</w:t>
            </w:r>
          </w:p>
          <w:p w14:paraId="1EFA76DF">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4、床体最大承载重量≥200kg。</w:t>
            </w:r>
          </w:p>
          <w:p w14:paraId="25677E19">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5、呼吸孔下方配备支撑垫。</w:t>
            </w:r>
          </w:p>
          <w:p w14:paraId="21C915EE">
            <w:pPr>
              <w:numPr>
                <w:ilvl w:val="0"/>
                <w:numId w:val="10"/>
              </w:numPr>
              <w:spacing w:line="240" w:lineRule="auto"/>
              <w:rPr>
                <w:rFonts w:hint="eastAsia" w:ascii="宋体" w:hAnsi="宋体" w:eastAsia="宋体" w:cs="宋体"/>
                <w:b w:val="0"/>
                <w:bCs w:val="0"/>
                <w:color w:val="auto"/>
                <w:spacing w:val="-8"/>
                <w:sz w:val="18"/>
                <w:szCs w:val="18"/>
                <w:highlight w:val="none"/>
                <w:lang w:val="en-US" w:eastAsia="zh-CN"/>
              </w:rPr>
            </w:pPr>
            <w:r>
              <w:rPr>
                <w:rFonts w:hint="eastAsia" w:ascii="宋体" w:hAnsi="宋体" w:eastAsia="宋体" w:cs="宋体"/>
                <w:b w:val="0"/>
                <w:bCs w:val="0"/>
                <w:color w:val="auto"/>
                <w:spacing w:val="-8"/>
                <w:sz w:val="18"/>
                <w:szCs w:val="18"/>
                <w:highlight w:val="none"/>
              </w:rPr>
              <w:t>床体配备调节地脚，便于调整床体平整度。</w:t>
            </w:r>
          </w:p>
        </w:tc>
        <w:tc>
          <w:tcPr>
            <w:tcW w:w="1391" w:type="dxa"/>
            <w:tcBorders>
              <w:tl2br w:val="nil"/>
              <w:tr2bl w:val="nil"/>
            </w:tcBorders>
            <w:vAlign w:val="center"/>
          </w:tcPr>
          <w:p w14:paraId="034E5567">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p>
        </w:tc>
        <w:tc>
          <w:tcPr>
            <w:tcW w:w="1255" w:type="dxa"/>
            <w:tcBorders>
              <w:tl2br w:val="nil"/>
              <w:tr2bl w:val="nil"/>
            </w:tcBorders>
            <w:vAlign w:val="center"/>
          </w:tcPr>
          <w:p w14:paraId="2AB8E713">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02CE203B">
            <w:pPr>
              <w:spacing w:line="240" w:lineRule="auto"/>
              <w:jc w:val="center"/>
              <w:rPr>
                <w:rFonts w:hint="eastAsia" w:ascii="宋体" w:hAnsi="宋体" w:eastAsia="宋体" w:cs="宋体"/>
                <w:b w:val="0"/>
                <w:bCs w:val="0"/>
                <w:color w:val="auto"/>
                <w:sz w:val="18"/>
                <w:szCs w:val="18"/>
                <w:highlight w:val="none"/>
                <w:lang w:val="en-US" w:eastAsia="zh-CN"/>
              </w:rPr>
            </w:pPr>
          </w:p>
        </w:tc>
      </w:tr>
      <w:tr w14:paraId="4BA5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24E1209">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w:t>
            </w:r>
          </w:p>
        </w:tc>
        <w:tc>
          <w:tcPr>
            <w:tcW w:w="1936" w:type="dxa"/>
            <w:tcBorders>
              <w:tl2br w:val="nil"/>
              <w:tr2bl w:val="nil"/>
            </w:tcBorders>
            <w:vAlign w:val="center"/>
          </w:tcPr>
          <w:p w14:paraId="3C63689B">
            <w:pPr>
              <w:spacing w:line="240" w:lineRule="auto"/>
              <w:jc w:val="center"/>
              <w:rPr>
                <w:rFonts w:hint="eastAsia" w:ascii="宋体" w:hAnsi="宋体" w:eastAsia="宋体" w:cs="宋体"/>
                <w:b w:val="0"/>
                <w:bCs w:val="0"/>
                <w:color w:val="auto"/>
                <w:sz w:val="21"/>
                <w:szCs w:val="21"/>
                <w:highlight w:val="none"/>
              </w:rPr>
            </w:pPr>
          </w:p>
          <w:p w14:paraId="087E9F2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超声波治疗仪</w:t>
            </w:r>
          </w:p>
          <w:p w14:paraId="10E31D5F">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29B1A243">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1.台面款机型，彩色液晶显示屏加一键飞梭操作；</w:t>
            </w:r>
          </w:p>
          <w:p w14:paraId="011C924B">
            <w:pPr>
              <w:widowControl w:val="0"/>
              <w:spacing w:before="22" w:line="239" w:lineRule="auto"/>
              <w:ind w:right="181"/>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2.仪器配有一个手持移动式1MHz探头；</w:t>
            </w:r>
          </w:p>
          <w:p w14:paraId="44A71017">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3.声工作频率：1MHz±10%；</w:t>
            </w:r>
          </w:p>
          <w:p w14:paraId="43851CA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4.波束类型：准直型；</w:t>
            </w:r>
          </w:p>
          <w:p w14:paraId="0FA9BBC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5.波束不均匀系数：≤8；</w:t>
            </w:r>
          </w:p>
          <w:p w14:paraId="370B5623">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6.治疗头有效辐射面积：2.5cm²±20%；</w:t>
            </w:r>
          </w:p>
          <w:p w14:paraId="6097A759">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7.额定输出有效声强：≤3.0W/cm²；</w:t>
            </w:r>
          </w:p>
          <w:p w14:paraId="7226135C">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8.波束最大声强：≤24W/cm²；</w:t>
            </w:r>
          </w:p>
          <w:p w14:paraId="2876A36D">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9.治疗时间：0~30分钟；</w:t>
            </w:r>
          </w:p>
          <w:p w14:paraId="4C557268">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10.输出模式：9档脉冲模式和1档连续模式；</w:t>
            </w:r>
          </w:p>
          <w:p w14:paraId="181DFBAE">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11.占空比：0～90%可调，步进为10%；</w:t>
            </w:r>
          </w:p>
          <w:p w14:paraId="719EB3BB">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12.实时显示治疗通道、治疗档位、工作模式、有效声强、输出功率、工作状态、治疗时间等参数；</w:t>
            </w:r>
          </w:p>
        </w:tc>
        <w:tc>
          <w:tcPr>
            <w:tcW w:w="1391" w:type="dxa"/>
            <w:tcBorders>
              <w:tl2br w:val="nil"/>
              <w:tr2bl w:val="nil"/>
            </w:tcBorders>
            <w:vAlign w:val="center"/>
          </w:tcPr>
          <w:p w14:paraId="7DA123CA">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67B65261">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4AA7F3A4">
            <w:pPr>
              <w:spacing w:line="240" w:lineRule="auto"/>
              <w:jc w:val="center"/>
              <w:rPr>
                <w:rFonts w:hint="eastAsia" w:ascii="宋体" w:hAnsi="宋体" w:eastAsia="宋体" w:cs="宋体"/>
                <w:b w:val="0"/>
                <w:bCs w:val="0"/>
                <w:color w:val="auto"/>
                <w:sz w:val="18"/>
                <w:szCs w:val="18"/>
                <w:highlight w:val="none"/>
                <w:lang w:val="en-US" w:eastAsia="zh-CN"/>
              </w:rPr>
            </w:pPr>
          </w:p>
        </w:tc>
      </w:tr>
      <w:tr w14:paraId="0CD0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16C3AABD">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w:t>
            </w:r>
          </w:p>
        </w:tc>
        <w:tc>
          <w:tcPr>
            <w:tcW w:w="1936" w:type="dxa"/>
            <w:tcBorders>
              <w:tl2br w:val="nil"/>
              <w:tr2bl w:val="nil"/>
            </w:tcBorders>
            <w:vAlign w:val="center"/>
          </w:tcPr>
          <w:p w14:paraId="3A5A856B">
            <w:pPr>
              <w:spacing w:line="240" w:lineRule="auto"/>
              <w:jc w:val="center"/>
              <w:rPr>
                <w:rFonts w:hint="eastAsia" w:ascii="宋体" w:hAnsi="宋体" w:eastAsia="宋体" w:cs="宋体"/>
                <w:b w:val="0"/>
                <w:bCs w:val="0"/>
                <w:color w:val="auto"/>
                <w:sz w:val="21"/>
                <w:szCs w:val="21"/>
                <w:highlight w:val="none"/>
              </w:rPr>
            </w:pPr>
          </w:p>
          <w:p w14:paraId="5BB4C054">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红外线治疗器</w:t>
            </w:r>
          </w:p>
          <w:p w14:paraId="184096AE">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6AA50C79">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样式:立式</w:t>
            </w:r>
          </w:p>
          <w:p w14:paraId="4214352D">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计时方式:机械定时(0-60')及常通</w:t>
            </w:r>
          </w:p>
          <w:p w14:paraId="5E50DDE4">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调温范围:无</w:t>
            </w:r>
          </w:p>
          <w:p w14:paraId="4C536261">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适用场所:</w:t>
            </w:r>
          </w:p>
          <w:p w14:paraId="2228810B">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功率150VA</w:t>
            </w:r>
          </w:p>
          <w:p w14:paraId="3F063801">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升降杆升降范围0mm</w:t>
            </w:r>
          </w:p>
        </w:tc>
        <w:tc>
          <w:tcPr>
            <w:tcW w:w="1391" w:type="dxa"/>
            <w:tcBorders>
              <w:tl2br w:val="nil"/>
              <w:tr2bl w:val="nil"/>
            </w:tcBorders>
            <w:vAlign w:val="center"/>
          </w:tcPr>
          <w:p w14:paraId="10A16846">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4</w:t>
            </w:r>
          </w:p>
        </w:tc>
        <w:tc>
          <w:tcPr>
            <w:tcW w:w="1255" w:type="dxa"/>
            <w:tcBorders>
              <w:tl2br w:val="nil"/>
              <w:tr2bl w:val="nil"/>
            </w:tcBorders>
            <w:vAlign w:val="center"/>
          </w:tcPr>
          <w:p w14:paraId="005DE73F">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69E4D4BA">
            <w:pPr>
              <w:spacing w:line="240" w:lineRule="auto"/>
              <w:jc w:val="center"/>
              <w:rPr>
                <w:rFonts w:hint="eastAsia" w:ascii="宋体" w:hAnsi="宋体" w:eastAsia="宋体" w:cs="宋体"/>
                <w:b w:val="0"/>
                <w:bCs w:val="0"/>
                <w:color w:val="auto"/>
                <w:sz w:val="18"/>
                <w:szCs w:val="18"/>
                <w:highlight w:val="none"/>
                <w:lang w:val="en-US" w:eastAsia="zh-CN"/>
              </w:rPr>
            </w:pPr>
          </w:p>
        </w:tc>
      </w:tr>
      <w:tr w14:paraId="7259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16C85751">
            <w:pPr>
              <w:spacing w:line="240" w:lineRule="auto"/>
              <w:jc w:val="center"/>
              <w:rPr>
                <w:rFonts w:hint="eastAsia" w:ascii="宋体" w:hAnsi="宋体" w:eastAsia="宋体" w:cs="宋体"/>
                <w:b w:val="0"/>
                <w:bCs w:val="0"/>
                <w:color w:val="auto"/>
                <w:sz w:val="21"/>
                <w:szCs w:val="21"/>
                <w:highlight w:val="none"/>
              </w:rPr>
            </w:pPr>
          </w:p>
          <w:p w14:paraId="13E371E8">
            <w:pPr>
              <w:spacing w:line="240" w:lineRule="auto"/>
              <w:jc w:val="center"/>
              <w:rPr>
                <w:rFonts w:hint="eastAsia" w:ascii="宋体" w:hAnsi="宋体" w:eastAsia="宋体" w:cs="宋体"/>
                <w:b w:val="0"/>
                <w:bCs w:val="0"/>
                <w:color w:val="auto"/>
                <w:sz w:val="21"/>
                <w:szCs w:val="21"/>
                <w:highlight w:val="none"/>
              </w:rPr>
            </w:pPr>
          </w:p>
          <w:p w14:paraId="7199FE62">
            <w:pPr>
              <w:spacing w:line="240" w:lineRule="auto"/>
              <w:jc w:val="center"/>
              <w:rPr>
                <w:rFonts w:hint="eastAsia" w:ascii="宋体" w:hAnsi="宋体" w:eastAsia="宋体" w:cs="宋体"/>
                <w:b w:val="0"/>
                <w:bCs w:val="0"/>
                <w:color w:val="auto"/>
                <w:sz w:val="21"/>
                <w:szCs w:val="21"/>
                <w:highlight w:val="none"/>
              </w:rPr>
            </w:pPr>
          </w:p>
          <w:p w14:paraId="1C079300">
            <w:pPr>
              <w:spacing w:line="240" w:lineRule="auto"/>
              <w:jc w:val="center"/>
              <w:rPr>
                <w:rFonts w:hint="eastAsia" w:ascii="宋体" w:hAnsi="宋体" w:eastAsia="宋体" w:cs="宋体"/>
                <w:b w:val="0"/>
                <w:bCs w:val="0"/>
                <w:color w:val="auto"/>
                <w:sz w:val="21"/>
                <w:szCs w:val="21"/>
                <w:highlight w:val="none"/>
              </w:rPr>
            </w:pPr>
          </w:p>
          <w:p w14:paraId="0F249639">
            <w:pPr>
              <w:spacing w:line="240" w:lineRule="auto"/>
              <w:jc w:val="center"/>
              <w:rPr>
                <w:rFonts w:hint="eastAsia" w:ascii="宋体" w:hAnsi="宋体" w:eastAsia="宋体" w:cs="宋体"/>
                <w:b w:val="0"/>
                <w:bCs w:val="0"/>
                <w:color w:val="auto"/>
                <w:sz w:val="21"/>
                <w:szCs w:val="21"/>
                <w:highlight w:val="none"/>
              </w:rPr>
            </w:pPr>
          </w:p>
          <w:p w14:paraId="3CE579EC">
            <w:pPr>
              <w:spacing w:line="240" w:lineRule="auto"/>
              <w:jc w:val="center"/>
              <w:rPr>
                <w:rFonts w:hint="eastAsia" w:ascii="宋体" w:hAnsi="宋体" w:eastAsia="宋体" w:cs="宋体"/>
                <w:b w:val="0"/>
                <w:bCs w:val="0"/>
                <w:color w:val="auto"/>
                <w:sz w:val="21"/>
                <w:szCs w:val="21"/>
                <w:highlight w:val="none"/>
              </w:rPr>
            </w:pPr>
          </w:p>
          <w:p w14:paraId="53A81AF7">
            <w:pPr>
              <w:spacing w:line="240" w:lineRule="auto"/>
              <w:jc w:val="center"/>
              <w:rPr>
                <w:rFonts w:hint="eastAsia" w:ascii="宋体" w:hAnsi="宋体" w:eastAsia="宋体" w:cs="宋体"/>
                <w:b w:val="0"/>
                <w:bCs w:val="0"/>
                <w:color w:val="auto"/>
                <w:sz w:val="21"/>
                <w:szCs w:val="21"/>
                <w:highlight w:val="none"/>
              </w:rPr>
            </w:pPr>
          </w:p>
          <w:p w14:paraId="47D736BB">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w:t>
            </w:r>
          </w:p>
        </w:tc>
        <w:tc>
          <w:tcPr>
            <w:tcW w:w="1936" w:type="dxa"/>
            <w:tcBorders>
              <w:tl2br w:val="nil"/>
              <w:tr2bl w:val="nil"/>
            </w:tcBorders>
            <w:vAlign w:val="center"/>
          </w:tcPr>
          <w:p w14:paraId="0C1BCD07">
            <w:pPr>
              <w:spacing w:line="240" w:lineRule="auto"/>
              <w:jc w:val="center"/>
              <w:rPr>
                <w:rFonts w:hint="eastAsia" w:ascii="宋体" w:hAnsi="宋体" w:eastAsia="宋体" w:cs="宋体"/>
                <w:b w:val="0"/>
                <w:bCs w:val="0"/>
                <w:color w:val="auto"/>
                <w:sz w:val="21"/>
                <w:szCs w:val="21"/>
                <w:highlight w:val="none"/>
              </w:rPr>
            </w:pPr>
          </w:p>
          <w:p w14:paraId="4CFDD331">
            <w:pPr>
              <w:spacing w:line="240" w:lineRule="auto"/>
              <w:jc w:val="center"/>
              <w:rPr>
                <w:rFonts w:hint="eastAsia" w:ascii="宋体" w:hAnsi="宋体" w:eastAsia="宋体" w:cs="宋体"/>
                <w:b w:val="0"/>
                <w:bCs w:val="0"/>
                <w:color w:val="auto"/>
                <w:sz w:val="21"/>
                <w:szCs w:val="21"/>
                <w:highlight w:val="none"/>
              </w:rPr>
            </w:pPr>
          </w:p>
          <w:p w14:paraId="0C548DF5">
            <w:pPr>
              <w:spacing w:line="240" w:lineRule="auto"/>
              <w:jc w:val="center"/>
              <w:rPr>
                <w:rFonts w:hint="eastAsia" w:ascii="宋体" w:hAnsi="宋体" w:eastAsia="宋体" w:cs="宋体"/>
                <w:b w:val="0"/>
                <w:bCs w:val="0"/>
                <w:color w:val="auto"/>
                <w:sz w:val="21"/>
                <w:szCs w:val="21"/>
                <w:highlight w:val="none"/>
              </w:rPr>
            </w:pPr>
          </w:p>
          <w:p w14:paraId="77B1EF8F">
            <w:pPr>
              <w:spacing w:line="240" w:lineRule="auto"/>
              <w:jc w:val="center"/>
              <w:rPr>
                <w:rFonts w:hint="eastAsia" w:ascii="宋体" w:hAnsi="宋体" w:eastAsia="宋体" w:cs="宋体"/>
                <w:b w:val="0"/>
                <w:bCs w:val="0"/>
                <w:color w:val="auto"/>
                <w:sz w:val="21"/>
                <w:szCs w:val="21"/>
                <w:highlight w:val="none"/>
              </w:rPr>
            </w:pPr>
          </w:p>
          <w:p w14:paraId="1145BED1">
            <w:pPr>
              <w:spacing w:line="240" w:lineRule="auto"/>
              <w:jc w:val="center"/>
              <w:rPr>
                <w:rFonts w:hint="eastAsia" w:ascii="宋体" w:hAnsi="宋体" w:eastAsia="宋体" w:cs="宋体"/>
                <w:b w:val="0"/>
                <w:bCs w:val="0"/>
                <w:color w:val="auto"/>
                <w:sz w:val="21"/>
                <w:szCs w:val="21"/>
                <w:highlight w:val="none"/>
              </w:rPr>
            </w:pPr>
          </w:p>
          <w:p w14:paraId="0DE06411">
            <w:pPr>
              <w:spacing w:line="240" w:lineRule="auto"/>
              <w:jc w:val="center"/>
              <w:rPr>
                <w:rFonts w:hint="eastAsia" w:ascii="宋体" w:hAnsi="宋体" w:eastAsia="宋体" w:cs="宋体"/>
                <w:b w:val="0"/>
                <w:bCs w:val="0"/>
                <w:color w:val="auto"/>
                <w:sz w:val="21"/>
                <w:szCs w:val="21"/>
                <w:highlight w:val="none"/>
              </w:rPr>
            </w:pPr>
          </w:p>
          <w:p w14:paraId="444A2F8C">
            <w:pPr>
              <w:spacing w:line="240" w:lineRule="auto"/>
              <w:jc w:val="center"/>
              <w:rPr>
                <w:rFonts w:hint="eastAsia" w:ascii="宋体" w:hAnsi="宋体" w:eastAsia="宋体" w:cs="宋体"/>
                <w:b w:val="0"/>
                <w:bCs w:val="0"/>
                <w:color w:val="auto"/>
                <w:sz w:val="21"/>
                <w:szCs w:val="21"/>
                <w:highlight w:val="none"/>
              </w:rPr>
            </w:pPr>
          </w:p>
          <w:p w14:paraId="1F560CAD">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电子针疗仪</w:t>
            </w:r>
          </w:p>
          <w:p w14:paraId="4A093609">
            <w:pPr>
              <w:spacing w:line="240" w:lineRule="auto"/>
              <w:jc w:val="center"/>
              <w:rPr>
                <w:rFonts w:hint="eastAsia" w:ascii="宋体" w:hAnsi="宋体" w:eastAsia="宋体" w:cs="宋体"/>
                <w:b w:val="0"/>
                <w:bCs w:val="0"/>
                <w:color w:val="auto"/>
                <w:sz w:val="21"/>
                <w:szCs w:val="21"/>
                <w:highlight w:val="none"/>
              </w:rPr>
            </w:pPr>
          </w:p>
          <w:p w14:paraId="51C8786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mc:AlternateContent>
                <mc:Choice Requires="wps">
                  <w:drawing>
                    <wp:anchor distT="0" distB="0" distL="0" distR="0" simplePos="0" relativeHeight="251668480" behindDoc="0" locked="0" layoutInCell="1" allowOverlap="1">
                      <wp:simplePos x="0" y="0"/>
                      <wp:positionH relativeFrom="page">
                        <wp:posOffset>370205</wp:posOffset>
                      </wp:positionH>
                      <wp:positionV relativeFrom="page">
                        <wp:posOffset>3412490</wp:posOffset>
                      </wp:positionV>
                      <wp:extent cx="189865" cy="4042410"/>
                      <wp:effectExtent l="0" t="0" r="0" b="0"/>
                      <wp:wrapNone/>
                      <wp:docPr id="14" name="文本框 14"/>
                      <wp:cNvGraphicFramePr/>
                      <a:graphic xmlns:a="http://schemas.openxmlformats.org/drawingml/2006/main">
                        <a:graphicData uri="http://schemas.microsoft.com/office/word/2010/wordprocessingShape">
                          <wps:wsp>
                            <wps:cNvSpPr txBox="1"/>
                            <wps:spPr>
                              <a:xfrm>
                                <a:off x="1601470" y="2139315"/>
                                <a:ext cx="189865" cy="4042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98412">
                                  <w:pPr>
                                    <w:spacing w:line="240" w:lineRule="auto"/>
                                    <w:rPr>
                                      <w:rFonts w:ascii="等线" w:hAnsi="等线" w:eastAsia="等线"/>
                                      <w:szCs w:val="22"/>
                                    </w:rPr>
                                  </w:pPr>
                                </w:p>
                              </w:txbxContent>
                            </wps:txbx>
                            <wps:bodyPr lIns="0" tIns="0" rIns="0" bIns="0">
                              <a:noAutofit/>
                            </wps:bodyPr>
                          </wps:wsp>
                        </a:graphicData>
                      </a:graphic>
                    </wp:anchor>
                  </w:drawing>
                </mc:Choice>
                <mc:Fallback>
                  <w:pict>
                    <v:shape id="_x0000_s1026" o:spid="_x0000_s1026" o:spt="202" type="#_x0000_t202" style="position:absolute;left:0pt;margin-left:29.15pt;margin-top:268.7pt;height:318.3pt;width:14.95pt;mso-position-horizontal-relative:page;mso-position-vertical-relative:page;z-index:251668480;mso-width-relative:page;mso-height-relative:page;" filled="f" stroked="f" coordsize="21600,21600" o:gfxdata="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dSQW+2QAAAAoBAAAPAAAA&#10;AAAAAAEAIAAAACIAAABkcnMvZG93bnJldi54bWxQSwECFAAUAAAACACHTuJAFgOIEtsBAAClAwAA&#10;DgAAAAAAAAABACAAAAAoAQAAZHJzL2Uyb0RvYy54bWxQSwUGAAAAAAYABgBZAQAAdQUAAAAA&#10;">
                      <v:fill on="f" focussize="0,0"/>
                      <v:stroke on="f" weight="0.5pt"/>
                      <v:imagedata o:title=""/>
                      <o:lock v:ext="edit" aspectratio="f"/>
                      <v:textbox inset="0mm,0mm,0mm,0mm">
                        <w:txbxContent>
                          <w:p w14:paraId="16698412">
                            <w:pPr>
                              <w:spacing w:line="240" w:lineRule="auto"/>
                              <w:rPr>
                                <w:rFonts w:ascii="等线" w:hAnsi="等线" w:eastAsia="等线"/>
                                <w:szCs w:val="22"/>
                              </w:rPr>
                            </w:pPr>
                          </w:p>
                        </w:txbxContent>
                      </v:textbox>
                    </v:shape>
                  </w:pict>
                </mc:Fallback>
              </mc:AlternateContent>
            </w:r>
          </w:p>
        </w:tc>
        <w:tc>
          <w:tcPr>
            <w:tcW w:w="7403" w:type="dxa"/>
            <w:tcBorders>
              <w:tl2br w:val="nil"/>
              <w:tr2bl w:val="nil"/>
            </w:tcBorders>
          </w:tcPr>
          <w:p w14:paraId="30434EF6">
            <w:pPr>
              <w:autoSpaceDE w:val="0"/>
              <w:autoSpaceDN w:val="0"/>
              <w:spacing w:before="0" w:after="0" w:line="380" w:lineRule="exact"/>
              <w:ind w:firstLine="0"/>
              <w:jc w:val="both"/>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rPr>
              <w:t xml:space="preserve">·电源：内部电源DC9V </w:t>
            </w:r>
            <w:r>
              <w:rPr>
                <w:rFonts w:hint="eastAsia" w:ascii="宋体" w:hAnsi="宋体" w:eastAsia="宋体" w:cs="宋体"/>
                <w:b w:val="0"/>
                <w:bCs w:val="0"/>
                <w:color w:val="auto"/>
                <w:sz w:val="18"/>
                <w:szCs w:val="18"/>
                <w:highlight w:val="none"/>
                <w:lang w:val="en-US" w:eastAsia="zh-CN"/>
              </w:rPr>
              <w:t>-</w:t>
            </w:r>
            <w:r>
              <w:rPr>
                <w:rFonts w:hint="eastAsia" w:ascii="宋体" w:hAnsi="宋体" w:eastAsia="宋体" w:cs="宋体"/>
                <w:b w:val="0"/>
                <w:bCs w:val="0"/>
                <w:color w:val="auto"/>
                <w:sz w:val="18"/>
                <w:szCs w:val="18"/>
                <w:highlight w:val="none"/>
              </w:rPr>
              <w:t>1</w:t>
            </w:r>
            <w:r>
              <w:rPr>
                <w:rFonts w:hint="eastAsia" w:ascii="宋体" w:hAnsi="宋体" w:eastAsia="宋体" w:cs="宋体"/>
                <w:b w:val="0"/>
                <w:bCs w:val="0"/>
                <w:color w:val="auto"/>
                <w:sz w:val="18"/>
                <w:szCs w:val="18"/>
                <w:highlight w:val="none"/>
                <w:lang w:val="en-US" w:eastAsia="zh-CN"/>
              </w:rPr>
              <w:t>0%+5%</w:t>
            </w:r>
          </w:p>
          <w:p w14:paraId="35837902">
            <w:pPr>
              <w:autoSpaceDE w:val="0"/>
              <w:autoSpaceDN w:val="0"/>
              <w:spacing w:before="0" w:after="0" w:line="380" w:lineRule="exact"/>
              <w:ind w:firstLine="720" w:firstLineChars="40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电源适配器（输入AC220V±22V 50Hz±1Hz；输出DC9V）</w:t>
            </w:r>
          </w:p>
          <w:p w14:paraId="302CA98A">
            <w:pPr>
              <w:autoSpaceDE w:val="0"/>
              <w:autoSpaceDN w:val="0"/>
              <w:spacing w:before="0" w:after="0" w:line="360" w:lineRule="exact"/>
              <w:ind w:firstLine="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·输入功率：10.0VA</w:t>
            </w:r>
          </w:p>
          <w:p w14:paraId="280DD7FB">
            <w:pPr>
              <w:autoSpaceDE w:val="0"/>
              <w:autoSpaceDN w:val="0"/>
              <w:spacing w:before="0" w:after="0" w:line="360" w:lineRule="exact"/>
              <w:ind w:firstLine="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·输出脉冲波形：非对称双向脉冲波</w:t>
            </w:r>
          </w:p>
          <w:p w14:paraId="0090C8AA">
            <w:pPr>
              <w:autoSpaceDE w:val="0"/>
              <w:autoSpaceDN w:val="0"/>
              <w:spacing w:before="0" w:after="0" w:line="360" w:lineRule="exact"/>
              <w:ind w:firstLine="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·输出脉冲路数：六路输出</w:t>
            </w:r>
          </w:p>
          <w:p w14:paraId="05E39660">
            <w:pPr>
              <w:autoSpaceDE w:val="0"/>
              <w:autoSpaceDN w:val="0"/>
              <w:spacing w:before="0" w:after="0" w:line="380" w:lineRule="exact"/>
              <w:ind w:firstLine="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·最大输出功率：0.3VA(250Ω负载阻抗下）</w:t>
            </w:r>
          </w:p>
          <w:p w14:paraId="4F0CB35E">
            <w:pPr>
              <w:autoSpaceDE w:val="0"/>
              <w:autoSpaceDN w:val="0"/>
              <w:spacing w:before="0" w:after="0" w:line="340" w:lineRule="exact"/>
              <w:ind w:firstLine="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·输出脉冲频率：1-100HZ可调，允差为±15％</w:t>
            </w:r>
          </w:p>
          <w:p w14:paraId="731F6F67">
            <w:pPr>
              <w:autoSpaceDE w:val="0"/>
              <w:autoSpaceDN w:val="0"/>
              <w:spacing w:before="0" w:after="0" w:line="380" w:lineRule="exact"/>
              <w:ind w:firstLine="26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工作模式：连续波工作模式：连续</w:t>
            </w:r>
          </w:p>
          <w:p w14:paraId="3CDC2972">
            <w:pPr>
              <w:autoSpaceDE w:val="0"/>
              <w:autoSpaceDN w:val="0"/>
              <w:spacing w:before="0" w:after="0" w:line="360" w:lineRule="exact"/>
              <w:ind w:firstLine="180" w:firstLineChars="10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断续波工作模式：工作15S，停5S</w:t>
            </w:r>
          </w:p>
          <w:p w14:paraId="3418F5F1">
            <w:pPr>
              <w:autoSpaceDE w:val="0"/>
              <w:autoSpaceDN w:val="0"/>
              <w:spacing w:before="0" w:after="0" w:line="360" w:lineRule="exact"/>
              <w:ind w:left="239" w:leftChars="114" w:firstLine="0" w:firstLineChars="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疏密波工作模式：波频率与密波频率之比是1:5</w:t>
            </w:r>
            <w:r>
              <w:rPr>
                <w:rFonts w:hint="eastAsia" w:ascii="宋体" w:hAnsi="宋体" w:eastAsia="宋体" w:cs="宋体"/>
                <w:b w:val="0"/>
                <w:bCs w:val="0"/>
                <w:color w:val="auto"/>
                <w:sz w:val="18"/>
                <w:szCs w:val="18"/>
                <w:highlight w:val="none"/>
                <w:lang w:eastAsia="zh-CN"/>
              </w:rPr>
              <w:t>，</w:t>
            </w:r>
            <w:r>
              <w:rPr>
                <w:rFonts w:hint="eastAsia" w:ascii="宋体" w:hAnsi="宋体" w:eastAsia="宋体" w:cs="宋体"/>
                <w:b w:val="0"/>
                <w:bCs w:val="0"/>
                <w:color w:val="auto"/>
                <w:sz w:val="18"/>
                <w:szCs w:val="18"/>
                <w:highlight w:val="none"/>
              </w:rPr>
              <w:t>疏波工作5S，密波工作10S</w:t>
            </w:r>
          </w:p>
          <w:p w14:paraId="77C39632">
            <w:pPr>
              <w:autoSpaceDE w:val="0"/>
              <w:autoSpaceDN w:val="0"/>
              <w:spacing w:before="0" w:after="0" w:line="360" w:lineRule="exact"/>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（断续波、疏密波时间允差为±15%）</w:t>
            </w:r>
          </w:p>
          <w:p w14:paraId="1683B481">
            <w:pPr>
              <w:autoSpaceDE w:val="0"/>
              <w:autoSpaceDN w:val="0"/>
              <w:spacing w:before="0" w:after="0" w:line="340" w:lineRule="exact"/>
              <w:ind w:firstLine="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·输出电流的限制：≤10mA(250Ω负载阻抗下）</w:t>
            </w:r>
          </w:p>
          <w:p w14:paraId="55E20EB9">
            <w:pPr>
              <w:autoSpaceDE w:val="0"/>
              <w:autoSpaceDN w:val="0"/>
              <w:spacing w:before="0" w:after="0" w:line="360" w:lineRule="exact"/>
              <w:ind w:firstLine="0"/>
              <w:jc w:val="both"/>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·输出脉冲宽度：0.2ms±30%(EMC检测基本性能）</w:t>
            </w:r>
          </w:p>
        </w:tc>
        <w:tc>
          <w:tcPr>
            <w:tcW w:w="1391" w:type="dxa"/>
            <w:tcBorders>
              <w:tl2br w:val="nil"/>
              <w:tr2bl w:val="nil"/>
            </w:tcBorders>
            <w:vAlign w:val="center"/>
          </w:tcPr>
          <w:p w14:paraId="51C480AE">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4</w:t>
            </w:r>
          </w:p>
        </w:tc>
        <w:tc>
          <w:tcPr>
            <w:tcW w:w="1255" w:type="dxa"/>
            <w:tcBorders>
              <w:tl2br w:val="nil"/>
              <w:tr2bl w:val="nil"/>
            </w:tcBorders>
            <w:vAlign w:val="center"/>
          </w:tcPr>
          <w:p w14:paraId="3ADD817E">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09A7F341">
            <w:pPr>
              <w:spacing w:line="240" w:lineRule="auto"/>
              <w:jc w:val="center"/>
              <w:rPr>
                <w:rFonts w:hint="eastAsia" w:ascii="宋体" w:hAnsi="宋体" w:eastAsia="宋体" w:cs="宋体"/>
                <w:b w:val="0"/>
                <w:bCs w:val="0"/>
                <w:color w:val="auto"/>
                <w:sz w:val="18"/>
                <w:szCs w:val="18"/>
                <w:highlight w:val="none"/>
                <w:lang w:val="en-US" w:eastAsia="zh-CN"/>
              </w:rPr>
            </w:pPr>
          </w:p>
        </w:tc>
      </w:tr>
      <w:tr w14:paraId="2B2B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620ECF28">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35</w:t>
            </w:r>
          </w:p>
        </w:tc>
        <w:tc>
          <w:tcPr>
            <w:tcW w:w="1936" w:type="dxa"/>
            <w:tcBorders>
              <w:tl2br w:val="nil"/>
              <w:tr2bl w:val="nil"/>
            </w:tcBorders>
            <w:vAlign w:val="center"/>
          </w:tcPr>
          <w:p w14:paraId="42B4DE1A">
            <w:pPr>
              <w:spacing w:line="240" w:lineRule="auto"/>
              <w:jc w:val="center"/>
              <w:rPr>
                <w:rFonts w:hint="eastAsia" w:ascii="宋体" w:hAnsi="宋体" w:eastAsia="宋体" w:cs="宋体"/>
                <w:b w:val="0"/>
                <w:bCs w:val="0"/>
                <w:color w:val="auto"/>
                <w:sz w:val="21"/>
                <w:szCs w:val="21"/>
                <w:highlight w:val="none"/>
              </w:rPr>
            </w:pPr>
          </w:p>
          <w:p w14:paraId="505F3074">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多功能牵引床</w:t>
            </w:r>
          </w:p>
          <w:p w14:paraId="1DC8F928">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554C3284">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1、额定输入功率：≥90VA。</w:t>
            </w:r>
          </w:p>
          <w:p w14:paraId="0E5CEA8D">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2、牵引行程：0～200mm，允差±10mm。</w:t>
            </w:r>
          </w:p>
          <w:p w14:paraId="5203851F">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3、腰椎牵引力范围：0～990N，级差10N。</w:t>
            </w:r>
          </w:p>
          <w:p w14:paraId="1687BCC0">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4、牵引总时间：0～99min，级差1min，允差±30s。</w:t>
            </w:r>
          </w:p>
          <w:p w14:paraId="6CF62CA4">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5、持续牵引时间：0～9min，级差1min，允差±30s。</w:t>
            </w:r>
          </w:p>
          <w:p w14:paraId="5CEA4A01">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▲6、间歇牵引时间：0～9min，级差1min，允差±30s。</w:t>
            </w:r>
          </w:p>
          <w:p w14:paraId="07531B30">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7、成角角度范围：-10°～+30°，允差±2°。</w:t>
            </w:r>
          </w:p>
          <w:p w14:paraId="0BB86A62">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8、旋转角度范围：左右各25°，允差±2°。</w:t>
            </w:r>
          </w:p>
          <w:p w14:paraId="1B47D6AC">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9、腰部热疗加热温度45℃，允差±3℃，超过45℃超温保护装置启动，避免烫伤患者。</w:t>
            </w:r>
          </w:p>
          <w:p w14:paraId="165746E9">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10、腰椎牵引：≥8种牵引模式。</w:t>
            </w:r>
          </w:p>
          <w:p w14:paraId="0CDBC3CA">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11、具有牵引力自动补偿功能。</w:t>
            </w:r>
          </w:p>
          <w:p w14:paraId="10028224">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12、治疗处方：≥15种。</w:t>
            </w:r>
          </w:p>
          <w:p w14:paraId="753CE39C">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13、治疗方案：20种存储并读取。</w:t>
            </w:r>
          </w:p>
          <w:p w14:paraId="13DA2CC1">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14、安全设计：至少包含最大牵引力控制、患者应急线控手柄、医务人员操作急退键三种方式。</w:t>
            </w:r>
          </w:p>
          <w:p w14:paraId="3A757A1B">
            <w:pPr>
              <w:bidi w:val="0"/>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15、微电脑控制腰椎牵引。</w:t>
            </w:r>
          </w:p>
          <w:p w14:paraId="4BABB2C1">
            <w:pPr>
              <w:bidi w:val="0"/>
              <w:spacing w:line="240" w:lineRule="auto"/>
              <w:rPr>
                <w:rFonts w:hint="eastAsia" w:ascii="宋体" w:hAnsi="宋体" w:eastAsia="宋体" w:cs="宋体"/>
                <w:b w:val="0"/>
                <w:bCs w:val="0"/>
                <w:color w:val="auto"/>
                <w:spacing w:val="-8"/>
                <w:sz w:val="18"/>
                <w:szCs w:val="18"/>
                <w:highlight w:val="none"/>
                <w:lang w:eastAsia="zh-CN"/>
              </w:rPr>
            </w:pPr>
            <w:r>
              <w:rPr>
                <w:rFonts w:hint="eastAsia" w:ascii="宋体" w:hAnsi="宋体" w:eastAsia="宋体" w:cs="宋体"/>
                <w:b w:val="0"/>
                <w:bCs w:val="0"/>
                <w:color w:val="auto"/>
                <w:sz w:val="18"/>
                <w:szCs w:val="18"/>
                <w:highlight w:val="none"/>
                <w:lang w:val="en-US" w:eastAsia="zh-CN"/>
              </w:rPr>
              <w:t>16、具有开机自检功能。</w:t>
            </w:r>
          </w:p>
        </w:tc>
        <w:tc>
          <w:tcPr>
            <w:tcW w:w="1391" w:type="dxa"/>
            <w:tcBorders>
              <w:tl2br w:val="nil"/>
              <w:tr2bl w:val="nil"/>
            </w:tcBorders>
            <w:vAlign w:val="center"/>
          </w:tcPr>
          <w:p w14:paraId="7491DDD6">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38BC11F8">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5051D99A">
            <w:pPr>
              <w:spacing w:line="240" w:lineRule="auto"/>
              <w:jc w:val="center"/>
              <w:rPr>
                <w:rFonts w:hint="eastAsia" w:ascii="宋体" w:hAnsi="宋体" w:eastAsia="宋体" w:cs="宋体"/>
                <w:b w:val="0"/>
                <w:bCs w:val="0"/>
                <w:color w:val="auto"/>
                <w:sz w:val="18"/>
                <w:szCs w:val="18"/>
                <w:highlight w:val="none"/>
                <w:lang w:val="en-US" w:eastAsia="zh-CN"/>
              </w:rPr>
            </w:pPr>
          </w:p>
        </w:tc>
      </w:tr>
      <w:tr w14:paraId="1A32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401C2087">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w:t>
            </w:r>
          </w:p>
        </w:tc>
        <w:tc>
          <w:tcPr>
            <w:tcW w:w="1936" w:type="dxa"/>
            <w:tcBorders>
              <w:tl2br w:val="nil"/>
              <w:tr2bl w:val="nil"/>
            </w:tcBorders>
            <w:vAlign w:val="center"/>
          </w:tcPr>
          <w:p w14:paraId="2F22CD0F">
            <w:pPr>
              <w:spacing w:line="240" w:lineRule="auto"/>
              <w:jc w:val="center"/>
              <w:rPr>
                <w:rFonts w:hint="eastAsia" w:ascii="宋体" w:hAnsi="宋体" w:eastAsia="宋体" w:cs="宋体"/>
                <w:b w:val="0"/>
                <w:bCs w:val="0"/>
                <w:color w:val="auto"/>
                <w:sz w:val="21"/>
                <w:szCs w:val="21"/>
                <w:highlight w:val="none"/>
              </w:rPr>
            </w:pPr>
          </w:p>
          <w:p w14:paraId="4EA6732D">
            <w:pPr>
              <w:spacing w:line="240" w:lineRule="auto"/>
              <w:jc w:val="center"/>
              <w:rPr>
                <w:rFonts w:hint="eastAsia" w:ascii="宋体" w:hAnsi="宋体" w:eastAsia="宋体" w:cs="宋体"/>
                <w:b w:val="0"/>
                <w:bCs w:val="0"/>
                <w:color w:val="auto"/>
                <w:sz w:val="21"/>
                <w:szCs w:val="21"/>
                <w:highlight w:val="none"/>
              </w:rPr>
            </w:pPr>
          </w:p>
          <w:p w14:paraId="62FFACFE">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颈椎牵引机</w:t>
            </w:r>
          </w:p>
          <w:p w14:paraId="6B9DA478">
            <w:pPr>
              <w:spacing w:line="240" w:lineRule="auto"/>
              <w:jc w:val="center"/>
              <w:rPr>
                <w:rFonts w:hint="eastAsia" w:ascii="宋体" w:hAnsi="宋体" w:eastAsia="宋体" w:cs="宋体"/>
                <w:b w:val="0"/>
                <w:bCs w:val="0"/>
                <w:color w:val="auto"/>
                <w:sz w:val="21"/>
                <w:szCs w:val="21"/>
                <w:highlight w:val="none"/>
              </w:rPr>
            </w:pPr>
          </w:p>
          <w:p w14:paraId="1669D980">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4EA1309C">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1、额定输入功率：≥35VA。</w:t>
            </w:r>
          </w:p>
          <w:p w14:paraId="4E87ADB2">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2、颈椎牵引力：0～300N。</w:t>
            </w:r>
          </w:p>
          <w:p w14:paraId="5249707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3、颈椎牵引行程：0～500mm。</w:t>
            </w:r>
          </w:p>
          <w:p w14:paraId="1E008BBF">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4、牵引时间：0～99min，级差1min，允差±30s。</w:t>
            </w:r>
          </w:p>
          <w:p w14:paraId="731805E4">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5、间歇牵引时间：0～90s，级差10s，允差±3s。</w:t>
            </w:r>
          </w:p>
          <w:p w14:paraId="4C5F168F">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6、持续牵引时间：0～9min，级差1min，允差±30s。</w:t>
            </w:r>
          </w:p>
          <w:p w14:paraId="72435E7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7、牵引力、牵引行程及牵引时间均由微电脑控制。</w:t>
            </w:r>
          </w:p>
          <w:p w14:paraId="5E676F18">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8、数码显示，牵引力自动补偿。</w:t>
            </w:r>
          </w:p>
          <w:p w14:paraId="4F05AF5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9、牵引力过大自动保护。</w:t>
            </w:r>
          </w:p>
          <w:p w14:paraId="6EE6F41B">
            <w:pPr>
              <w:widowControl w:val="0"/>
              <w:spacing w:before="22" w:line="239" w:lineRule="auto"/>
              <w:ind w:left="29" w:right="181" w:hanging="3"/>
              <w:jc w:val="both"/>
              <w:rPr>
                <w:rFonts w:hint="eastAsia" w:ascii="宋体" w:hAnsi="宋体" w:eastAsia="宋体" w:cs="宋体"/>
                <w:b w:val="0"/>
                <w:bCs w:val="0"/>
                <w:color w:val="auto"/>
                <w:spacing w:val="-8"/>
                <w:kern w:val="2"/>
                <w:sz w:val="18"/>
                <w:szCs w:val="18"/>
                <w:highlight w:val="none"/>
                <w:lang w:val="en-US" w:eastAsia="zh-CN" w:bidi="ar-SA"/>
              </w:rPr>
            </w:pPr>
            <w:r>
              <w:rPr>
                <w:rFonts w:hint="eastAsia" w:ascii="宋体" w:hAnsi="宋体" w:eastAsia="宋体" w:cs="宋体"/>
                <w:b w:val="0"/>
                <w:bCs w:val="0"/>
                <w:color w:val="auto"/>
                <w:spacing w:val="-8"/>
                <w:kern w:val="2"/>
                <w:sz w:val="18"/>
                <w:szCs w:val="18"/>
                <w:highlight w:val="none"/>
                <w:lang w:val="en-US" w:eastAsia="zh-CN" w:bidi="ar-SA"/>
              </w:rPr>
              <w:t>10、多种安全设计：最大牵引力300N、患者控制应急开关，医务人员操作急退键。</w:t>
            </w:r>
          </w:p>
          <w:p w14:paraId="333CDB6B">
            <w:pPr>
              <w:widowControl w:val="0"/>
              <w:spacing w:before="22" w:line="239" w:lineRule="auto"/>
              <w:ind w:left="29" w:right="181" w:hanging="3"/>
              <w:jc w:val="both"/>
              <w:rPr>
                <w:rFonts w:hint="eastAsia" w:ascii="宋体" w:hAnsi="宋体" w:eastAsia="宋体" w:cs="宋体"/>
                <w:b w:val="0"/>
                <w:bCs w:val="0"/>
                <w:color w:val="auto"/>
                <w:kern w:val="2"/>
                <w:sz w:val="18"/>
                <w:szCs w:val="18"/>
                <w:highlight w:val="none"/>
                <w:lang w:val="en-US" w:eastAsia="en-US" w:bidi="ar-SA"/>
              </w:rPr>
            </w:pPr>
            <w:r>
              <w:rPr>
                <w:rFonts w:hint="eastAsia" w:ascii="宋体" w:hAnsi="宋体" w:eastAsia="宋体" w:cs="宋体"/>
                <w:b w:val="0"/>
                <w:bCs w:val="0"/>
                <w:color w:val="auto"/>
                <w:spacing w:val="-8"/>
                <w:kern w:val="2"/>
                <w:sz w:val="18"/>
                <w:szCs w:val="18"/>
                <w:highlight w:val="none"/>
                <w:lang w:val="en-US" w:eastAsia="zh-CN" w:bidi="ar-SA"/>
              </w:rPr>
              <w:t>11、颈椎牵引角度可调节。</w:t>
            </w:r>
          </w:p>
        </w:tc>
        <w:tc>
          <w:tcPr>
            <w:tcW w:w="1391" w:type="dxa"/>
            <w:tcBorders>
              <w:tl2br w:val="nil"/>
              <w:tr2bl w:val="nil"/>
            </w:tcBorders>
            <w:vAlign w:val="center"/>
          </w:tcPr>
          <w:p w14:paraId="00F34DCD">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74D15EF1">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0EC2C7CE">
            <w:pPr>
              <w:spacing w:line="240" w:lineRule="auto"/>
              <w:jc w:val="center"/>
              <w:rPr>
                <w:rFonts w:hint="eastAsia" w:ascii="宋体" w:hAnsi="宋体" w:eastAsia="宋体" w:cs="宋体"/>
                <w:b w:val="0"/>
                <w:bCs w:val="0"/>
                <w:color w:val="auto"/>
                <w:sz w:val="18"/>
                <w:szCs w:val="18"/>
                <w:highlight w:val="none"/>
              </w:rPr>
            </w:pPr>
          </w:p>
        </w:tc>
      </w:tr>
      <w:tr w14:paraId="6214A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4F00A8C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w:t>
            </w:r>
          </w:p>
        </w:tc>
        <w:tc>
          <w:tcPr>
            <w:tcW w:w="1936" w:type="dxa"/>
            <w:tcBorders>
              <w:tl2br w:val="nil"/>
              <w:tr2bl w:val="nil"/>
            </w:tcBorders>
            <w:vAlign w:val="center"/>
          </w:tcPr>
          <w:p w14:paraId="67107E28">
            <w:pPr>
              <w:spacing w:line="240" w:lineRule="auto"/>
              <w:jc w:val="center"/>
              <w:rPr>
                <w:rFonts w:hint="eastAsia" w:ascii="宋体" w:hAnsi="宋体" w:eastAsia="宋体" w:cs="宋体"/>
                <w:b w:val="0"/>
                <w:bCs w:val="0"/>
                <w:color w:val="auto"/>
                <w:sz w:val="21"/>
                <w:szCs w:val="21"/>
                <w:highlight w:val="none"/>
              </w:rPr>
            </w:pPr>
          </w:p>
          <w:p w14:paraId="42CCCEE3">
            <w:pPr>
              <w:spacing w:line="240" w:lineRule="auto"/>
              <w:jc w:val="center"/>
              <w:rPr>
                <w:rFonts w:hint="eastAsia" w:ascii="宋体" w:hAnsi="宋体" w:eastAsia="宋体" w:cs="宋体"/>
                <w:b w:val="0"/>
                <w:bCs w:val="0"/>
                <w:color w:val="auto"/>
                <w:sz w:val="21"/>
                <w:szCs w:val="21"/>
                <w:highlight w:val="none"/>
              </w:rPr>
            </w:pPr>
          </w:p>
          <w:p w14:paraId="2E35A398">
            <w:pPr>
              <w:spacing w:line="240" w:lineRule="auto"/>
              <w:jc w:val="center"/>
              <w:rPr>
                <w:rFonts w:hint="eastAsia" w:ascii="宋体" w:hAnsi="宋体" w:eastAsia="宋体" w:cs="宋体"/>
                <w:b w:val="0"/>
                <w:bCs w:val="0"/>
                <w:color w:val="auto"/>
                <w:sz w:val="21"/>
                <w:szCs w:val="21"/>
                <w:highlight w:val="none"/>
              </w:rPr>
            </w:pPr>
          </w:p>
          <w:p w14:paraId="290C4648">
            <w:pPr>
              <w:spacing w:line="24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灸疗机（无烟艾灸</w:t>
            </w:r>
            <w:r>
              <w:rPr>
                <w:rFonts w:hint="eastAsia" w:ascii="宋体" w:hAnsi="宋体" w:eastAsia="宋体" w:cs="宋体"/>
                <w:b w:val="0"/>
                <w:bCs w:val="0"/>
                <w:color w:val="auto"/>
                <w:sz w:val="21"/>
                <w:szCs w:val="21"/>
                <w:highlight w:val="none"/>
                <w:lang w:val="en-US" w:eastAsia="zh-CN"/>
              </w:rPr>
              <w:t>床）</w:t>
            </w:r>
          </w:p>
          <w:p w14:paraId="76F7FDCA">
            <w:pPr>
              <w:spacing w:line="240" w:lineRule="auto"/>
              <w:jc w:val="center"/>
              <w:rPr>
                <w:rFonts w:hint="eastAsia" w:ascii="宋体" w:hAnsi="宋体" w:eastAsia="宋体" w:cs="宋体"/>
                <w:b w:val="0"/>
                <w:bCs w:val="0"/>
                <w:color w:val="auto"/>
                <w:sz w:val="21"/>
                <w:szCs w:val="21"/>
                <w:highlight w:val="none"/>
              </w:rPr>
            </w:pPr>
          </w:p>
          <w:p w14:paraId="42E60EAA">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54FA248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1:使用电源:使用电源：a.c.220V,50Hz; </w:t>
            </w:r>
          </w:p>
          <w:p w14:paraId="76492D4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2:输入功率:额定输入功率≤2000VA: </w:t>
            </w:r>
          </w:p>
          <w:p w14:paraId="436677C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3:结构尺寸:采用床式设计，长1960mm,宽770mm,高620mm（允差±10%） </w:t>
            </w:r>
          </w:p>
          <w:p w14:paraId="2E35225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4:灸疗盒:灸疗盒数量不少于10个，直径55mm: </w:t>
            </w:r>
          </w:p>
          <w:p w14:paraId="1BFCE4F0">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5:治疗温度:治疗温度70℃~170℃可调,级差10℃；治疗温度恒定后，热量接受面的温</w:t>
            </w:r>
          </w:p>
          <w:p w14:paraId="50BD59DE">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度不得超过55℃。 </w:t>
            </w:r>
          </w:p>
          <w:p w14:paraId="4FAE573A">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6:▲治疗部位:上灸(背部)、中灸(腰臀部)、右腿、左腿； </w:t>
            </w:r>
          </w:p>
          <w:p w14:paraId="68D4DB1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7:灸材材质:灸材 </w:t>
            </w:r>
          </w:p>
          <w:p w14:paraId="20606083">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(1)灸材材质：灸材应仅由艾绒制成。 </w:t>
            </w:r>
          </w:p>
          <w:p w14:paraId="3DBF8B75">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(2)干燥度：不低于85%。 </w:t>
            </w:r>
          </w:p>
          <w:p w14:paraId="1A32357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(3)灸材重量：10g,允差±20%。 </w:t>
            </w:r>
          </w:p>
          <w:p w14:paraId="4A7CCD9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(3)灸材密实程度：0.2g/cm³,允差±20%。 </w:t>
            </w:r>
          </w:p>
          <w:p w14:paraId="326328C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8:设备风速:风速0～9可调，级差1。 </w:t>
            </w:r>
          </w:p>
          <w:p w14:paraId="6077DAC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9:特色功能:上灸(背部)、中灸(腰臀部)、右腿灸、左腿灸等四个艾灸区的温度可单独</w:t>
            </w:r>
          </w:p>
          <w:p w14:paraId="0B3DC38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开关，温度可以分别设置；四个艾灸区的风量1-9档可分别设置和调档；四个艾灸区的</w:t>
            </w:r>
          </w:p>
          <w:p w14:paraId="4CCE22ED">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红外光1-9档可调且单独开关； </w:t>
            </w:r>
          </w:p>
          <w:p w14:paraId="52AC479E">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10:▲工作噪声:工作状态下噪声不大于60dB(A)。 </w:t>
            </w:r>
          </w:p>
          <w:p w14:paraId="7DF73B2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11:治疗时间:0~99min可调，级差1min，允差±5%。 </w:t>
            </w:r>
          </w:p>
          <w:p w14:paraId="13E66F7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12:温度保护：设备具有两路独立的温度保护装置，当达到治疗温度时，第一路保护装置动作，切断加热输出；如第一路保护装置失效时，温度继续升高到60℃,第二路保护装置动作切断加热电源。</w:t>
            </w:r>
          </w:p>
        </w:tc>
        <w:tc>
          <w:tcPr>
            <w:tcW w:w="1391" w:type="dxa"/>
            <w:tcBorders>
              <w:tl2br w:val="nil"/>
              <w:tr2bl w:val="nil"/>
            </w:tcBorders>
            <w:vAlign w:val="center"/>
          </w:tcPr>
          <w:p w14:paraId="6BF692A7">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4</w:t>
            </w:r>
          </w:p>
        </w:tc>
        <w:tc>
          <w:tcPr>
            <w:tcW w:w="1255" w:type="dxa"/>
            <w:tcBorders>
              <w:tl2br w:val="nil"/>
              <w:tr2bl w:val="nil"/>
            </w:tcBorders>
            <w:vAlign w:val="center"/>
          </w:tcPr>
          <w:p w14:paraId="6E9C8AFE">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68824A54">
            <w:pPr>
              <w:spacing w:line="240" w:lineRule="auto"/>
              <w:jc w:val="center"/>
              <w:rPr>
                <w:rFonts w:hint="eastAsia" w:ascii="宋体" w:hAnsi="宋体" w:eastAsia="宋体" w:cs="宋体"/>
                <w:b w:val="0"/>
                <w:bCs w:val="0"/>
                <w:color w:val="auto"/>
                <w:sz w:val="18"/>
                <w:szCs w:val="18"/>
                <w:highlight w:val="none"/>
                <w:lang w:val="en-US" w:eastAsia="zh-CN"/>
              </w:rPr>
            </w:pPr>
          </w:p>
        </w:tc>
      </w:tr>
      <w:tr w14:paraId="6251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6A54FF0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w:t>
            </w:r>
          </w:p>
        </w:tc>
        <w:tc>
          <w:tcPr>
            <w:tcW w:w="1936" w:type="dxa"/>
            <w:tcBorders>
              <w:tl2br w:val="nil"/>
              <w:tr2bl w:val="nil"/>
            </w:tcBorders>
            <w:vAlign w:val="center"/>
          </w:tcPr>
          <w:p w14:paraId="47062342">
            <w:pPr>
              <w:keepNext w:val="0"/>
              <w:keepLines w:val="0"/>
              <w:widowControl/>
              <w:suppressLineNumbers w:val="0"/>
              <w:spacing w:line="240" w:lineRule="auto"/>
              <w:jc w:val="center"/>
              <w:rPr>
                <w:rFonts w:hint="eastAsia" w:ascii="宋体" w:hAnsi="宋体" w:eastAsia="宋体" w:cs="宋体"/>
                <w:b w:val="0"/>
                <w:bCs w:val="0"/>
                <w:color w:val="auto"/>
                <w:kern w:val="0"/>
                <w:sz w:val="21"/>
                <w:szCs w:val="21"/>
                <w:highlight w:val="none"/>
                <w:lang w:val="en-US" w:eastAsia="zh-CN" w:bidi="ar"/>
              </w:rPr>
            </w:pPr>
          </w:p>
          <w:p w14:paraId="7F688B90">
            <w:pPr>
              <w:keepNext w:val="0"/>
              <w:keepLines w:val="0"/>
              <w:widowControl/>
              <w:suppressLineNumbers w:val="0"/>
              <w:spacing w:line="240" w:lineRule="auto"/>
              <w:ind w:firstLine="420" w:firstLineChars="200"/>
              <w:jc w:val="both"/>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ABS急救车</w:t>
            </w:r>
          </w:p>
          <w:p w14:paraId="1800EF70">
            <w:pPr>
              <w:keepNext w:val="0"/>
              <w:keepLines w:val="0"/>
              <w:widowControl/>
              <w:suppressLineNumbers w:val="0"/>
              <w:spacing w:line="240" w:lineRule="auto"/>
              <w:jc w:val="center"/>
              <w:rPr>
                <w:rFonts w:hint="eastAsia" w:ascii="宋体" w:hAnsi="宋体" w:eastAsia="宋体" w:cs="宋体"/>
                <w:b w:val="0"/>
                <w:bCs w:val="0"/>
                <w:color w:val="auto"/>
                <w:kern w:val="0"/>
                <w:sz w:val="21"/>
                <w:szCs w:val="21"/>
                <w:highlight w:val="none"/>
                <w:lang w:val="en-US" w:eastAsia="zh-CN" w:bidi="ar"/>
              </w:rPr>
            </w:pPr>
          </w:p>
        </w:tc>
        <w:tc>
          <w:tcPr>
            <w:tcW w:w="7403" w:type="dxa"/>
            <w:tcBorders>
              <w:tl2br w:val="nil"/>
              <w:tr2bl w:val="nil"/>
            </w:tcBorders>
          </w:tcPr>
          <w:p w14:paraId="21A61607">
            <w:pPr>
              <w:keepNext w:val="0"/>
              <w:keepLines w:val="0"/>
              <w:widowControl/>
              <w:suppressLineNumbers w:val="0"/>
              <w:spacing w:line="240" w:lineRule="auto"/>
              <w:jc w:val="left"/>
              <w:rPr>
                <w:rFonts w:hint="default"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外型尺寸：630mm（宽）*470mm（长）*930mm（高），允差±20%。</w:t>
            </w:r>
          </w:p>
          <w:p w14:paraId="0A5D5FB0">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注：高度不含输液支架</w:t>
            </w:r>
          </w:p>
          <w:p w14:paraId="6C999F9C">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护栏由304不锈钢条加工而成</w:t>
            </w:r>
          </w:p>
          <w:p w14:paraId="10A9EB91">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台面为ABS豪华软玻璃，美观耐磨</w:t>
            </w:r>
          </w:p>
          <w:p w14:paraId="245160D9">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侧面带副工作台，可抽出使用，方便写字，配药品</w:t>
            </w:r>
          </w:p>
          <w:p w14:paraId="6B501CDA">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5层抽屉，每层带静音滑道，抽拉灵活，无噪音，带中控锁</w:t>
            </w:r>
          </w:p>
          <w:p w14:paraId="650C19C5">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脚轮配置：四个Ø100mm高强度静音脚轮，其中两只带刹车。</w:t>
            </w:r>
          </w:p>
        </w:tc>
        <w:tc>
          <w:tcPr>
            <w:tcW w:w="1391" w:type="dxa"/>
            <w:tcBorders>
              <w:tl2br w:val="nil"/>
              <w:tr2bl w:val="nil"/>
            </w:tcBorders>
            <w:vAlign w:val="center"/>
          </w:tcPr>
          <w:p w14:paraId="7FF81617">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255" w:type="dxa"/>
            <w:tcBorders>
              <w:tl2br w:val="nil"/>
              <w:tr2bl w:val="nil"/>
            </w:tcBorders>
            <w:vAlign w:val="center"/>
          </w:tcPr>
          <w:p w14:paraId="1F8B6E30">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辆</w:t>
            </w:r>
          </w:p>
        </w:tc>
        <w:tc>
          <w:tcPr>
            <w:tcW w:w="1214" w:type="dxa"/>
            <w:tcBorders>
              <w:tl2br w:val="nil"/>
              <w:tr2bl w:val="nil"/>
            </w:tcBorders>
            <w:vAlign w:val="center"/>
          </w:tcPr>
          <w:p w14:paraId="036E142A">
            <w:pPr>
              <w:spacing w:line="240" w:lineRule="auto"/>
              <w:jc w:val="center"/>
              <w:rPr>
                <w:rFonts w:hint="eastAsia" w:ascii="宋体" w:hAnsi="宋体" w:eastAsia="宋体" w:cs="宋体"/>
                <w:b w:val="0"/>
                <w:bCs w:val="0"/>
                <w:color w:val="auto"/>
                <w:sz w:val="18"/>
                <w:szCs w:val="18"/>
                <w:highlight w:val="none"/>
              </w:rPr>
            </w:pPr>
          </w:p>
        </w:tc>
      </w:tr>
      <w:tr w14:paraId="45DB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2FE157E">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w:t>
            </w:r>
          </w:p>
        </w:tc>
        <w:tc>
          <w:tcPr>
            <w:tcW w:w="1936" w:type="dxa"/>
            <w:tcBorders>
              <w:tl2br w:val="nil"/>
              <w:tr2bl w:val="nil"/>
            </w:tcBorders>
            <w:vAlign w:val="center"/>
          </w:tcPr>
          <w:p w14:paraId="42509ECC">
            <w:pPr>
              <w:spacing w:line="240" w:lineRule="auto"/>
              <w:jc w:val="center"/>
              <w:rPr>
                <w:rFonts w:hint="eastAsia" w:ascii="宋体" w:hAnsi="宋体" w:eastAsia="宋体" w:cs="宋体"/>
                <w:b w:val="0"/>
                <w:bCs w:val="0"/>
                <w:color w:val="auto"/>
                <w:sz w:val="21"/>
                <w:szCs w:val="21"/>
                <w:highlight w:val="none"/>
              </w:rPr>
            </w:pPr>
          </w:p>
          <w:p w14:paraId="39DE5318">
            <w:pPr>
              <w:spacing w:line="240" w:lineRule="auto"/>
              <w:jc w:val="center"/>
              <w:rPr>
                <w:rFonts w:hint="eastAsia" w:ascii="宋体" w:hAnsi="宋体" w:eastAsia="宋体" w:cs="宋体"/>
                <w:b w:val="0"/>
                <w:bCs w:val="0"/>
                <w:color w:val="auto"/>
                <w:sz w:val="21"/>
                <w:szCs w:val="21"/>
                <w:highlight w:val="none"/>
              </w:rPr>
            </w:pPr>
          </w:p>
          <w:p w14:paraId="64AE151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手动轮椅车</w:t>
            </w:r>
          </w:p>
          <w:p w14:paraId="57DB0EB6">
            <w:pPr>
              <w:spacing w:line="240" w:lineRule="auto"/>
              <w:jc w:val="center"/>
              <w:rPr>
                <w:rFonts w:hint="eastAsia" w:ascii="宋体" w:hAnsi="宋体" w:eastAsia="宋体" w:cs="宋体"/>
                <w:b w:val="0"/>
                <w:bCs w:val="0"/>
                <w:color w:val="auto"/>
                <w:sz w:val="21"/>
                <w:szCs w:val="21"/>
                <w:highlight w:val="none"/>
              </w:rPr>
            </w:pPr>
          </w:p>
          <w:p w14:paraId="17C76642">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3862B18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1.车架:采用优质钢管 ，双交叉杆支撑结构，表面采用喷涂处理 </w:t>
            </w:r>
          </w:p>
          <w:p w14:paraId="4C78299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2.壁厚:&gt;1.0mm，钢管直径&gt;22mm </w:t>
            </w:r>
          </w:p>
          <w:p w14:paraId="354668FA">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3.体积:长 1030mm*高 890mmm*宽 670.mm （允差±10mm) </w:t>
            </w:r>
          </w:p>
          <w:p w14:paraId="162E63C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4.折叠宽度:300mm （允差±10mm) </w:t>
            </w:r>
          </w:p>
          <w:p w14:paraId="3DE225AF">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5.坐垫:460mm*450mm 离地高度:510mmm （允差±10mm) </w:t>
            </w:r>
          </w:p>
          <w:p w14:paraId="5C34D63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6.大轮直径:610mm 小轮直径:170mm，免充气轮胎 （允差±10mm) </w:t>
            </w:r>
          </w:p>
          <w:p w14:paraId="30298533">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7.前带钢刹车,联动后手刹控制,四刹车。可折叠，带安全带，皮革软扶手金属防滑脚踏板，坚固耐用 </w:t>
            </w:r>
          </w:p>
          <w:p w14:paraId="420CFC92">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8.整车特点: </w:t>
            </w:r>
          </w:p>
          <w:p w14:paraId="724288E1">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海绵软坐垫 ，正面开有 U 型厕口，环保便盆，使用简便，环保低，物美价廉</w:t>
            </w:r>
          </w:p>
        </w:tc>
        <w:tc>
          <w:tcPr>
            <w:tcW w:w="1391" w:type="dxa"/>
            <w:tcBorders>
              <w:tl2br w:val="nil"/>
              <w:tr2bl w:val="nil"/>
            </w:tcBorders>
            <w:vAlign w:val="center"/>
          </w:tcPr>
          <w:p w14:paraId="6039FE2B">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p>
        </w:tc>
        <w:tc>
          <w:tcPr>
            <w:tcW w:w="1255" w:type="dxa"/>
            <w:tcBorders>
              <w:tl2br w:val="nil"/>
              <w:tr2bl w:val="nil"/>
            </w:tcBorders>
            <w:vAlign w:val="center"/>
          </w:tcPr>
          <w:p w14:paraId="297A8F26">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7FE13426">
            <w:pPr>
              <w:spacing w:line="240" w:lineRule="auto"/>
              <w:jc w:val="center"/>
              <w:rPr>
                <w:rFonts w:hint="eastAsia" w:ascii="宋体" w:hAnsi="宋体" w:eastAsia="宋体" w:cs="宋体"/>
                <w:b w:val="0"/>
                <w:bCs w:val="0"/>
                <w:color w:val="auto"/>
                <w:sz w:val="18"/>
                <w:szCs w:val="18"/>
                <w:highlight w:val="none"/>
                <w:lang w:val="en-US" w:eastAsia="zh-CN"/>
              </w:rPr>
            </w:pPr>
          </w:p>
        </w:tc>
      </w:tr>
      <w:tr w14:paraId="377C1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5F43364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40</w:t>
            </w:r>
          </w:p>
        </w:tc>
        <w:tc>
          <w:tcPr>
            <w:tcW w:w="1936" w:type="dxa"/>
            <w:tcBorders>
              <w:tl2br w:val="nil"/>
              <w:tr2bl w:val="nil"/>
            </w:tcBorders>
            <w:vAlign w:val="center"/>
          </w:tcPr>
          <w:p w14:paraId="33DFF5EC">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双轮助行器</w:t>
            </w:r>
          </w:p>
        </w:tc>
        <w:tc>
          <w:tcPr>
            <w:tcW w:w="7403" w:type="dxa"/>
            <w:tcBorders>
              <w:tl2br w:val="nil"/>
              <w:tr2bl w:val="nil"/>
            </w:tcBorders>
          </w:tcPr>
          <w:p w14:paraId="0052B8B8">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1.产品尺寸:75*57*75cm±3cm（允差±10%) </w:t>
            </w:r>
          </w:p>
          <w:p w14:paraId="192D69B7">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2.折叠厚度:13cm(一键折叠)±3cm（允差±10%)</w:t>
            </w:r>
          </w:p>
          <w:p w14:paraId="42D2016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3.材质:不锈钢 </w:t>
            </w:r>
          </w:p>
          <w:p w14:paraId="69970BF3">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4.产品净重:4.5kg±5kg（允差±10%) </w:t>
            </w:r>
          </w:p>
          <w:p w14:paraId="1A7779B4">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5.脚垫特点:加大脚垫更防滑 </w:t>
            </w:r>
          </w:p>
          <w:p w14:paraId="1466865D">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6.产品特点:加粗4cm前杆（允差±10%) </w:t>
            </w:r>
          </w:p>
          <w:p w14:paraId="12E4F606">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7.用途：辅助代步用具</w:t>
            </w:r>
          </w:p>
        </w:tc>
        <w:tc>
          <w:tcPr>
            <w:tcW w:w="1391" w:type="dxa"/>
            <w:tcBorders>
              <w:tl2br w:val="nil"/>
              <w:tr2bl w:val="nil"/>
            </w:tcBorders>
            <w:vAlign w:val="center"/>
          </w:tcPr>
          <w:p w14:paraId="5F896270">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p>
        </w:tc>
        <w:tc>
          <w:tcPr>
            <w:tcW w:w="1255" w:type="dxa"/>
            <w:tcBorders>
              <w:tl2br w:val="nil"/>
              <w:tr2bl w:val="nil"/>
            </w:tcBorders>
            <w:vAlign w:val="center"/>
          </w:tcPr>
          <w:p w14:paraId="5DC2946C">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5318E16E">
            <w:pPr>
              <w:spacing w:line="240" w:lineRule="auto"/>
              <w:jc w:val="center"/>
              <w:rPr>
                <w:rFonts w:hint="eastAsia" w:ascii="宋体" w:hAnsi="宋体" w:eastAsia="宋体" w:cs="宋体"/>
                <w:b w:val="0"/>
                <w:bCs w:val="0"/>
                <w:color w:val="auto"/>
                <w:sz w:val="18"/>
                <w:szCs w:val="18"/>
                <w:highlight w:val="none"/>
                <w:lang w:val="en-US" w:eastAsia="zh-CN"/>
              </w:rPr>
            </w:pPr>
          </w:p>
        </w:tc>
      </w:tr>
      <w:tr w14:paraId="1C5A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3C9EB1DB">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41</w:t>
            </w:r>
          </w:p>
        </w:tc>
        <w:tc>
          <w:tcPr>
            <w:tcW w:w="1936" w:type="dxa"/>
            <w:tcBorders>
              <w:tl2br w:val="nil"/>
              <w:tr2bl w:val="nil"/>
            </w:tcBorders>
            <w:vAlign w:val="center"/>
          </w:tcPr>
          <w:p w14:paraId="18C5C0D7">
            <w:pPr>
              <w:spacing w:line="24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空调1.5</w:t>
            </w:r>
            <w:r>
              <w:rPr>
                <w:rFonts w:hint="eastAsia" w:ascii="宋体" w:hAnsi="宋体" w:eastAsia="宋体" w:cs="宋体"/>
                <w:b w:val="0"/>
                <w:bCs w:val="0"/>
                <w:color w:val="auto"/>
                <w:sz w:val="21"/>
                <w:szCs w:val="21"/>
                <w:highlight w:val="none"/>
                <w:lang w:val="en-US" w:eastAsia="zh-CN"/>
              </w:rPr>
              <w:t>匹</w:t>
            </w:r>
          </w:p>
          <w:p w14:paraId="7D79CA86">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598990F1">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安装方式：壁挂式</w:t>
            </w:r>
          </w:p>
          <w:p w14:paraId="1049FBCE">
            <w:pPr>
              <w:keepNext w:val="0"/>
              <w:keepLines w:val="0"/>
              <w:widowControl/>
              <w:suppressLineNumbers w:val="0"/>
              <w:spacing w:line="240" w:lineRule="auto"/>
              <w:jc w:val="left"/>
              <w:rPr>
                <w:rFonts w:hint="default"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空调匹数/功率：1.5匹</w:t>
            </w:r>
          </w:p>
          <w:p w14:paraId="211222B7">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能效等级：一级能效</w:t>
            </w:r>
          </w:p>
          <w:p w14:paraId="66BB3FD4">
            <w:pPr>
              <w:keepNext w:val="0"/>
              <w:keepLines w:val="0"/>
              <w:widowControl/>
              <w:suppressLineNumbers w:val="0"/>
              <w:spacing w:line="240" w:lineRule="auto"/>
              <w:jc w:val="left"/>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定/变频：变频</w:t>
            </w:r>
          </w:p>
        </w:tc>
        <w:tc>
          <w:tcPr>
            <w:tcW w:w="1391" w:type="dxa"/>
            <w:tcBorders>
              <w:tl2br w:val="nil"/>
              <w:tr2bl w:val="nil"/>
            </w:tcBorders>
            <w:vAlign w:val="center"/>
          </w:tcPr>
          <w:p w14:paraId="34CE6505">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6</w:t>
            </w:r>
          </w:p>
        </w:tc>
        <w:tc>
          <w:tcPr>
            <w:tcW w:w="1255" w:type="dxa"/>
            <w:tcBorders>
              <w:tl2br w:val="nil"/>
              <w:tr2bl w:val="nil"/>
            </w:tcBorders>
            <w:vAlign w:val="center"/>
          </w:tcPr>
          <w:p w14:paraId="23DA2DCB">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5F364939">
            <w:pPr>
              <w:spacing w:line="240" w:lineRule="auto"/>
              <w:jc w:val="center"/>
              <w:rPr>
                <w:rFonts w:hint="eastAsia" w:ascii="宋体" w:hAnsi="宋体" w:eastAsia="宋体" w:cs="宋体"/>
                <w:b w:val="0"/>
                <w:bCs w:val="0"/>
                <w:color w:val="auto"/>
                <w:sz w:val="18"/>
                <w:szCs w:val="18"/>
                <w:highlight w:val="none"/>
              </w:rPr>
            </w:pPr>
          </w:p>
        </w:tc>
      </w:tr>
      <w:tr w14:paraId="1345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2BCF576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42</w:t>
            </w:r>
          </w:p>
        </w:tc>
        <w:tc>
          <w:tcPr>
            <w:tcW w:w="1936" w:type="dxa"/>
            <w:tcBorders>
              <w:tl2br w:val="nil"/>
              <w:tr2bl w:val="nil"/>
            </w:tcBorders>
            <w:vAlign w:val="center"/>
          </w:tcPr>
          <w:p w14:paraId="5BB07B41">
            <w:pPr>
              <w:spacing w:line="24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办公</w:t>
            </w:r>
            <w:r>
              <w:rPr>
                <w:rFonts w:hint="eastAsia" w:ascii="宋体" w:hAnsi="宋体" w:eastAsia="宋体" w:cs="宋体"/>
                <w:b w:val="0"/>
                <w:bCs w:val="0"/>
                <w:color w:val="auto"/>
                <w:sz w:val="21"/>
                <w:szCs w:val="21"/>
                <w:highlight w:val="none"/>
              </w:rPr>
              <w:t>桌</w:t>
            </w:r>
            <w:r>
              <w:rPr>
                <w:rFonts w:hint="eastAsia" w:ascii="宋体" w:hAnsi="宋体" w:eastAsia="宋体" w:cs="宋体"/>
                <w:b w:val="0"/>
                <w:bCs w:val="0"/>
                <w:color w:val="auto"/>
                <w:sz w:val="21"/>
                <w:szCs w:val="21"/>
                <w:highlight w:val="none"/>
                <w:lang w:val="en-US" w:eastAsia="zh-CN"/>
              </w:rPr>
              <w:t>椅</w:t>
            </w:r>
          </w:p>
        </w:tc>
        <w:tc>
          <w:tcPr>
            <w:tcW w:w="7403" w:type="dxa"/>
            <w:tcBorders>
              <w:tl2br w:val="nil"/>
              <w:tr2bl w:val="nil"/>
            </w:tcBorders>
          </w:tcPr>
          <w:p w14:paraId="625477AC">
            <w:pPr>
              <w:numPr>
                <w:ilvl w:val="0"/>
                <w:numId w:val="11"/>
              </w:num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桌</w:t>
            </w:r>
            <w:r>
              <w:rPr>
                <w:rFonts w:hint="eastAsia" w:ascii="宋体" w:hAnsi="宋体" w:eastAsia="宋体" w:cs="宋体"/>
                <w:b w:val="0"/>
                <w:bCs w:val="0"/>
                <w:color w:val="auto"/>
                <w:sz w:val="18"/>
                <w:szCs w:val="18"/>
                <w:highlight w:val="none"/>
              </w:rPr>
              <w:t>长</w:t>
            </w:r>
            <w:r>
              <w:rPr>
                <w:rFonts w:hint="eastAsia" w:ascii="宋体" w:hAnsi="宋体" w:eastAsia="宋体" w:cs="宋体"/>
                <w:b w:val="0"/>
                <w:bCs w:val="0"/>
                <w:color w:val="auto"/>
                <w:spacing w:val="-8"/>
                <w:sz w:val="18"/>
                <w:szCs w:val="18"/>
                <w:highlight w:val="none"/>
                <w:lang w:val="en-US" w:eastAsia="zh-CN"/>
              </w:rPr>
              <w:t>1</w:t>
            </w:r>
            <w:r>
              <w:rPr>
                <w:rFonts w:hint="eastAsia" w:ascii="宋体" w:hAnsi="宋体" w:eastAsia="宋体" w:cs="宋体"/>
                <w:b w:val="0"/>
                <w:bCs w:val="0"/>
                <w:color w:val="auto"/>
                <w:sz w:val="18"/>
                <w:szCs w:val="18"/>
                <w:highlight w:val="none"/>
              </w:rPr>
              <w:t>40cm宽</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18"/>
                <w:szCs w:val="18"/>
                <w:highlight w:val="none"/>
              </w:rPr>
              <w:t>60cm高7</w:t>
            </w:r>
            <w:r>
              <w:rPr>
                <w:rFonts w:hint="eastAsia" w:ascii="宋体" w:hAnsi="宋体" w:eastAsia="宋体" w:cs="宋体"/>
                <w:b w:val="0"/>
                <w:bCs w:val="0"/>
                <w:color w:val="auto"/>
                <w:sz w:val="18"/>
                <w:szCs w:val="18"/>
                <w:highlight w:val="none"/>
                <w:lang w:val="en-US" w:eastAsia="zh-CN"/>
              </w:rPr>
              <w:t>0</w:t>
            </w:r>
            <w:r>
              <w:rPr>
                <w:rFonts w:hint="eastAsia" w:ascii="宋体" w:hAnsi="宋体" w:eastAsia="宋体" w:cs="宋体"/>
                <w:b w:val="0"/>
                <w:bCs w:val="0"/>
                <w:color w:val="auto"/>
                <w:sz w:val="18"/>
                <w:szCs w:val="18"/>
                <w:highlight w:val="none"/>
              </w:rPr>
              <w:t>cm带主机位置</w:t>
            </w:r>
          </w:p>
          <w:p w14:paraId="631F99D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 xml:space="preserve">2、椅面料：专业办公网布饰面，细腻、使用时间长，厚度适中 </w:t>
            </w:r>
          </w:p>
          <w:p w14:paraId="659870CE">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3、海绵：采用PU成型发泡高密度阻燃海棉，用抽纱或丝绒覆面，软硬适中</w:t>
            </w:r>
          </w:p>
          <w:p w14:paraId="1873CA2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kern w:val="0"/>
                <w:sz w:val="18"/>
                <w:szCs w:val="18"/>
                <w:highlight w:val="none"/>
                <w:lang w:val="en-US" w:eastAsia="zh-CN" w:bidi="ar"/>
              </w:rPr>
              <w:t>耐久不变形，回弹力强，符合人体工程学</w:t>
            </w:r>
          </w:p>
          <w:p w14:paraId="4A78D93C">
            <w:pPr>
              <w:keepNext w:val="0"/>
              <w:keepLines w:val="0"/>
              <w:widowControl/>
              <w:suppressLineNumbers w:val="0"/>
              <w:spacing w:line="240" w:lineRule="auto"/>
              <w:jc w:val="lef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4、</w:t>
            </w:r>
            <w:r>
              <w:rPr>
                <w:rFonts w:hint="eastAsia" w:ascii="宋体" w:hAnsi="宋体" w:eastAsia="宋体" w:cs="宋体"/>
                <w:b w:val="0"/>
                <w:bCs w:val="0"/>
                <w:color w:val="auto"/>
                <w:spacing w:val="-8"/>
                <w:sz w:val="18"/>
                <w:szCs w:val="18"/>
                <w:highlight w:val="none"/>
                <w:lang w:eastAsia="zh-CN"/>
              </w:rPr>
              <w:t>≥</w:t>
            </w:r>
            <w:r>
              <w:rPr>
                <w:rFonts w:hint="eastAsia" w:ascii="宋体" w:hAnsi="宋体" w:eastAsia="宋体" w:cs="宋体"/>
                <w:b w:val="0"/>
                <w:bCs w:val="0"/>
                <w:color w:val="auto"/>
                <w:kern w:val="0"/>
                <w:sz w:val="18"/>
                <w:szCs w:val="18"/>
                <w:highlight w:val="none"/>
                <w:lang w:val="en-US" w:eastAsia="zh-CN" w:bidi="ar"/>
              </w:rPr>
              <w:t>1.8厚方管电镀弓形架</w:t>
            </w:r>
          </w:p>
        </w:tc>
        <w:tc>
          <w:tcPr>
            <w:tcW w:w="1391" w:type="dxa"/>
            <w:tcBorders>
              <w:tl2br w:val="nil"/>
              <w:tr2bl w:val="nil"/>
            </w:tcBorders>
            <w:vAlign w:val="center"/>
          </w:tcPr>
          <w:p w14:paraId="5AA7F444">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p>
        </w:tc>
        <w:tc>
          <w:tcPr>
            <w:tcW w:w="1255" w:type="dxa"/>
            <w:tcBorders>
              <w:tl2br w:val="nil"/>
              <w:tr2bl w:val="nil"/>
            </w:tcBorders>
            <w:vAlign w:val="center"/>
          </w:tcPr>
          <w:p w14:paraId="577A241F">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套</w:t>
            </w:r>
          </w:p>
        </w:tc>
        <w:tc>
          <w:tcPr>
            <w:tcW w:w="1214" w:type="dxa"/>
            <w:tcBorders>
              <w:tl2br w:val="nil"/>
              <w:tr2bl w:val="nil"/>
            </w:tcBorders>
            <w:vAlign w:val="center"/>
          </w:tcPr>
          <w:p w14:paraId="50E8C498">
            <w:pPr>
              <w:spacing w:line="240" w:lineRule="auto"/>
              <w:jc w:val="center"/>
              <w:rPr>
                <w:rFonts w:hint="eastAsia" w:ascii="宋体" w:hAnsi="宋体" w:eastAsia="宋体" w:cs="宋体"/>
                <w:b w:val="0"/>
                <w:bCs w:val="0"/>
                <w:color w:val="auto"/>
                <w:sz w:val="18"/>
                <w:szCs w:val="18"/>
                <w:highlight w:val="none"/>
              </w:rPr>
            </w:pPr>
          </w:p>
        </w:tc>
      </w:tr>
      <w:tr w14:paraId="586AB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724CF9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43</w:t>
            </w:r>
          </w:p>
        </w:tc>
        <w:tc>
          <w:tcPr>
            <w:tcW w:w="1936" w:type="dxa"/>
            <w:tcBorders>
              <w:tl2br w:val="nil"/>
              <w:tr2bl w:val="nil"/>
            </w:tcBorders>
            <w:vAlign w:val="center"/>
          </w:tcPr>
          <w:p w14:paraId="04AC81BF">
            <w:pPr>
              <w:spacing w:line="240" w:lineRule="auto"/>
              <w:jc w:val="center"/>
              <w:rPr>
                <w:rFonts w:hint="eastAsia" w:ascii="宋体" w:hAnsi="宋体" w:eastAsia="宋体" w:cs="宋体"/>
                <w:b w:val="0"/>
                <w:bCs w:val="0"/>
                <w:color w:val="auto"/>
                <w:sz w:val="21"/>
                <w:szCs w:val="21"/>
                <w:highlight w:val="none"/>
              </w:rPr>
            </w:pPr>
          </w:p>
          <w:p w14:paraId="67539AEC">
            <w:pPr>
              <w:spacing w:line="240" w:lineRule="auto"/>
              <w:jc w:val="center"/>
              <w:rPr>
                <w:rFonts w:hint="eastAsia" w:ascii="宋体" w:hAnsi="宋体" w:eastAsia="宋体" w:cs="宋体"/>
                <w:b w:val="0"/>
                <w:bCs w:val="0"/>
                <w:color w:val="auto"/>
                <w:sz w:val="21"/>
                <w:szCs w:val="21"/>
                <w:highlight w:val="none"/>
              </w:rPr>
            </w:pPr>
          </w:p>
          <w:p w14:paraId="5857BB40">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文件柜</w:t>
            </w:r>
          </w:p>
          <w:p w14:paraId="3AB55B42">
            <w:pPr>
              <w:spacing w:line="240" w:lineRule="auto"/>
              <w:jc w:val="center"/>
              <w:rPr>
                <w:rFonts w:hint="eastAsia" w:ascii="宋体" w:hAnsi="宋体" w:eastAsia="宋体" w:cs="宋体"/>
                <w:b w:val="0"/>
                <w:bCs w:val="0"/>
                <w:color w:val="auto"/>
                <w:sz w:val="21"/>
                <w:szCs w:val="21"/>
                <w:highlight w:val="none"/>
                <w:lang w:val="en-US" w:eastAsia="zh-CN"/>
              </w:rPr>
            </w:pPr>
          </w:p>
          <w:p w14:paraId="3FCD517D">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777C5A82">
            <w:pPr>
              <w:numPr>
                <w:ilvl w:val="0"/>
                <w:numId w:val="0"/>
              </w:numPr>
              <w:spacing w:line="240" w:lineRule="auto"/>
              <w:rPr>
                <w:rFonts w:hint="default"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1、中二斗文件柜</w:t>
            </w:r>
          </w:p>
          <w:p w14:paraId="58C74BA1">
            <w:pPr>
              <w:numPr>
                <w:ilvl w:val="0"/>
                <w:numId w:val="0"/>
              </w:numPr>
              <w:spacing w:line="240" w:lineRule="auto"/>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2、上层对开玻璃柜门，一层隔板。</w:t>
            </w:r>
          </w:p>
          <w:p w14:paraId="3C77533E">
            <w:pPr>
              <w:numPr>
                <w:ilvl w:val="0"/>
                <w:numId w:val="0"/>
              </w:numPr>
              <w:spacing w:line="240" w:lineRule="auto"/>
              <w:rPr>
                <w:rFonts w:hint="default"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3、中间两抽屉</w:t>
            </w:r>
          </w:p>
          <w:p w14:paraId="2AC28EB0">
            <w:pPr>
              <w:numPr>
                <w:ilvl w:val="0"/>
                <w:numId w:val="0"/>
              </w:numPr>
              <w:spacing w:line="240" w:lineRule="auto"/>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 xml:space="preserve">4、下层对开铁门，一层隔板。 </w:t>
            </w:r>
          </w:p>
          <w:p w14:paraId="0223E35F">
            <w:pPr>
              <w:numPr>
                <w:ilvl w:val="0"/>
                <w:numId w:val="0"/>
              </w:num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 xml:space="preserve">5、优质冷轧钢，焊接表面均匀一致，无飞溅、脱焊、虚焊、焊穿等现象，所有表面无明显焊接痕迹。   </w:t>
            </w:r>
          </w:p>
        </w:tc>
        <w:tc>
          <w:tcPr>
            <w:tcW w:w="1391" w:type="dxa"/>
            <w:tcBorders>
              <w:tl2br w:val="nil"/>
              <w:tr2bl w:val="nil"/>
            </w:tcBorders>
            <w:vAlign w:val="center"/>
          </w:tcPr>
          <w:p w14:paraId="7C693C0A">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6</w:t>
            </w:r>
          </w:p>
        </w:tc>
        <w:tc>
          <w:tcPr>
            <w:tcW w:w="1255" w:type="dxa"/>
            <w:tcBorders>
              <w:tl2br w:val="nil"/>
              <w:tr2bl w:val="nil"/>
            </w:tcBorders>
            <w:vAlign w:val="center"/>
          </w:tcPr>
          <w:p w14:paraId="3AE25827">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03A98523">
            <w:pPr>
              <w:spacing w:line="240" w:lineRule="auto"/>
              <w:jc w:val="center"/>
              <w:rPr>
                <w:rFonts w:hint="eastAsia" w:ascii="宋体" w:hAnsi="宋体" w:eastAsia="宋体" w:cs="宋体"/>
                <w:b w:val="0"/>
                <w:bCs w:val="0"/>
                <w:color w:val="auto"/>
                <w:sz w:val="18"/>
                <w:szCs w:val="18"/>
                <w:highlight w:val="none"/>
              </w:rPr>
            </w:pPr>
          </w:p>
        </w:tc>
      </w:tr>
      <w:tr w14:paraId="73CEB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1251310E">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44</w:t>
            </w:r>
          </w:p>
        </w:tc>
        <w:tc>
          <w:tcPr>
            <w:tcW w:w="1936" w:type="dxa"/>
            <w:tcBorders>
              <w:tl2br w:val="nil"/>
              <w:tr2bl w:val="nil"/>
            </w:tcBorders>
            <w:vAlign w:val="center"/>
          </w:tcPr>
          <w:p w14:paraId="0140383E">
            <w:pPr>
              <w:spacing w:line="240" w:lineRule="auto"/>
              <w:jc w:val="center"/>
              <w:rPr>
                <w:rFonts w:hint="eastAsia" w:ascii="宋体" w:hAnsi="宋体" w:eastAsia="宋体" w:cs="宋体"/>
                <w:b w:val="0"/>
                <w:bCs w:val="0"/>
                <w:color w:val="auto"/>
                <w:sz w:val="21"/>
                <w:szCs w:val="21"/>
                <w:highlight w:val="none"/>
              </w:rPr>
            </w:pPr>
          </w:p>
          <w:p w14:paraId="02B6FECB">
            <w:pPr>
              <w:spacing w:line="240" w:lineRule="auto"/>
              <w:jc w:val="center"/>
              <w:rPr>
                <w:rFonts w:hint="eastAsia" w:ascii="宋体" w:hAnsi="宋体" w:eastAsia="宋体" w:cs="宋体"/>
                <w:b w:val="0"/>
                <w:bCs w:val="0"/>
                <w:color w:val="auto"/>
                <w:sz w:val="21"/>
                <w:szCs w:val="21"/>
                <w:highlight w:val="none"/>
              </w:rPr>
            </w:pPr>
          </w:p>
          <w:p w14:paraId="46009978">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床头柜</w:t>
            </w:r>
          </w:p>
          <w:p w14:paraId="0D28FFA6">
            <w:pPr>
              <w:spacing w:line="240" w:lineRule="auto"/>
              <w:jc w:val="center"/>
              <w:rPr>
                <w:rFonts w:hint="eastAsia" w:ascii="宋体" w:hAnsi="宋体" w:eastAsia="宋体" w:cs="宋体"/>
                <w:b w:val="0"/>
                <w:bCs w:val="0"/>
                <w:color w:val="auto"/>
                <w:sz w:val="21"/>
                <w:szCs w:val="21"/>
                <w:highlight w:val="none"/>
              </w:rPr>
            </w:pPr>
          </w:p>
          <w:p w14:paraId="2EE02A3A">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5F26D52F">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1、床头柜规格尺寸： 480*480*760mm </w:t>
            </w:r>
            <w:r>
              <w:rPr>
                <w:rFonts w:hint="eastAsia" w:ascii="宋体" w:hAnsi="宋体" w:eastAsia="宋体" w:cs="宋体"/>
                <w:b w:val="0"/>
                <w:bCs w:val="0"/>
                <w:color w:val="auto"/>
                <w:kern w:val="0"/>
                <w:sz w:val="18"/>
                <w:szCs w:val="18"/>
                <w:highlight w:val="none"/>
                <w:lang w:val="en-US" w:eastAsia="zh-CN" w:bidi="ar"/>
              </w:rPr>
              <w:t xml:space="preserve">（允差±10mm) </w:t>
            </w:r>
          </w:p>
          <w:p w14:paraId="3CF018DE">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2、整体采用 ABS 材料注塑成型，材料强度高，外形美观大方； </w:t>
            </w:r>
          </w:p>
          <w:p w14:paraId="1DCAB402">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3、床头柜由柜体、面盖、柜门、抽屉、拉板、毛巾架等组成； </w:t>
            </w:r>
          </w:p>
          <w:p w14:paraId="5C722A90">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4、柜体正面形状为圆弧形，左右两侧面配有折叠隐藏式毛巾架，需用时将伸出，反之不用时收拢，放置在柜体侧面型体内，角度范围 90 度</w:t>
            </w:r>
            <w:r>
              <w:rPr>
                <w:rFonts w:hint="eastAsia" w:ascii="宋体" w:hAnsi="宋体" w:eastAsia="宋体" w:cs="宋体"/>
                <w:b w:val="0"/>
                <w:bCs w:val="0"/>
                <w:color w:val="auto"/>
                <w:kern w:val="0"/>
                <w:sz w:val="18"/>
                <w:szCs w:val="18"/>
                <w:highlight w:val="none"/>
                <w:lang w:val="en-US" w:eastAsia="zh-CN" w:bidi="ar"/>
              </w:rPr>
              <w:t xml:space="preserve"> </w:t>
            </w:r>
            <w:r>
              <w:rPr>
                <w:rFonts w:hint="eastAsia" w:ascii="宋体" w:hAnsi="宋体" w:eastAsia="宋体" w:cs="宋体"/>
                <w:b w:val="0"/>
                <w:bCs w:val="0"/>
                <w:color w:val="auto"/>
                <w:sz w:val="18"/>
                <w:szCs w:val="18"/>
                <w:highlight w:val="none"/>
                <w:lang w:val="en-US" w:eastAsia="zh-CN"/>
              </w:rPr>
              <w:t xml:space="preserve">； </w:t>
            </w:r>
          </w:p>
          <w:p w14:paraId="3F0E620A">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5、抽屉面板外面形状为圆弧状，面板下方有抽屉拉手孔，便于拉、关抽屉； </w:t>
            </w:r>
          </w:p>
          <w:p w14:paraId="6D154A96">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6、柜门内有一层隔板，方便分内存放物品，根据物品的高度还可以调节隔板的高度，具有两层调节功能</w:t>
            </w:r>
          </w:p>
          <w:p w14:paraId="2AE1DDF0">
            <w:pPr>
              <w:spacing w:line="240" w:lineRule="auto"/>
              <w:rPr>
                <w:rFonts w:hint="default"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7、颜色：蓝色</w:t>
            </w:r>
          </w:p>
        </w:tc>
        <w:tc>
          <w:tcPr>
            <w:tcW w:w="1391" w:type="dxa"/>
            <w:tcBorders>
              <w:tl2br w:val="nil"/>
              <w:tr2bl w:val="nil"/>
            </w:tcBorders>
            <w:vAlign w:val="center"/>
          </w:tcPr>
          <w:p w14:paraId="448925AD">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6</w:t>
            </w:r>
          </w:p>
        </w:tc>
        <w:tc>
          <w:tcPr>
            <w:tcW w:w="1255" w:type="dxa"/>
            <w:tcBorders>
              <w:tl2br w:val="nil"/>
              <w:tr2bl w:val="nil"/>
            </w:tcBorders>
            <w:vAlign w:val="center"/>
          </w:tcPr>
          <w:p w14:paraId="6C3B2A0E">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7CC775BF">
            <w:pPr>
              <w:spacing w:line="240" w:lineRule="auto"/>
              <w:jc w:val="center"/>
              <w:rPr>
                <w:rFonts w:hint="eastAsia" w:ascii="宋体" w:hAnsi="宋体" w:eastAsia="宋体" w:cs="宋体"/>
                <w:b w:val="0"/>
                <w:bCs w:val="0"/>
                <w:color w:val="auto"/>
                <w:sz w:val="18"/>
                <w:szCs w:val="18"/>
                <w:highlight w:val="none"/>
                <w:lang w:val="en-US" w:eastAsia="zh-CN"/>
              </w:rPr>
            </w:pPr>
          </w:p>
        </w:tc>
      </w:tr>
      <w:tr w14:paraId="6B35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0266F7DF">
            <w:pPr>
              <w:spacing w:line="240" w:lineRule="auto"/>
              <w:jc w:val="center"/>
              <w:rPr>
                <w:rFonts w:hint="eastAsia" w:ascii="宋体" w:hAnsi="宋体" w:eastAsia="宋体" w:cs="宋体"/>
                <w:b w:val="0"/>
                <w:bCs w:val="0"/>
                <w:color w:val="auto"/>
                <w:sz w:val="21"/>
                <w:szCs w:val="21"/>
                <w:highlight w:val="none"/>
              </w:rPr>
            </w:pPr>
          </w:p>
          <w:p w14:paraId="208B78C4">
            <w:pPr>
              <w:spacing w:line="240" w:lineRule="auto"/>
              <w:jc w:val="center"/>
              <w:rPr>
                <w:rFonts w:hint="eastAsia" w:ascii="宋体" w:hAnsi="宋体" w:eastAsia="宋体" w:cs="宋体"/>
                <w:b w:val="0"/>
                <w:bCs w:val="0"/>
                <w:color w:val="auto"/>
                <w:sz w:val="21"/>
                <w:szCs w:val="21"/>
                <w:highlight w:val="none"/>
              </w:rPr>
            </w:pPr>
          </w:p>
          <w:p w14:paraId="03F8E891">
            <w:pPr>
              <w:spacing w:line="240" w:lineRule="auto"/>
              <w:jc w:val="center"/>
              <w:rPr>
                <w:rFonts w:hint="eastAsia" w:ascii="宋体" w:hAnsi="宋体" w:eastAsia="宋体" w:cs="宋体"/>
                <w:b w:val="0"/>
                <w:bCs w:val="0"/>
                <w:color w:val="auto"/>
                <w:sz w:val="21"/>
                <w:szCs w:val="21"/>
                <w:highlight w:val="none"/>
              </w:rPr>
            </w:pPr>
          </w:p>
          <w:p w14:paraId="62FAF981">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45</w:t>
            </w:r>
          </w:p>
        </w:tc>
        <w:tc>
          <w:tcPr>
            <w:tcW w:w="1936" w:type="dxa"/>
            <w:tcBorders>
              <w:tl2br w:val="nil"/>
              <w:tr2bl w:val="nil"/>
            </w:tcBorders>
            <w:vAlign w:val="center"/>
          </w:tcPr>
          <w:p w14:paraId="6525D49B">
            <w:pPr>
              <w:spacing w:line="240" w:lineRule="auto"/>
              <w:jc w:val="center"/>
              <w:rPr>
                <w:rFonts w:hint="eastAsia" w:ascii="宋体" w:hAnsi="宋体" w:eastAsia="宋体" w:cs="宋体"/>
                <w:b w:val="0"/>
                <w:bCs w:val="0"/>
                <w:color w:val="auto"/>
                <w:sz w:val="21"/>
                <w:szCs w:val="21"/>
                <w:highlight w:val="none"/>
              </w:rPr>
            </w:pPr>
          </w:p>
          <w:p w14:paraId="6230AA49">
            <w:pPr>
              <w:spacing w:line="240" w:lineRule="auto"/>
              <w:jc w:val="center"/>
              <w:rPr>
                <w:rFonts w:hint="eastAsia" w:ascii="宋体" w:hAnsi="宋体" w:eastAsia="宋体" w:cs="宋体"/>
                <w:b w:val="0"/>
                <w:bCs w:val="0"/>
                <w:color w:val="auto"/>
                <w:sz w:val="21"/>
                <w:szCs w:val="21"/>
                <w:highlight w:val="none"/>
              </w:rPr>
            </w:pPr>
          </w:p>
          <w:p w14:paraId="131F0F62">
            <w:pPr>
              <w:spacing w:line="240" w:lineRule="auto"/>
              <w:jc w:val="center"/>
              <w:rPr>
                <w:rFonts w:hint="eastAsia" w:ascii="宋体" w:hAnsi="宋体" w:eastAsia="宋体" w:cs="宋体"/>
                <w:b w:val="0"/>
                <w:bCs w:val="0"/>
                <w:color w:val="auto"/>
                <w:sz w:val="21"/>
                <w:szCs w:val="21"/>
                <w:highlight w:val="none"/>
              </w:rPr>
            </w:pPr>
          </w:p>
          <w:p w14:paraId="78DCF58F">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紫外线移动消毒车</w:t>
            </w:r>
          </w:p>
          <w:p w14:paraId="357E1D3E">
            <w:pPr>
              <w:spacing w:line="240" w:lineRule="auto"/>
              <w:jc w:val="center"/>
              <w:rPr>
                <w:rFonts w:hint="eastAsia" w:ascii="宋体" w:hAnsi="宋体" w:eastAsia="宋体" w:cs="宋体"/>
                <w:b w:val="0"/>
                <w:bCs w:val="0"/>
                <w:color w:val="auto"/>
                <w:sz w:val="21"/>
                <w:szCs w:val="21"/>
                <w:highlight w:val="none"/>
              </w:rPr>
            </w:pPr>
          </w:p>
          <w:p w14:paraId="2ADB317D">
            <w:pPr>
              <w:spacing w:line="240" w:lineRule="auto"/>
              <w:jc w:val="center"/>
              <w:rPr>
                <w:rFonts w:hint="eastAsia" w:ascii="宋体" w:hAnsi="宋体" w:eastAsia="宋体" w:cs="宋体"/>
                <w:b w:val="0"/>
                <w:bCs w:val="0"/>
                <w:color w:val="auto"/>
                <w:sz w:val="21"/>
                <w:szCs w:val="21"/>
                <w:highlight w:val="none"/>
              </w:rPr>
            </w:pPr>
          </w:p>
        </w:tc>
        <w:tc>
          <w:tcPr>
            <w:tcW w:w="7403" w:type="dxa"/>
            <w:tcBorders>
              <w:tl2br w:val="nil"/>
              <w:tr2bl w:val="nil"/>
            </w:tcBorders>
          </w:tcPr>
          <w:p w14:paraId="25089858">
            <w:pPr>
              <w:spacing w:line="240" w:lineRule="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w:t>
            </w:r>
            <w:r>
              <w:rPr>
                <w:rFonts w:hint="eastAsia" w:ascii="宋体" w:hAnsi="宋体" w:eastAsia="宋体" w:cs="宋体"/>
                <w:b w:val="0"/>
                <w:bCs w:val="0"/>
                <w:color w:val="auto"/>
                <w:sz w:val="18"/>
                <w:szCs w:val="18"/>
                <w:highlight w:val="none"/>
              </w:rPr>
              <w:t>、紫外线辐射波长：253nm</w:t>
            </w:r>
            <w:r>
              <w:rPr>
                <w:rFonts w:hint="eastAsia" w:ascii="宋体" w:hAnsi="宋体" w:eastAsia="宋体" w:cs="宋体"/>
                <w:b w:val="0"/>
                <w:bCs w:val="0"/>
                <w:color w:val="auto"/>
                <w:kern w:val="0"/>
                <w:sz w:val="18"/>
                <w:szCs w:val="18"/>
                <w:highlight w:val="none"/>
                <w:lang w:val="en-US" w:eastAsia="zh-CN" w:bidi="ar"/>
              </w:rPr>
              <w:t>（允差+15nm)</w:t>
            </w:r>
          </w:p>
          <w:p w14:paraId="1E69F63A">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2</w:t>
            </w:r>
            <w:r>
              <w:rPr>
                <w:rFonts w:hint="eastAsia" w:ascii="宋体" w:hAnsi="宋体" w:eastAsia="宋体" w:cs="宋体"/>
                <w:b w:val="0"/>
                <w:bCs w:val="0"/>
                <w:color w:val="auto"/>
                <w:sz w:val="18"/>
                <w:szCs w:val="18"/>
                <w:highlight w:val="none"/>
              </w:rPr>
              <w:t>、主要杀菌因子：紫外线</w:t>
            </w:r>
          </w:p>
          <w:p w14:paraId="1661DAF7">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3</w:t>
            </w:r>
            <w:r>
              <w:rPr>
                <w:rFonts w:hint="eastAsia" w:ascii="宋体" w:hAnsi="宋体" w:eastAsia="宋体" w:cs="宋体"/>
                <w:b w:val="0"/>
                <w:bCs w:val="0"/>
                <w:color w:val="auto"/>
                <w:sz w:val="18"/>
                <w:szCs w:val="18"/>
                <w:highlight w:val="none"/>
              </w:rPr>
              <w:t>、单支紫外线灯功率：80W</w:t>
            </w:r>
            <w:r>
              <w:rPr>
                <w:rFonts w:hint="eastAsia" w:ascii="宋体" w:hAnsi="宋体" w:eastAsia="宋体" w:cs="宋体"/>
                <w:b w:val="0"/>
                <w:bCs w:val="0"/>
                <w:color w:val="auto"/>
                <w:kern w:val="0"/>
                <w:sz w:val="18"/>
                <w:szCs w:val="18"/>
                <w:highlight w:val="none"/>
                <w:lang w:val="en-US" w:eastAsia="zh-CN" w:bidi="ar"/>
              </w:rPr>
              <w:t>（允差+5v)</w:t>
            </w:r>
          </w:p>
          <w:p w14:paraId="3BCA4753">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4</w:t>
            </w:r>
            <w:r>
              <w:rPr>
                <w:rFonts w:hint="eastAsia" w:ascii="宋体" w:hAnsi="宋体" w:eastAsia="宋体" w:cs="宋体"/>
                <w:b w:val="0"/>
                <w:bCs w:val="0"/>
                <w:color w:val="auto"/>
                <w:sz w:val="18"/>
                <w:szCs w:val="18"/>
                <w:highlight w:val="none"/>
              </w:rPr>
              <w:t>、紫外线灯管平均寿命：≥5000h</w:t>
            </w:r>
          </w:p>
          <w:p w14:paraId="6DCF1628">
            <w:pPr>
              <w:spacing w:line="240" w:lineRule="auto"/>
              <w:rPr>
                <w:rFonts w:hint="eastAsia" w:ascii="宋体" w:hAnsi="宋体" w:eastAsia="宋体" w:cs="宋体"/>
                <w:b w:val="0"/>
                <w:bCs w:val="0"/>
                <w:color w:val="auto"/>
                <w:sz w:val="18"/>
                <w:szCs w:val="18"/>
                <w:highlight w:val="none"/>
                <w:vertAlign w:val="superscript"/>
              </w:rPr>
            </w:pPr>
            <w:r>
              <w:rPr>
                <w:rFonts w:hint="eastAsia" w:ascii="宋体" w:hAnsi="宋体" w:eastAsia="宋体" w:cs="宋体"/>
                <w:b w:val="0"/>
                <w:bCs w:val="0"/>
                <w:color w:val="auto"/>
                <w:sz w:val="18"/>
                <w:szCs w:val="18"/>
                <w:highlight w:val="none"/>
                <w:lang w:val="en-US" w:eastAsia="zh-CN"/>
              </w:rPr>
              <w:t>5</w:t>
            </w:r>
            <w:r>
              <w:rPr>
                <w:rFonts w:hint="eastAsia" w:ascii="宋体" w:hAnsi="宋体" w:eastAsia="宋体" w:cs="宋体"/>
                <w:b w:val="0"/>
                <w:bCs w:val="0"/>
                <w:color w:val="auto"/>
                <w:sz w:val="18"/>
                <w:szCs w:val="18"/>
                <w:highlight w:val="none"/>
              </w:rPr>
              <w:t>、适用面积：≤30m</w:t>
            </w:r>
            <w:r>
              <w:rPr>
                <w:rFonts w:hint="eastAsia" w:ascii="宋体" w:hAnsi="宋体" w:eastAsia="宋体" w:cs="宋体"/>
                <w:b w:val="0"/>
                <w:bCs w:val="0"/>
                <w:color w:val="auto"/>
                <w:sz w:val="18"/>
                <w:szCs w:val="18"/>
                <w:highlight w:val="none"/>
                <w:vertAlign w:val="superscript"/>
              </w:rPr>
              <w:t>2</w:t>
            </w:r>
          </w:p>
          <w:p w14:paraId="22CD400D">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6</w:t>
            </w:r>
            <w:r>
              <w:rPr>
                <w:rFonts w:hint="eastAsia" w:ascii="宋体" w:hAnsi="宋体" w:eastAsia="宋体" w:cs="宋体"/>
                <w:b w:val="0"/>
                <w:bCs w:val="0"/>
                <w:color w:val="auto"/>
                <w:sz w:val="18"/>
                <w:szCs w:val="18"/>
                <w:highlight w:val="none"/>
              </w:rPr>
              <w:t>、操作方式：遥控</w:t>
            </w:r>
          </w:p>
          <w:p w14:paraId="77FAADC1">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7</w:t>
            </w:r>
            <w:r>
              <w:rPr>
                <w:rFonts w:hint="eastAsia" w:ascii="宋体" w:hAnsi="宋体" w:eastAsia="宋体" w:cs="宋体"/>
                <w:b w:val="0"/>
                <w:bCs w:val="0"/>
                <w:color w:val="auto"/>
                <w:sz w:val="18"/>
                <w:szCs w:val="18"/>
                <w:highlight w:val="none"/>
              </w:rPr>
              <w:t>、遥控器有效遥控距离：不小于30m</w:t>
            </w:r>
          </w:p>
        </w:tc>
        <w:tc>
          <w:tcPr>
            <w:tcW w:w="1391" w:type="dxa"/>
            <w:tcBorders>
              <w:tl2br w:val="nil"/>
              <w:tr2bl w:val="nil"/>
            </w:tcBorders>
            <w:vAlign w:val="center"/>
          </w:tcPr>
          <w:p w14:paraId="5A3B0757">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6</w:t>
            </w:r>
          </w:p>
        </w:tc>
        <w:tc>
          <w:tcPr>
            <w:tcW w:w="1255" w:type="dxa"/>
            <w:tcBorders>
              <w:tl2br w:val="nil"/>
              <w:tr2bl w:val="nil"/>
            </w:tcBorders>
            <w:vAlign w:val="center"/>
          </w:tcPr>
          <w:p w14:paraId="0A0A9C59">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台</w:t>
            </w:r>
          </w:p>
        </w:tc>
        <w:tc>
          <w:tcPr>
            <w:tcW w:w="1214" w:type="dxa"/>
            <w:tcBorders>
              <w:tl2br w:val="nil"/>
              <w:tr2bl w:val="nil"/>
            </w:tcBorders>
            <w:vAlign w:val="center"/>
          </w:tcPr>
          <w:p w14:paraId="211F941F">
            <w:pPr>
              <w:spacing w:line="240" w:lineRule="auto"/>
              <w:jc w:val="center"/>
              <w:rPr>
                <w:rFonts w:hint="eastAsia" w:ascii="宋体" w:hAnsi="宋体" w:eastAsia="宋体" w:cs="宋体"/>
                <w:b w:val="0"/>
                <w:bCs w:val="0"/>
                <w:color w:val="auto"/>
                <w:sz w:val="18"/>
                <w:szCs w:val="18"/>
                <w:highlight w:val="none"/>
                <w:lang w:val="en-US" w:eastAsia="zh-CN"/>
              </w:rPr>
            </w:pPr>
          </w:p>
        </w:tc>
      </w:tr>
      <w:tr w14:paraId="0975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Borders>
              <w:tl2br w:val="nil"/>
              <w:tr2bl w:val="nil"/>
            </w:tcBorders>
            <w:vAlign w:val="center"/>
          </w:tcPr>
          <w:p w14:paraId="2B5BEB67">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46</w:t>
            </w:r>
          </w:p>
        </w:tc>
        <w:tc>
          <w:tcPr>
            <w:tcW w:w="1936" w:type="dxa"/>
            <w:tcBorders>
              <w:tl2br w:val="nil"/>
              <w:tr2bl w:val="nil"/>
            </w:tcBorders>
            <w:vAlign w:val="center"/>
          </w:tcPr>
          <w:p w14:paraId="35FE939A">
            <w:pPr>
              <w:spacing w:line="240" w:lineRule="auto"/>
              <w:jc w:val="center"/>
              <w:rPr>
                <w:rFonts w:hint="eastAsia" w:ascii="宋体" w:hAnsi="宋体" w:eastAsia="宋体" w:cs="宋体"/>
                <w:b w:val="0"/>
                <w:bCs w:val="0"/>
                <w:color w:val="auto"/>
                <w:sz w:val="21"/>
                <w:szCs w:val="21"/>
                <w:highlight w:val="none"/>
              </w:rPr>
            </w:pPr>
            <w:bookmarkStart w:id="13" w:name="OLE_LINK56"/>
            <w:bookmarkStart w:id="14" w:name="OLE_LINK57"/>
            <w:r>
              <w:rPr>
                <w:rFonts w:hint="eastAsia" w:ascii="宋体" w:hAnsi="宋体" w:eastAsia="宋体" w:cs="宋体"/>
                <w:b w:val="0"/>
                <w:bCs w:val="0"/>
                <w:color w:val="auto"/>
                <w:sz w:val="21"/>
                <w:szCs w:val="21"/>
                <w:highlight w:val="none"/>
                <w:lang w:val="en-US" w:eastAsia="zh-CN"/>
              </w:rPr>
              <w:t>排</w:t>
            </w:r>
            <w:r>
              <w:rPr>
                <w:rFonts w:hint="eastAsia" w:ascii="宋体" w:hAnsi="宋体" w:eastAsia="宋体" w:cs="宋体"/>
                <w:b w:val="0"/>
                <w:bCs w:val="0"/>
                <w:color w:val="auto"/>
                <w:sz w:val="21"/>
                <w:szCs w:val="21"/>
                <w:highlight w:val="none"/>
              </w:rPr>
              <w:t>椅</w:t>
            </w:r>
            <w:bookmarkEnd w:id="13"/>
            <w:bookmarkEnd w:id="14"/>
          </w:p>
        </w:tc>
        <w:tc>
          <w:tcPr>
            <w:tcW w:w="7403" w:type="dxa"/>
            <w:tcBorders>
              <w:tl2br w:val="nil"/>
              <w:tr2bl w:val="nil"/>
            </w:tcBorders>
          </w:tcPr>
          <w:p w14:paraId="64E01AED">
            <w:pPr>
              <w:spacing w:line="240" w:lineRule="auto"/>
              <w:rPr>
                <w:rFonts w:hint="default"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w:t>
            </w:r>
            <w:r>
              <w:rPr>
                <w:rFonts w:hint="eastAsia" w:ascii="宋体" w:hAnsi="宋体" w:eastAsia="宋体" w:cs="宋体"/>
                <w:b w:val="0"/>
                <w:bCs w:val="0"/>
                <w:color w:val="auto"/>
                <w:sz w:val="18"/>
                <w:szCs w:val="18"/>
                <w:highlight w:val="none"/>
              </w:rPr>
              <w:t>、</w:t>
            </w:r>
            <w:r>
              <w:rPr>
                <w:rFonts w:hint="eastAsia" w:ascii="宋体" w:hAnsi="宋体" w:eastAsia="宋体" w:cs="宋体"/>
                <w:b w:val="0"/>
                <w:bCs w:val="0"/>
                <w:color w:val="auto"/>
                <w:sz w:val="18"/>
                <w:szCs w:val="18"/>
                <w:highlight w:val="none"/>
                <w:lang w:val="en-US" w:eastAsia="zh-CN"/>
              </w:rPr>
              <w:t>可以同时坐4个人，带蓝色坐垫</w:t>
            </w:r>
          </w:p>
          <w:p w14:paraId="43D78890">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2</w:t>
            </w:r>
            <w:r>
              <w:rPr>
                <w:rFonts w:hint="eastAsia" w:ascii="宋体" w:hAnsi="宋体" w:eastAsia="宋体" w:cs="宋体"/>
                <w:b w:val="0"/>
                <w:bCs w:val="0"/>
                <w:color w:val="auto"/>
                <w:sz w:val="18"/>
                <w:szCs w:val="18"/>
                <w:highlight w:val="none"/>
              </w:rPr>
              <w:t>、扶手、脚：冷轧钢</w:t>
            </w:r>
          </w:p>
          <w:p w14:paraId="261B27C9">
            <w:pP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3</w:t>
            </w:r>
            <w:r>
              <w:rPr>
                <w:rFonts w:hint="eastAsia" w:ascii="宋体" w:hAnsi="宋体" w:eastAsia="宋体" w:cs="宋体"/>
                <w:b w:val="0"/>
                <w:bCs w:val="0"/>
                <w:color w:val="auto"/>
                <w:sz w:val="18"/>
                <w:szCs w:val="18"/>
                <w:highlight w:val="none"/>
              </w:rPr>
              <w:t>、座板：采用≥1.5mm厚度冷轧钢座板，环保、不易磨损、不生锈</w:t>
            </w:r>
          </w:p>
          <w:p w14:paraId="72EE8CC1">
            <w:pPr>
              <w:spacing w:line="240" w:lineRule="auto"/>
              <w:rPr>
                <w:rFonts w:hint="default"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4</w:t>
            </w:r>
            <w:r>
              <w:rPr>
                <w:rFonts w:hint="eastAsia" w:ascii="宋体" w:hAnsi="宋体" w:eastAsia="宋体" w:cs="宋体"/>
                <w:b w:val="0"/>
                <w:bCs w:val="0"/>
                <w:color w:val="auto"/>
                <w:sz w:val="18"/>
                <w:szCs w:val="18"/>
                <w:highlight w:val="none"/>
              </w:rPr>
              <w:t>、横梁：≥2.0mm厚钢管</w:t>
            </w:r>
          </w:p>
        </w:tc>
        <w:tc>
          <w:tcPr>
            <w:tcW w:w="1391" w:type="dxa"/>
            <w:tcBorders>
              <w:tl2br w:val="nil"/>
              <w:tr2bl w:val="nil"/>
            </w:tcBorders>
            <w:vAlign w:val="center"/>
          </w:tcPr>
          <w:p w14:paraId="4D5930E8">
            <w:pPr>
              <w:spacing w:line="240" w:lineRule="auto"/>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3</w:t>
            </w:r>
          </w:p>
        </w:tc>
        <w:tc>
          <w:tcPr>
            <w:tcW w:w="1255" w:type="dxa"/>
            <w:tcBorders>
              <w:tl2br w:val="nil"/>
              <w:tr2bl w:val="nil"/>
            </w:tcBorders>
            <w:vAlign w:val="center"/>
          </w:tcPr>
          <w:p w14:paraId="36D2C6C6">
            <w:pPr>
              <w:spacing w:line="240" w:lineRule="auto"/>
              <w:jc w:val="center"/>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个</w:t>
            </w:r>
          </w:p>
        </w:tc>
        <w:tc>
          <w:tcPr>
            <w:tcW w:w="1214" w:type="dxa"/>
            <w:tcBorders>
              <w:tl2br w:val="nil"/>
              <w:tr2bl w:val="nil"/>
            </w:tcBorders>
            <w:vAlign w:val="center"/>
          </w:tcPr>
          <w:p w14:paraId="0BD8B048">
            <w:pPr>
              <w:spacing w:line="240" w:lineRule="auto"/>
              <w:jc w:val="center"/>
              <w:rPr>
                <w:rFonts w:hint="eastAsia" w:ascii="宋体" w:hAnsi="宋体" w:eastAsia="宋体" w:cs="宋体"/>
                <w:b w:val="0"/>
                <w:bCs w:val="0"/>
                <w:color w:val="auto"/>
                <w:sz w:val="18"/>
                <w:szCs w:val="18"/>
                <w:highlight w:val="none"/>
              </w:rPr>
            </w:pPr>
          </w:p>
        </w:tc>
      </w:tr>
    </w:tbl>
    <w:p w14:paraId="197E66D2">
      <w:pPr>
        <w:numPr>
          <w:ilvl w:val="0"/>
          <w:numId w:val="0"/>
        </w:numPr>
        <w:spacing w:line="240" w:lineRule="auto"/>
        <w:rPr>
          <w:rFonts w:hint="eastAsia" w:ascii="宋体" w:hAnsi="宋体" w:eastAsia="宋体" w:cs="宋体"/>
          <w:b/>
          <w:bCs/>
          <w:sz w:val="24"/>
          <w:szCs w:val="24"/>
          <w:lang w:val="en-US" w:eastAsia="zh-CN"/>
        </w:rPr>
      </w:pPr>
    </w:p>
    <w:p w14:paraId="27BFA0D2">
      <w:pPr>
        <w:spacing w:line="360" w:lineRule="auto"/>
        <w:ind w:firstLine="482" w:firstLineChars="200"/>
        <w:rPr>
          <w:rFonts w:hint="eastAsia" w:ascii="宋体" w:hAnsi="宋体" w:eastAsia="宋体" w:cs="宋体"/>
          <w:b/>
          <w:bCs/>
          <w:sz w:val="24"/>
          <w:szCs w:val="24"/>
        </w:rPr>
      </w:pPr>
      <w:r>
        <w:rPr>
          <w:rFonts w:hint="eastAsia" w:ascii="宋体" w:hAnsi="宋体" w:cs="宋体"/>
          <w:b/>
          <w:bCs/>
          <w:sz w:val="24"/>
          <w:szCs w:val="24"/>
          <w:lang w:val="en-US" w:eastAsia="zh-CN"/>
        </w:rPr>
        <w:t>注：“</w:t>
      </w:r>
      <w:r>
        <w:rPr>
          <w:rFonts w:hint="eastAsia" w:ascii="宋体" w:hAnsi="宋体" w:eastAsia="宋体" w:cs="宋体"/>
          <w:b/>
          <w:bCs/>
          <w:sz w:val="24"/>
          <w:szCs w:val="24"/>
          <w:lang w:val="en-US" w:eastAsia="zh-CN"/>
        </w:rPr>
        <w:t>▲</w:t>
      </w:r>
      <w:r>
        <w:rPr>
          <w:rFonts w:hint="eastAsia" w:ascii="宋体" w:hAnsi="宋体" w:cs="宋体"/>
          <w:b/>
          <w:bCs/>
          <w:sz w:val="24"/>
          <w:szCs w:val="24"/>
          <w:lang w:val="en-US" w:eastAsia="zh-CN"/>
        </w:rPr>
        <w:t>”号技术参数指标为重要指标要求。</w:t>
      </w:r>
    </w:p>
    <w:p w14:paraId="4AA289DF">
      <w:pPr>
        <w:numPr>
          <w:ilvl w:val="0"/>
          <w:numId w:val="7"/>
        </w:numPr>
        <w:spacing w:line="240" w:lineRule="auto"/>
        <w:ind w:firstLine="643" w:firstLineChars="200"/>
        <w:rPr>
          <w:rFonts w:hint="eastAsia" w:ascii="Times New Roman" w:hAnsi="Times New Roman" w:eastAsia="宋体" w:cs="Times New Roman"/>
          <w:b/>
          <w:bCs/>
          <w:sz w:val="32"/>
          <w:szCs w:val="40"/>
          <w:lang w:val="en-US" w:eastAsia="zh-CN"/>
        </w:rPr>
      </w:pPr>
      <w:r>
        <w:rPr>
          <w:rFonts w:hint="eastAsia" w:ascii="Times New Roman" w:hAnsi="Times New Roman" w:eastAsia="宋体" w:cs="Times New Roman"/>
          <w:b/>
          <w:bCs/>
          <w:sz w:val="32"/>
          <w:szCs w:val="40"/>
          <w:lang w:val="en-US" w:eastAsia="zh-CN"/>
        </w:rPr>
        <w:t>商务要求：</w:t>
      </w:r>
    </w:p>
    <w:p w14:paraId="1BAF8DFF">
      <w:pPr>
        <w:spacing w:line="360" w:lineRule="auto"/>
        <w:ind w:firstLine="281" w:firstLineChars="100"/>
        <w:rPr>
          <w:rFonts w:hint="eastAsia" w:ascii="宋体" w:hAnsi="宋体" w:eastAsia="宋体" w:cs="宋体"/>
          <w:sz w:val="28"/>
          <w:szCs w:val="28"/>
          <w:lang w:eastAsia="zh-CN"/>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供</w:t>
      </w:r>
      <w:r>
        <w:rPr>
          <w:rFonts w:hint="eastAsia" w:ascii="宋体" w:hAnsi="宋体" w:eastAsia="宋体" w:cs="宋体"/>
          <w:b/>
          <w:bCs/>
          <w:sz w:val="28"/>
          <w:szCs w:val="28"/>
        </w:rPr>
        <w:t>货期、</w:t>
      </w:r>
      <w:r>
        <w:rPr>
          <w:rFonts w:hint="eastAsia" w:ascii="宋体" w:hAnsi="宋体" w:eastAsia="宋体" w:cs="宋体"/>
          <w:b/>
          <w:bCs/>
          <w:sz w:val="28"/>
          <w:szCs w:val="28"/>
          <w:lang w:val="en-US" w:eastAsia="zh-CN"/>
        </w:rPr>
        <w:t>供</w:t>
      </w:r>
      <w:r>
        <w:rPr>
          <w:rFonts w:hint="eastAsia" w:ascii="宋体" w:hAnsi="宋体" w:eastAsia="宋体" w:cs="宋体"/>
          <w:b/>
          <w:bCs/>
          <w:sz w:val="28"/>
          <w:szCs w:val="28"/>
        </w:rPr>
        <w:t>货地点：</w:t>
      </w:r>
      <w:r>
        <w:rPr>
          <w:rFonts w:hint="eastAsia" w:ascii="宋体" w:hAnsi="宋体" w:eastAsia="宋体" w:cs="宋体"/>
          <w:sz w:val="28"/>
          <w:szCs w:val="28"/>
        </w:rPr>
        <w:br w:type="textWrapping"/>
      </w:r>
      <w:r>
        <w:rPr>
          <w:rFonts w:hint="eastAsia" w:ascii="宋体" w:hAnsi="宋体" w:eastAsia="宋体" w:cs="宋体"/>
          <w:sz w:val="28"/>
          <w:szCs w:val="28"/>
        </w:rPr>
        <w:t xml:space="preserve">  </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一</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供</w:t>
      </w:r>
      <w:r>
        <w:rPr>
          <w:rFonts w:hint="eastAsia" w:ascii="宋体" w:hAnsi="宋体" w:eastAsia="宋体" w:cs="宋体"/>
          <w:sz w:val="28"/>
          <w:szCs w:val="28"/>
          <w:lang w:eastAsia="zh-CN"/>
        </w:rPr>
        <w:t>货期：</w:t>
      </w:r>
      <w:r>
        <w:rPr>
          <w:rFonts w:hint="eastAsia" w:ascii="宋体" w:hAnsi="宋体" w:eastAsia="宋体" w:cs="宋体"/>
          <w:sz w:val="28"/>
          <w:szCs w:val="28"/>
          <w:lang w:val="en-US" w:eastAsia="zh-CN"/>
        </w:rPr>
        <w:t>合同签订后，30日内安装供货到位，并达到正常使用；</w:t>
      </w:r>
    </w:p>
    <w:p w14:paraId="662464B6">
      <w:pPr>
        <w:spacing w:line="360" w:lineRule="auto"/>
        <w:ind w:firstLine="280" w:firstLineChars="100"/>
        <w:rPr>
          <w:rFonts w:hint="eastAsia" w:ascii="宋体" w:hAnsi="宋体" w:eastAsia="宋体" w:cs="宋体"/>
          <w:sz w:val="28"/>
          <w:szCs w:val="28"/>
          <w:lang w:eastAsia="zh-CN"/>
        </w:rPr>
      </w:pPr>
      <w:r>
        <w:rPr>
          <w:rFonts w:hint="eastAsia" w:ascii="宋体" w:hAnsi="宋体" w:eastAsia="宋体" w:cs="宋体"/>
          <w:sz w:val="28"/>
          <w:szCs w:val="28"/>
          <w:lang w:val="en-US" w:eastAsia="zh-CN"/>
        </w:rPr>
        <w:t>（二）供</w:t>
      </w:r>
      <w:r>
        <w:rPr>
          <w:rFonts w:hint="eastAsia" w:ascii="宋体" w:hAnsi="宋体" w:eastAsia="宋体" w:cs="宋体"/>
          <w:sz w:val="28"/>
          <w:szCs w:val="28"/>
          <w:lang w:eastAsia="zh-CN"/>
        </w:rPr>
        <w:t>货地点：采购人指定地点</w:t>
      </w:r>
    </w:p>
    <w:p w14:paraId="3689B060">
      <w:pPr>
        <w:spacing w:line="360" w:lineRule="auto"/>
        <w:ind w:firstLine="281" w:firstLineChars="100"/>
        <w:rPr>
          <w:rFonts w:hint="eastAsia" w:ascii="宋体" w:hAnsi="宋体" w:eastAsia="宋体" w:cs="宋体"/>
          <w:b/>
          <w:bCs/>
          <w:sz w:val="28"/>
          <w:szCs w:val="28"/>
        </w:rPr>
      </w:pPr>
      <w:r>
        <w:rPr>
          <w:rFonts w:hint="eastAsia" w:ascii="宋体" w:hAnsi="宋体" w:eastAsia="宋体" w:cs="宋体"/>
          <w:b/>
          <w:bCs/>
          <w:sz w:val="28"/>
          <w:szCs w:val="28"/>
        </w:rPr>
        <w:t>2.质量保证及售后服务：</w:t>
      </w:r>
    </w:p>
    <w:p w14:paraId="5D727900">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1.供应商投标产品要有产品合格证等。</w:t>
      </w:r>
    </w:p>
    <w:p w14:paraId="264C6A94">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2.质保期：所有产品质保1年，终身成本维修。</w:t>
      </w:r>
    </w:p>
    <w:p w14:paraId="6CA5F2F2">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3.培训：对投标产品必须有培训计划，安排上门操作培训，并每年免费复训。</w:t>
      </w:r>
    </w:p>
    <w:p w14:paraId="38270CEC">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4.售后响应：在质保期内（质保期起始日期应为安装验收合格之日起），乙方在接到用户对所购设备进行维修的要求后，应在 2 小时内给予答复，并派出专业的维修人员在 24小时内到用户现场进行维修服务。</w:t>
      </w:r>
    </w:p>
    <w:p w14:paraId="301CAD62">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验收合格之日起，免费保修期1年。1年后若因采购人使用不当需要进行维修，成交供应商进行维修，采购人支付相应维修费；若因成交供应商产品质量问题，成交供应商无条件免费维修，造成采购人损失的，成交供应商承担相应责任及费用。</w:t>
      </w:r>
    </w:p>
    <w:p w14:paraId="0D9F429D">
      <w:pPr>
        <w:spacing w:line="360" w:lineRule="auto"/>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.付款方式：</w:t>
      </w:r>
    </w:p>
    <w:p w14:paraId="1B2C6800">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付款方式：签订合同后15日内，支付合同总金额的40%，全部设备到货、安装、调试、培训完毕，支付合同总金额的50%，通过验收合格后，支付合同总</w:t>
      </w:r>
      <w:r>
        <w:rPr>
          <w:rFonts w:hint="eastAsia" w:ascii="宋体" w:hAnsi="宋体" w:cs="宋体"/>
          <w:sz w:val="28"/>
          <w:szCs w:val="28"/>
          <w:lang w:val="en-US" w:eastAsia="zh-CN"/>
        </w:rPr>
        <w:t>金</w:t>
      </w:r>
      <w:r>
        <w:rPr>
          <w:rFonts w:hint="eastAsia" w:ascii="宋体" w:hAnsi="宋体" w:eastAsia="宋体" w:cs="宋体"/>
          <w:sz w:val="28"/>
          <w:szCs w:val="28"/>
          <w:lang w:val="en-US" w:eastAsia="zh-CN"/>
        </w:rPr>
        <w:t>额10%。（如遇节假日顺延）</w:t>
      </w:r>
    </w:p>
    <w:p w14:paraId="604E3FB7">
      <w:pPr>
        <w:spacing w:line="360" w:lineRule="auto"/>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4、验收方式：</w:t>
      </w:r>
    </w:p>
    <w:p w14:paraId="531B5FC7">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1、项目验收：验收分初验和终验。</w:t>
      </w:r>
    </w:p>
    <w:p w14:paraId="420F5CC2">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（1）初验: 货物到达交货地点后，由使用单位根据合同对货物（设备）的名称、品牌、规格、型号、产地、数量进行验收。</w:t>
      </w:r>
    </w:p>
    <w:p w14:paraId="661A1D5B">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（2）终验：所有货物(设备)安装、调试完毕，正常使用7个日历日后，由采购人及其他相关单位进行终验（最终验收），合格后签发《政府采购货物验收单》。</w:t>
      </w:r>
    </w:p>
    <w:p w14:paraId="4B6489E8">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2、验收依据</w:t>
      </w:r>
    </w:p>
    <w:p w14:paraId="42E7AF03">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（1）磋商文件、响应文件、澄清表（函）；</w:t>
      </w:r>
    </w:p>
    <w:p w14:paraId="3BC8CE48">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（2）本合同及附件文本；</w:t>
      </w:r>
    </w:p>
    <w:p w14:paraId="70D4B799">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（3）国家相应的标准、规范。</w:t>
      </w:r>
    </w:p>
    <w:p w14:paraId="14D2C4FF">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（4）验收标准：必须提供全新全部产品</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其质量、规格符合主要技术指标要求及国家相关质量标准要求。</w:t>
      </w:r>
    </w:p>
    <w:p w14:paraId="4C025B12">
      <w:pPr>
        <w:widowControl/>
        <w:spacing w:line="400" w:lineRule="exact"/>
        <w:jc w:val="left"/>
        <w:rPr>
          <w:rFonts w:hint="eastAsia" w:ascii="宋体" w:hAnsi="宋体" w:eastAsia="宋体" w:cs="宋体"/>
          <w:b/>
          <w:bCs/>
          <w:color w:val="auto"/>
          <w:sz w:val="21"/>
          <w:szCs w:val="21"/>
          <w:highlight w:val="none"/>
          <w:lang w:val="en-US" w:eastAsia="zh-CN"/>
        </w:rPr>
      </w:pPr>
    </w:p>
    <w:p w14:paraId="0566DA83">
      <w:pPr>
        <w:widowControl/>
        <w:spacing w:line="400" w:lineRule="exact"/>
        <w:jc w:val="left"/>
        <w:rPr>
          <w:rFonts w:hint="eastAsia" w:ascii="宋体" w:hAnsi="宋体" w:eastAsia="宋体" w:cs="宋体"/>
          <w:b/>
          <w:bCs/>
          <w:color w:val="auto"/>
          <w:sz w:val="21"/>
          <w:szCs w:val="21"/>
          <w:highlight w:val="none"/>
          <w:lang w:val="en-US" w:eastAsia="zh-CN"/>
        </w:rPr>
      </w:pPr>
    </w:p>
    <w:p w14:paraId="7F2B0307">
      <w:pPr>
        <w:widowControl/>
        <w:spacing w:line="400" w:lineRule="exact"/>
        <w:jc w:val="left"/>
        <w:rPr>
          <w:rFonts w:hint="eastAsia" w:ascii="宋体" w:hAnsi="宋体" w:eastAsia="宋体" w:cs="宋体"/>
          <w:b/>
          <w:bCs/>
          <w:color w:val="auto"/>
          <w:sz w:val="21"/>
          <w:szCs w:val="21"/>
          <w:highlight w:val="none"/>
          <w:lang w:val="en-US" w:eastAsia="zh-CN"/>
        </w:rPr>
      </w:pPr>
    </w:p>
    <w:p w14:paraId="2B27F315">
      <w:pPr>
        <w:widowControl/>
        <w:spacing w:line="400" w:lineRule="exact"/>
        <w:jc w:val="left"/>
        <w:rPr>
          <w:rFonts w:hint="eastAsia" w:ascii="宋体" w:hAnsi="宋体" w:eastAsia="宋体" w:cs="宋体"/>
          <w:b/>
          <w:bCs/>
          <w:color w:val="auto"/>
          <w:sz w:val="21"/>
          <w:szCs w:val="21"/>
          <w:highlight w:val="none"/>
          <w:lang w:val="en-US" w:eastAsia="zh-CN"/>
        </w:rPr>
      </w:pPr>
    </w:p>
    <w:p w14:paraId="5985D036">
      <w:pPr>
        <w:widowControl/>
        <w:spacing w:line="400" w:lineRule="exact"/>
        <w:jc w:val="left"/>
        <w:rPr>
          <w:rFonts w:hint="eastAsia" w:ascii="宋体" w:hAnsi="宋体" w:eastAsia="宋体" w:cs="宋体"/>
          <w:b/>
          <w:bCs/>
          <w:color w:val="auto"/>
          <w:sz w:val="21"/>
          <w:szCs w:val="21"/>
          <w:highlight w:val="none"/>
          <w:lang w:val="en-US" w:eastAsia="zh-CN"/>
        </w:rPr>
      </w:pPr>
    </w:p>
    <w:p w14:paraId="33159329">
      <w:pPr>
        <w:widowControl/>
        <w:spacing w:line="400" w:lineRule="exact"/>
        <w:jc w:val="left"/>
        <w:rPr>
          <w:rFonts w:hint="eastAsia" w:ascii="宋体" w:hAnsi="宋体" w:eastAsia="宋体" w:cs="宋体"/>
          <w:b/>
          <w:bCs/>
          <w:color w:val="auto"/>
          <w:sz w:val="21"/>
          <w:szCs w:val="21"/>
          <w:highlight w:val="none"/>
          <w:lang w:val="en-US" w:eastAsia="zh-CN"/>
        </w:rPr>
      </w:pPr>
    </w:p>
    <w:p w14:paraId="27A49F83">
      <w:pPr>
        <w:widowControl/>
        <w:spacing w:line="400" w:lineRule="exact"/>
        <w:jc w:val="left"/>
        <w:rPr>
          <w:rFonts w:hint="eastAsia" w:ascii="宋体" w:hAnsi="宋体" w:eastAsia="宋体" w:cs="宋体"/>
          <w:b/>
          <w:bCs/>
          <w:color w:val="auto"/>
          <w:sz w:val="21"/>
          <w:szCs w:val="21"/>
          <w:highlight w:val="none"/>
          <w:lang w:val="en-US" w:eastAsia="zh-CN"/>
        </w:rPr>
      </w:pPr>
    </w:p>
    <w:p w14:paraId="5B9D4230">
      <w:pPr>
        <w:widowControl/>
        <w:spacing w:line="400" w:lineRule="exact"/>
        <w:jc w:val="left"/>
        <w:rPr>
          <w:rFonts w:hint="eastAsia" w:ascii="宋体" w:hAnsi="宋体" w:eastAsia="宋体" w:cs="宋体"/>
          <w:b/>
          <w:bCs/>
          <w:color w:val="auto"/>
          <w:sz w:val="21"/>
          <w:szCs w:val="21"/>
          <w:highlight w:val="none"/>
          <w:lang w:val="en-US" w:eastAsia="zh-CN"/>
        </w:rPr>
      </w:pPr>
    </w:p>
    <w:p w14:paraId="4A3937CB">
      <w:pPr>
        <w:widowControl/>
        <w:spacing w:line="400" w:lineRule="exact"/>
        <w:jc w:val="left"/>
        <w:rPr>
          <w:rFonts w:hint="eastAsia" w:ascii="宋体" w:hAnsi="宋体" w:eastAsia="宋体" w:cs="宋体"/>
          <w:b/>
          <w:bCs/>
          <w:color w:val="auto"/>
          <w:sz w:val="21"/>
          <w:szCs w:val="21"/>
          <w:highlight w:val="none"/>
          <w:lang w:val="en-US" w:eastAsia="zh-CN"/>
        </w:rPr>
      </w:pPr>
    </w:p>
    <w:p w14:paraId="6A2C45CE">
      <w:pPr>
        <w:widowControl/>
        <w:spacing w:line="400" w:lineRule="exact"/>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备注：采购内容由采购人提供，如有疑问，请与采购单位联系。</w:t>
      </w:r>
    </w:p>
    <w:p w14:paraId="418A8A47">
      <w:pPr>
        <w:widowControl w:val="0"/>
        <w:kinsoku/>
        <w:autoSpaceDE/>
        <w:autoSpaceDN/>
        <w:adjustRightInd w:val="0"/>
        <w:snapToGrid w:val="0"/>
        <w:spacing w:line="360" w:lineRule="auto"/>
        <w:ind w:firstLine="562" w:firstLineChars="200"/>
        <w:jc w:val="both"/>
        <w:textAlignment w:val="auto"/>
        <w:rPr>
          <w:rFonts w:hint="eastAsia" w:ascii="宋体" w:hAnsi="宋体" w:eastAsia="宋体" w:cs="宋体"/>
          <w:b/>
          <w:bCs w:val="0"/>
          <w:color w:val="auto"/>
          <w:sz w:val="28"/>
          <w:szCs w:val="28"/>
          <w:highlight w:val="none"/>
          <w:lang w:val="en-US" w:eastAsia="zh-CN"/>
        </w:rPr>
        <w:sectPr>
          <w:footerReference r:id="rId14" w:type="default"/>
          <w:footerReference r:id="rId15" w:type="even"/>
          <w:pgSz w:w="16838" w:h="11906" w:orient="landscape"/>
          <w:pgMar w:top="1418" w:right="1418" w:bottom="1418" w:left="1418" w:header="851" w:footer="992" w:gutter="0"/>
          <w:pgNumType w:fmt="decimal"/>
          <w:cols w:space="720" w:num="1"/>
          <w:docGrid w:type="lines" w:linePitch="312" w:charSpace="0"/>
        </w:sectPr>
      </w:pP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170881A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、合同标的</w:t>
      </w:r>
    </w:p>
    <w:p w14:paraId="1953FC2E">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供应商</w:t>
      </w:r>
      <w:r>
        <w:rPr>
          <w:rFonts w:hint="eastAsia" w:ascii="宋体" w:hAnsi="宋体" w:eastAsia="宋体" w:cs="宋体"/>
          <w:b w:val="0"/>
          <w:bCs w:val="0"/>
          <w:color w:val="000000"/>
          <w:sz w:val="24"/>
          <w:szCs w:val="24"/>
        </w:rPr>
        <w:t>应当根据公告、</w:t>
      </w:r>
      <w:r>
        <w:rPr>
          <w:rFonts w:hint="eastAsia" w:ascii="宋体" w:hAnsi="宋体" w:eastAsia="宋体" w:cs="宋体"/>
          <w:b w:val="0"/>
          <w:bCs w:val="0"/>
          <w:color w:val="000000"/>
          <w:sz w:val="24"/>
          <w:szCs w:val="24"/>
          <w:lang w:val="en-US" w:eastAsia="zh-CN"/>
        </w:rPr>
        <w:t>响应</w:t>
      </w:r>
      <w:r>
        <w:rPr>
          <w:rFonts w:hint="eastAsia" w:ascii="宋体" w:hAnsi="宋体" w:eastAsia="宋体" w:cs="宋体"/>
          <w:b w:val="0"/>
          <w:bCs w:val="0"/>
          <w:color w:val="000000"/>
          <w:sz w:val="24"/>
          <w:szCs w:val="24"/>
        </w:rPr>
        <w:t>文件及中标（成交）通知书等</w:t>
      </w:r>
      <w:r>
        <w:rPr>
          <w:rFonts w:hint="eastAsia" w:ascii="宋体" w:hAnsi="宋体" w:eastAsia="宋体" w:cs="宋体"/>
          <w:b w:val="0"/>
          <w:bCs w:val="0"/>
          <w:color w:val="000000"/>
          <w:sz w:val="24"/>
          <w:szCs w:val="24"/>
          <w:lang w:val="en-US" w:eastAsia="zh-CN"/>
        </w:rPr>
        <w:t>有关文本要求，</w:t>
      </w:r>
      <w:r>
        <w:rPr>
          <w:rFonts w:hint="eastAsia" w:ascii="宋体" w:hAnsi="宋体" w:eastAsia="宋体" w:cs="宋体"/>
          <w:b w:val="0"/>
          <w:bCs w:val="0"/>
          <w:color w:val="000000"/>
          <w:sz w:val="24"/>
          <w:szCs w:val="24"/>
        </w:rPr>
        <w:t>并按照</w:t>
      </w:r>
      <w:r>
        <w:rPr>
          <w:rFonts w:hint="eastAsia" w:ascii="宋体" w:hAnsi="宋体" w:eastAsia="宋体" w:cs="宋体"/>
          <w:b w:val="0"/>
          <w:bCs w:val="0"/>
          <w:color w:val="000000"/>
          <w:sz w:val="24"/>
          <w:szCs w:val="24"/>
          <w:lang w:val="en-US" w:eastAsia="zh-CN"/>
        </w:rPr>
        <w:t>采购人</w:t>
      </w:r>
      <w:r>
        <w:rPr>
          <w:rFonts w:hint="eastAsia" w:ascii="宋体" w:hAnsi="宋体" w:eastAsia="宋体" w:cs="宋体"/>
          <w:b w:val="0"/>
          <w:bCs w:val="0"/>
          <w:color w:val="000000"/>
          <w:sz w:val="24"/>
          <w:szCs w:val="24"/>
        </w:rPr>
        <w:t>需求提供下列货物。</w:t>
      </w:r>
    </w:p>
    <w:p w14:paraId="160865D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cs="宋体"/>
          <w:b w:val="0"/>
          <w:bCs w:val="0"/>
          <w:color w:val="auto"/>
          <w:sz w:val="24"/>
          <w:szCs w:val="24"/>
          <w:u w:val="single"/>
          <w:lang w:val="en-US" w:eastAsia="zh-CN"/>
        </w:rPr>
        <w:t>甘泉下寺湾中心卫生院康复医学科建设项目医疗设备购置</w:t>
      </w: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000000"/>
          <w:sz w:val="24"/>
          <w:szCs w:val="24"/>
          <w:lang w:val="en-US" w:eastAsia="zh-CN"/>
        </w:rPr>
        <w:t>具体</w:t>
      </w:r>
      <w:r>
        <w:rPr>
          <w:rFonts w:hint="eastAsia" w:ascii="宋体" w:hAnsi="宋体" w:eastAsia="宋体" w:cs="宋体"/>
          <w:b w:val="0"/>
          <w:bCs w:val="0"/>
          <w:color w:val="000000"/>
          <w:sz w:val="24"/>
          <w:szCs w:val="24"/>
        </w:rPr>
        <w:t>内容详</w:t>
      </w:r>
      <w:r>
        <w:rPr>
          <w:rFonts w:hint="eastAsia" w:ascii="宋体" w:hAnsi="宋体" w:eastAsia="宋体" w:cs="宋体"/>
          <w:b w:val="0"/>
          <w:bCs w:val="0"/>
          <w:sz w:val="24"/>
          <w:szCs w:val="24"/>
        </w:rPr>
        <w:t>见</w:t>
      </w:r>
      <w:r>
        <w:rPr>
          <w:rFonts w:hint="eastAsia" w:ascii="宋体" w:hAnsi="宋体" w:eastAsia="宋体" w:cs="宋体"/>
          <w:b w:val="0"/>
          <w:bCs w:val="0"/>
          <w:sz w:val="24"/>
          <w:szCs w:val="24"/>
          <w:lang w:val="en-US" w:eastAsia="zh-CN"/>
        </w:rPr>
        <w:t>合同附表</w:t>
      </w:r>
      <w:r>
        <w:rPr>
          <w:rFonts w:hint="eastAsia" w:ascii="宋体" w:hAnsi="宋体" w:eastAsia="宋体" w:cs="宋体"/>
          <w:b w:val="0"/>
          <w:bCs w:val="0"/>
          <w:color w:val="auto"/>
          <w:sz w:val="24"/>
          <w:szCs w:val="24"/>
          <w:u w:val="none"/>
          <w:lang w:val="en-US" w:eastAsia="zh-CN"/>
        </w:rPr>
        <w:t>）。</w:t>
      </w:r>
    </w:p>
    <w:p w14:paraId="0766B5C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二</w:t>
      </w:r>
      <w:r>
        <w:rPr>
          <w:rFonts w:hint="eastAsia" w:ascii="宋体" w:hAnsi="宋体" w:eastAsia="宋体" w:cs="宋体"/>
          <w:b/>
          <w:bCs/>
          <w:color w:val="auto"/>
          <w:sz w:val="24"/>
          <w:szCs w:val="24"/>
          <w:u w:val="none"/>
          <w:lang w:val="en-US" w:eastAsia="zh-CN"/>
        </w:rPr>
        <w:t>、合同总价</w:t>
      </w:r>
    </w:p>
    <w:p w14:paraId="57B264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人民币（大写）：</w:t>
      </w:r>
    </w:p>
    <w:p w14:paraId="184BFCC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人民币（小写）：</w:t>
      </w:r>
    </w:p>
    <w:p w14:paraId="1DEF7F3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spacing w:val="4"/>
          <w:sz w:val="24"/>
          <w:szCs w:val="24"/>
          <w:lang w:val="en-US" w:eastAsia="zh-CN"/>
        </w:rPr>
      </w:pPr>
      <w:r>
        <w:rPr>
          <w:rFonts w:hint="eastAsia" w:ascii="宋体" w:hAnsi="宋体" w:eastAsia="宋体" w:cs="宋体"/>
          <w:color w:val="auto"/>
          <w:sz w:val="24"/>
          <w:szCs w:val="24"/>
          <w:u w:val="none"/>
          <w:lang w:val="en-US" w:eastAsia="zh-CN"/>
        </w:rPr>
        <w:t>合同总价包括：货物、运输、装卸、安装、调试、验收、培训、交付使用及质保期内等其他有关各项费用（含税）；合同总价为固定不变价格，不受市场价格变化等因素影响。</w:t>
      </w:r>
    </w:p>
    <w:p w14:paraId="2618A52A">
      <w:pPr>
        <w:widowControl w:val="0"/>
        <w:kinsoku/>
        <w:autoSpaceDE/>
        <w:autoSpaceDN/>
        <w:adjustRightInd w:val="0"/>
        <w:snapToGrid w:val="0"/>
        <w:spacing w:line="360" w:lineRule="auto"/>
        <w:ind w:firstLine="482" w:firstLineChars="200"/>
        <w:jc w:val="both"/>
        <w:textAlignment w:val="auto"/>
        <w:rPr>
          <w:rFonts w:hint="eastAsia" w:ascii="宋体" w:hAnsi="宋体" w:eastAsia="宋体" w:cs="宋体"/>
          <w:b/>
          <w:bCs/>
          <w:snapToGrid/>
          <w:color w:val="auto"/>
          <w:kern w:val="2"/>
          <w:sz w:val="24"/>
          <w:szCs w:val="24"/>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w:t>
      </w:r>
      <w:r>
        <w:rPr>
          <w:rFonts w:hint="eastAsia" w:ascii="宋体" w:hAnsi="宋体" w:cs="宋体"/>
          <w:b/>
          <w:bCs/>
          <w:snapToGrid/>
          <w:color w:val="auto"/>
          <w:kern w:val="2"/>
          <w:sz w:val="24"/>
          <w:szCs w:val="24"/>
          <w:lang w:val="en-US" w:eastAsia="zh-CN"/>
        </w:rPr>
        <w:t>供货期、供货地点</w:t>
      </w:r>
    </w:p>
    <w:p w14:paraId="34394F3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（一）供货期：合同签订后，30日内安装供货到位，并达到正常使用；</w:t>
      </w:r>
    </w:p>
    <w:p w14:paraId="3829FD51">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（二）供货地点：采购人指定地点</w:t>
      </w:r>
    </w:p>
    <w:p w14:paraId="4B640E3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四</w:t>
      </w:r>
      <w:r>
        <w:rPr>
          <w:rFonts w:hint="eastAsia" w:ascii="宋体" w:hAnsi="宋体" w:eastAsia="宋体" w:cs="宋体"/>
          <w:b/>
          <w:bCs/>
          <w:color w:val="auto"/>
          <w:sz w:val="24"/>
          <w:szCs w:val="24"/>
          <w:u w:val="none"/>
          <w:lang w:val="en-US" w:eastAsia="zh-CN"/>
        </w:rPr>
        <w:t>、结算方式及付款方式</w:t>
      </w:r>
    </w:p>
    <w:p w14:paraId="425FF92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1.结算方式：结算</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以实际发生</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为准，单价按成交单价执行，最终以验收结果为准。</w:t>
      </w:r>
    </w:p>
    <w:p w14:paraId="0DE4F9C2">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2.付款方式：签订合同后15日内，支付合同总金额的40%，全部设备到货、安装、调试、培训完毕，支付合同总金额的50%，通过验收合格后，支付合同总额10%。（如遇节假日顺延）</w:t>
      </w:r>
    </w:p>
    <w:p w14:paraId="473AB30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五</w:t>
      </w:r>
      <w:r>
        <w:rPr>
          <w:rFonts w:hint="eastAsia" w:ascii="宋体" w:hAnsi="宋体" w:eastAsia="宋体" w:cs="宋体"/>
          <w:b/>
          <w:bCs/>
          <w:color w:val="auto"/>
          <w:sz w:val="24"/>
          <w:szCs w:val="24"/>
          <w:u w:val="none"/>
          <w:lang w:val="en-US" w:eastAsia="zh-CN"/>
        </w:rPr>
        <w:t>、质量保证及售后服务</w:t>
      </w:r>
    </w:p>
    <w:p w14:paraId="4D808F0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1.供应商投标产品要有产品合格证等。</w:t>
      </w:r>
    </w:p>
    <w:p w14:paraId="41A0C05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2.质保期：所有产品质保1年，终身成本维修。</w:t>
      </w:r>
    </w:p>
    <w:p w14:paraId="33565F7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3.培训：对投标产品必须有培训计划，安排上门操作培训，并每年免费复训。</w:t>
      </w:r>
    </w:p>
    <w:p w14:paraId="38A14DF8">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4.售后响应：在质保期内（质保期起始日期应为安装验收合格之日起），乙方在接到用户对所购设备进行维修的要求后，应在 2 小时内给予答复，并派出专业的维修人员在 24小时内到用户现场进行维修服务。</w:t>
      </w:r>
    </w:p>
    <w:p w14:paraId="5CD257BC">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5.验收合格之日起，免费保修期1年。1年后若因采购人使用不当需要进行维修，成交供应商进行维修，采购人支付相应维修费；若因成交供应商产品质量问题，成交供应商无条件免费维修，造成采购人损失的，成交供应商承担相应责任及费用。</w:t>
      </w:r>
    </w:p>
    <w:p w14:paraId="4964A67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六</w:t>
      </w:r>
      <w:r>
        <w:rPr>
          <w:rFonts w:hint="eastAsia" w:ascii="宋体" w:hAnsi="宋体" w:eastAsia="宋体" w:cs="宋体"/>
          <w:b/>
          <w:bCs/>
          <w:color w:val="auto"/>
          <w:sz w:val="24"/>
          <w:szCs w:val="24"/>
          <w:u w:val="none"/>
          <w:lang w:val="en-US" w:eastAsia="zh-CN"/>
        </w:rPr>
        <w:t>、对货物提出异议的时间和办法</w:t>
      </w:r>
    </w:p>
    <w:p w14:paraId="1EE6A9A1">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在验收中，如果发现乙方所供的设备名称、品牌、型号、数量和质量要求不符合本合同规定，可立即拒收，也可验收后三日内向乙方书面提出异议。若甲方未在规定期限提出书面异议，视为乙方所供设备符合合同规定。</w:t>
      </w:r>
    </w:p>
    <w:p w14:paraId="1EACACBD">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2.乙方在接到甲方书面异议后，应书面异议后，应在三日内负责处理，否则，视为默认甲方提出的异议和处理意见。</w:t>
      </w:r>
    </w:p>
    <w:p w14:paraId="5DC1C78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七</w:t>
      </w:r>
      <w:r>
        <w:rPr>
          <w:rFonts w:hint="eastAsia" w:ascii="宋体" w:hAnsi="宋体" w:eastAsia="宋体" w:cs="宋体"/>
          <w:b/>
          <w:bCs/>
          <w:color w:val="auto"/>
          <w:sz w:val="24"/>
          <w:szCs w:val="24"/>
          <w:u w:val="none"/>
          <w:lang w:val="en-US" w:eastAsia="zh-CN"/>
        </w:rPr>
        <w:t>、甲乙双方的责任</w:t>
      </w:r>
    </w:p>
    <w:p w14:paraId="0AB2BDC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1.甲方提供必要的场地条件，并协助乙方完成设备的装卸及安装调试工作。</w:t>
      </w:r>
    </w:p>
    <w:p w14:paraId="247B6B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2.甲方无正当理由中途退货，应向乙方偿付退货部分货款5%违约金。</w:t>
      </w:r>
    </w:p>
    <w:p w14:paraId="760F5A5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3.甲方应按照本合同约定，按时足额向乙方支付货物价款。</w:t>
      </w:r>
    </w:p>
    <w:p w14:paraId="47079DA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乙方应按照合同约定供货，提供的设备是通过正常渠道获得的，且为全新的、未使用过的原厂出产合格产品,其有关技术、检验、商务等均要符合有关法律、法规；随货物提供所有相关的使用说明书、合格证、保修卡等资料和备品配件、工具等。</w:t>
      </w:r>
    </w:p>
    <w:p w14:paraId="3A91C17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5.按照运输标准进行包装，以适应于远距离运输、防潮、防震、防锈等要求，确保货物安全无损地运抵交货地点。</w:t>
      </w:r>
    </w:p>
    <w:p w14:paraId="6AE0C6A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6.乙方负责货物的运输、安装、调试、检测、验收、培训、交付使用及保修服务。乙方要提高意识，加强对员工（含雇用人员）的安全管理，上述诸环节发生的安全事故和人员伤亡事件，均由乙方负责，甲方不承担任何责任。</w:t>
      </w:r>
    </w:p>
    <w:p w14:paraId="3A8D5A1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7</w:t>
      </w:r>
      <w:r>
        <w:rPr>
          <w:rFonts w:hint="eastAsia" w:ascii="宋体" w:hAnsi="宋体" w:eastAsia="宋体" w:cs="宋体"/>
          <w:color w:val="auto"/>
          <w:sz w:val="24"/>
          <w:szCs w:val="24"/>
          <w:u w:val="none"/>
          <w:lang w:val="en-US" w:eastAsia="zh-CN"/>
        </w:rPr>
        <w:t>.乙方应对其所提供的货物承担所有权担保责任，并应保证甲方在该货物的使用中不侵犯第三人的知识产权和商业秘密等权利，否则乙方应承担由此引起的一切法律责任及费用。</w:t>
      </w:r>
    </w:p>
    <w:p w14:paraId="2BB8F43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8</w:t>
      </w:r>
      <w:r>
        <w:rPr>
          <w:rFonts w:hint="eastAsia" w:ascii="宋体" w:hAnsi="宋体" w:eastAsia="宋体" w:cs="宋体"/>
          <w:color w:val="auto"/>
          <w:sz w:val="24"/>
          <w:szCs w:val="24"/>
          <w:u w:val="none"/>
          <w:lang w:val="en-US" w:eastAsia="zh-CN"/>
        </w:rPr>
        <w:t>.乙方不能按时供货的，应向甲方偿付不能供货部分货款的5%的违约金；如果乙方没有按照规定的时间完成送货、安装、调试，应向甲方支付违约金，违约金从成交总价中扣除，按每周迟交货或未按时交货价的0.5％计收。但违约金的最高限额为迟交货或未按时交货合同价的5％。一周按7天计算，不足7天按一周计算，如果达到最高限额，甲方考虑终止合同，由此给甲方造成的损失由乙方承担。</w:t>
      </w:r>
    </w:p>
    <w:p w14:paraId="2FF262A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9</w:t>
      </w:r>
      <w:r>
        <w:rPr>
          <w:rFonts w:hint="eastAsia" w:ascii="宋体" w:hAnsi="宋体" w:eastAsia="宋体" w:cs="宋体"/>
          <w:color w:val="auto"/>
          <w:sz w:val="24"/>
          <w:szCs w:val="24"/>
          <w:u w:val="none"/>
          <w:lang w:val="en-US" w:eastAsia="zh-CN"/>
        </w:rPr>
        <w:t>.除不可抗力因素外，任何一方未经对方同意而单方面终止合同的，应向对方赔偿相当于本合同总价款30％违约金</w:t>
      </w:r>
      <w:r>
        <w:rPr>
          <w:rFonts w:hint="eastAsia" w:ascii="宋体" w:hAnsi="宋体" w:cs="宋体"/>
          <w:color w:val="auto"/>
          <w:sz w:val="24"/>
          <w:szCs w:val="24"/>
          <w:u w:val="none"/>
          <w:lang w:val="en-US" w:eastAsia="zh-CN"/>
        </w:rPr>
        <w:t>。</w:t>
      </w:r>
    </w:p>
    <w:p w14:paraId="334EBF4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八</w:t>
      </w:r>
      <w:r>
        <w:rPr>
          <w:rFonts w:hint="eastAsia" w:ascii="宋体" w:hAnsi="宋体" w:eastAsia="宋体" w:cs="宋体"/>
          <w:b/>
          <w:bCs/>
          <w:color w:val="auto"/>
          <w:sz w:val="24"/>
          <w:szCs w:val="24"/>
          <w:u w:val="none"/>
          <w:lang w:val="en-US" w:eastAsia="zh-CN"/>
        </w:rPr>
        <w:t>、货物验收</w:t>
      </w:r>
    </w:p>
    <w:p w14:paraId="710B661D">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1、项目验收：验收分初验和终验。</w:t>
      </w:r>
    </w:p>
    <w:p w14:paraId="59901B43">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（1）初验: 货物到达交货地点后，由使用单位根据合同对货物（设备）的名称、品牌、规格、型号、产地、数量进行验收。</w:t>
      </w:r>
    </w:p>
    <w:p w14:paraId="70EBF462">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（2）终验：所有货物(设备)安装、调试完毕，正常使用7个日历日后，由采购人及其他相关单位进行终验（最终验收），合格后签发《政府采购货物验收单》。</w:t>
      </w:r>
    </w:p>
    <w:p w14:paraId="03E4A262">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2、验收依据</w:t>
      </w:r>
    </w:p>
    <w:p w14:paraId="3F9C969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（1）磋商文件、响应文件、澄清表（函）；</w:t>
      </w:r>
    </w:p>
    <w:p w14:paraId="08516168">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（2）本合同及附件文本；</w:t>
      </w:r>
    </w:p>
    <w:p w14:paraId="6AB3E40A">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（3）国家相应的标准、规范。</w:t>
      </w:r>
    </w:p>
    <w:p w14:paraId="083C5D3D">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（4）验收标准：必须提供全新全部产品，其质量、规格符合主要技术指标要求及国家相关质量标准要求。</w:t>
      </w:r>
    </w:p>
    <w:p w14:paraId="10D89AF6">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九</w:t>
      </w:r>
      <w:r>
        <w:rPr>
          <w:rFonts w:hint="eastAsia" w:ascii="宋体" w:hAnsi="宋体" w:eastAsia="宋体" w:cs="宋体"/>
          <w:b/>
          <w:bCs/>
          <w:color w:val="auto"/>
          <w:sz w:val="24"/>
          <w:szCs w:val="24"/>
          <w:u w:val="none"/>
          <w:lang w:val="en-US" w:eastAsia="zh-CN"/>
        </w:rPr>
        <w:t>、违约责任及</w:t>
      </w:r>
      <w:r>
        <w:rPr>
          <w:rFonts w:hint="eastAsia" w:ascii="宋体" w:hAnsi="宋体" w:eastAsia="宋体" w:cs="宋体"/>
          <w:b/>
          <w:bCs/>
          <w:color w:val="000000"/>
          <w:sz w:val="24"/>
          <w:szCs w:val="24"/>
        </w:rPr>
        <w:t>争议解决方式</w:t>
      </w:r>
    </w:p>
    <w:p w14:paraId="7BBCF527">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1.按</w:t>
      </w:r>
      <w:r>
        <w:rPr>
          <w:rFonts w:hint="eastAsia" w:ascii="宋体" w:hAnsi="宋体" w:cs="宋体"/>
          <w:color w:val="auto"/>
          <w:kern w:val="2"/>
          <w:sz w:val="24"/>
          <w:szCs w:val="24"/>
          <w:u w:val="none"/>
          <w:lang w:val="en-US" w:eastAsia="zh-CN" w:bidi="ar-SA"/>
        </w:rPr>
        <w:t>《中华人民共和国</w:t>
      </w:r>
      <w:r>
        <w:rPr>
          <w:rFonts w:hint="eastAsia" w:ascii="宋体" w:hAnsi="宋体" w:eastAsia="宋体" w:cs="宋体"/>
          <w:color w:val="auto"/>
          <w:kern w:val="2"/>
          <w:sz w:val="24"/>
          <w:szCs w:val="24"/>
          <w:u w:val="none"/>
          <w:lang w:val="en-US" w:eastAsia="zh-CN" w:bidi="ar-SA"/>
        </w:rPr>
        <w:t>民法典</w:t>
      </w:r>
      <w:r>
        <w:rPr>
          <w:rFonts w:hint="eastAsia" w:ascii="宋体" w:hAnsi="宋体" w:cs="宋体"/>
          <w:color w:val="auto"/>
          <w:kern w:val="2"/>
          <w:sz w:val="24"/>
          <w:szCs w:val="24"/>
          <w:u w:val="none"/>
          <w:lang w:val="en-US" w:eastAsia="zh-CN" w:bidi="ar-SA"/>
        </w:rPr>
        <w:t>》</w:t>
      </w:r>
      <w:r>
        <w:rPr>
          <w:rFonts w:hint="eastAsia" w:ascii="宋体" w:hAnsi="宋体" w:eastAsia="宋体" w:cs="宋体"/>
          <w:color w:val="auto"/>
          <w:kern w:val="2"/>
          <w:sz w:val="24"/>
          <w:szCs w:val="24"/>
          <w:u w:val="none"/>
          <w:lang w:val="en-US" w:eastAsia="zh-CN" w:bidi="ar-SA"/>
        </w:rPr>
        <w:t>中的相关条款执行。</w:t>
      </w:r>
    </w:p>
    <w:p w14:paraId="7337457B">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未按合同要求安装设备或不能满足合同要求，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2FE2AED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3、因所供设备质量问题发生争议的，应当邀请国家权威的质量检测机构对货物质量进行鉴定，货物符合质量标准的，鉴定费由甲方承担；货物不符合质量标准的，鉴定费由乙方承担。</w:t>
      </w:r>
    </w:p>
    <w:p w14:paraId="5F25D0A9">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4.因履行本合同引起的或者与本合同有关的争议，甲乙双方应当通过友好协商方式解决；如协商不能解决争议的，任何一方可以向项目所</w:t>
      </w:r>
      <w:r>
        <w:rPr>
          <w:rFonts w:hint="eastAsia" w:ascii="宋体" w:hAnsi="宋体" w:cs="宋体"/>
          <w:color w:val="auto"/>
          <w:kern w:val="2"/>
          <w:sz w:val="24"/>
          <w:szCs w:val="24"/>
          <w:u w:val="none"/>
          <w:lang w:val="en-US" w:eastAsia="zh-CN" w:bidi="ar-SA"/>
        </w:rPr>
        <w:t>在</w:t>
      </w:r>
      <w:r>
        <w:rPr>
          <w:rFonts w:hint="eastAsia" w:ascii="宋体" w:hAnsi="宋体" w:eastAsia="宋体" w:cs="宋体"/>
          <w:color w:val="auto"/>
          <w:kern w:val="2"/>
          <w:sz w:val="24"/>
          <w:szCs w:val="24"/>
          <w:u w:val="none"/>
          <w:lang w:val="en-US" w:eastAsia="zh-CN" w:bidi="ar-SA"/>
        </w:rPr>
        <w:t>地的人民法院提起诉讼。</w:t>
      </w:r>
    </w:p>
    <w:p w14:paraId="2374C603">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十</w:t>
      </w:r>
      <w:r>
        <w:rPr>
          <w:rFonts w:hint="eastAsia" w:ascii="宋体" w:hAnsi="宋体" w:eastAsia="宋体" w:cs="宋体"/>
          <w:b/>
          <w:bCs/>
          <w:color w:val="000000"/>
          <w:sz w:val="24"/>
          <w:szCs w:val="24"/>
        </w:rPr>
        <w:t>、合同组成部分</w:t>
      </w:r>
    </w:p>
    <w:p w14:paraId="70F6947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磋商公告、采购需求明细、答疑内容、补充通知、响应文件、中标通知书、乙方在磋商响应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0602FA7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十</w:t>
      </w: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、合同生效及其他</w:t>
      </w:r>
    </w:p>
    <w:p w14:paraId="31A945ED">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1.本合同</w:t>
      </w:r>
      <w:r>
        <w:rPr>
          <w:rFonts w:hint="eastAsia" w:ascii="宋体" w:hAnsi="宋体" w:eastAsia="宋体" w:cs="宋体"/>
          <w:color w:val="000000"/>
          <w:kern w:val="2"/>
          <w:sz w:val="24"/>
          <w:szCs w:val="24"/>
          <w:lang w:val="en-US" w:eastAsia="zh-CN" w:bidi="ar-SA"/>
        </w:rPr>
        <w:t>自甲乙双方签字盖章之日起生效</w:t>
      </w:r>
      <w:r>
        <w:rPr>
          <w:rFonts w:hint="eastAsia" w:ascii="宋体" w:hAnsi="宋体" w:eastAsia="宋体" w:cs="宋体"/>
          <w:color w:val="auto"/>
          <w:kern w:val="2"/>
          <w:sz w:val="24"/>
          <w:szCs w:val="24"/>
          <w:u w:val="none"/>
          <w:lang w:val="en-US" w:eastAsia="zh-CN" w:bidi="ar-SA"/>
        </w:rPr>
        <w:t>。</w:t>
      </w:r>
    </w:p>
    <w:p w14:paraId="717DE229">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2.本合同一式陆份，甲方贰份、乙方贰份、采购中心贰份。</w:t>
      </w:r>
    </w:p>
    <w:p w14:paraId="62A79EEC">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4.本合同未尽事宜由甲乙双方签订补充合同约定。</w:t>
      </w:r>
    </w:p>
    <w:p w14:paraId="3DF51D3B">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1FDFB41A">
      <w:pPr>
        <w:rPr>
          <w:rFonts w:hint="eastAsia" w:ascii="宋体" w:hAnsi="宋体" w:eastAsia="宋体" w:cs="宋体"/>
        </w:rPr>
      </w:pPr>
    </w:p>
    <w:p w14:paraId="4D49C366">
      <w:pPr>
        <w:rPr>
          <w:rFonts w:hint="eastAsia" w:ascii="宋体" w:hAnsi="宋体" w:eastAsia="宋体" w:cs="宋体"/>
        </w:rPr>
      </w:pPr>
    </w:p>
    <w:p w14:paraId="7ED114CA">
      <w:pPr>
        <w:rPr>
          <w:rFonts w:hint="eastAsia" w:ascii="宋体" w:hAnsi="宋体" w:eastAsia="宋体" w:cs="宋体"/>
        </w:rPr>
      </w:pPr>
    </w:p>
    <w:p w14:paraId="18ED236A">
      <w:pPr>
        <w:rPr>
          <w:rFonts w:hint="eastAsia" w:ascii="宋体" w:hAnsi="宋体" w:eastAsia="宋体" w:cs="宋体"/>
        </w:rPr>
      </w:pPr>
    </w:p>
    <w:p w14:paraId="343FB623">
      <w:pPr>
        <w:rPr>
          <w:rFonts w:hint="eastAsia" w:ascii="宋体" w:hAnsi="宋体" w:eastAsia="宋体" w:cs="宋体"/>
        </w:rPr>
      </w:pPr>
    </w:p>
    <w:p w14:paraId="53B3D708">
      <w:pPr>
        <w:rPr>
          <w:rFonts w:hint="eastAsia" w:ascii="宋体" w:hAnsi="宋体" w:eastAsia="宋体" w:cs="宋体"/>
        </w:rPr>
      </w:pPr>
    </w:p>
    <w:p w14:paraId="699470EB">
      <w:pPr>
        <w:rPr>
          <w:rFonts w:hint="eastAsia" w:ascii="宋体" w:hAnsi="宋体" w:eastAsia="宋体" w:cs="宋体"/>
        </w:rPr>
      </w:pPr>
    </w:p>
    <w:p w14:paraId="086AABEC">
      <w:pPr>
        <w:rPr>
          <w:rFonts w:hint="eastAsia" w:ascii="宋体" w:hAnsi="宋体" w:eastAsia="宋体" w:cs="宋体"/>
        </w:rPr>
      </w:pPr>
    </w:p>
    <w:p w14:paraId="6DA831E5">
      <w:pPr>
        <w:rPr>
          <w:rFonts w:hint="eastAsia" w:ascii="宋体" w:hAnsi="宋体" w:eastAsia="宋体" w:cs="宋体"/>
        </w:rPr>
      </w:pPr>
    </w:p>
    <w:p w14:paraId="1FD46F73">
      <w:pPr>
        <w:rPr>
          <w:rFonts w:hint="eastAsia" w:ascii="宋体" w:hAnsi="宋体" w:eastAsia="宋体" w:cs="宋体"/>
        </w:rPr>
      </w:pPr>
    </w:p>
    <w:p w14:paraId="4B947BA6">
      <w:pPr>
        <w:rPr>
          <w:rFonts w:hint="eastAsia" w:ascii="宋体" w:hAnsi="宋体" w:eastAsia="宋体" w:cs="宋体"/>
        </w:rPr>
      </w:pPr>
    </w:p>
    <w:p w14:paraId="38FF9C7B">
      <w:pPr>
        <w:rPr>
          <w:rFonts w:hint="eastAsia" w:ascii="宋体" w:hAnsi="宋体" w:eastAsia="宋体" w:cs="宋体"/>
        </w:rPr>
      </w:pPr>
    </w:p>
    <w:p w14:paraId="45D159AC">
      <w:pPr>
        <w:rPr>
          <w:rFonts w:hint="eastAsia" w:ascii="宋体" w:hAnsi="宋体" w:eastAsia="宋体" w:cs="宋体"/>
        </w:rPr>
      </w:pPr>
    </w:p>
    <w:p w14:paraId="6D8BB201">
      <w:pPr>
        <w:rPr>
          <w:rFonts w:hint="eastAsia" w:ascii="宋体" w:hAnsi="宋体" w:eastAsia="宋体" w:cs="宋体"/>
        </w:rPr>
      </w:pPr>
    </w:p>
    <w:p w14:paraId="5C244292">
      <w:pPr>
        <w:rPr>
          <w:rFonts w:hint="eastAsia" w:ascii="宋体" w:hAnsi="宋体" w:eastAsia="宋体" w:cs="宋体"/>
        </w:rPr>
      </w:pPr>
    </w:p>
    <w:p w14:paraId="33FBC811">
      <w:pPr>
        <w:rPr>
          <w:rFonts w:hint="eastAsia" w:ascii="宋体" w:hAnsi="宋体" w:eastAsia="宋体" w:cs="宋体"/>
        </w:rPr>
      </w:pPr>
    </w:p>
    <w:p w14:paraId="0BD484F0">
      <w:pPr>
        <w:rPr>
          <w:rFonts w:hint="eastAsia" w:ascii="宋体" w:hAnsi="宋体" w:eastAsia="宋体" w:cs="宋体"/>
        </w:rPr>
      </w:pPr>
    </w:p>
    <w:p w14:paraId="7FC97F96">
      <w:pPr>
        <w:rPr>
          <w:rFonts w:hint="eastAsia" w:ascii="宋体" w:hAnsi="宋体" w:eastAsia="宋体" w:cs="宋体"/>
        </w:rPr>
      </w:pPr>
    </w:p>
    <w:p w14:paraId="1ECDD655">
      <w:pPr>
        <w:rPr>
          <w:rFonts w:hint="eastAsia" w:ascii="宋体" w:hAnsi="宋体" w:eastAsia="宋体" w:cs="宋体"/>
        </w:rPr>
      </w:pPr>
    </w:p>
    <w:p w14:paraId="20701172">
      <w:pPr>
        <w:rPr>
          <w:rFonts w:hint="eastAsia" w:ascii="宋体" w:hAnsi="宋体" w:eastAsia="宋体" w:cs="宋体"/>
        </w:rPr>
      </w:pPr>
    </w:p>
    <w:p w14:paraId="1AC6D4AB">
      <w:pPr>
        <w:rPr>
          <w:rFonts w:hint="eastAsia" w:ascii="宋体" w:hAnsi="宋体" w:eastAsia="宋体" w:cs="宋体"/>
        </w:rPr>
      </w:pPr>
    </w:p>
    <w:p w14:paraId="148C075C">
      <w:pPr>
        <w:rPr>
          <w:rFonts w:hint="eastAsia" w:ascii="宋体" w:hAnsi="宋体" w:eastAsia="宋体" w:cs="宋体"/>
        </w:rPr>
      </w:pPr>
    </w:p>
    <w:p w14:paraId="6F5BABE2">
      <w:pPr>
        <w:rPr>
          <w:rFonts w:hint="eastAsia" w:ascii="宋体" w:hAnsi="宋体" w:eastAsia="宋体" w:cs="宋体"/>
        </w:rPr>
      </w:pPr>
    </w:p>
    <w:p w14:paraId="2AE938E7">
      <w:pPr>
        <w:rPr>
          <w:rFonts w:hint="eastAsia" w:ascii="宋体" w:hAnsi="宋体" w:eastAsia="宋体" w:cs="宋体"/>
        </w:rPr>
      </w:pPr>
    </w:p>
    <w:p w14:paraId="00268621">
      <w:pPr>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4F1B23A2">
      <w:pPr>
        <w:spacing w:line="360" w:lineRule="auto"/>
        <w:jc w:val="center"/>
        <w:rPr>
          <w:rFonts w:hint="eastAsia" w:ascii="宋体" w:hAnsi="宋体" w:cs="宋体"/>
          <w:b/>
          <w:spacing w:val="-20"/>
          <w:sz w:val="44"/>
          <w:szCs w:val="44"/>
          <w:lang w:eastAsia="zh-CN"/>
        </w:rPr>
      </w:pPr>
      <w:r>
        <w:rPr>
          <w:rFonts w:hint="eastAsia" w:ascii="宋体" w:hAnsi="宋体" w:cs="宋体"/>
          <w:b/>
          <w:spacing w:val="-20"/>
          <w:sz w:val="44"/>
          <w:szCs w:val="44"/>
          <w:lang w:eastAsia="zh-CN"/>
        </w:rPr>
        <w:t>甘泉下寺湾中心卫生院康复医学科</w:t>
      </w: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建设项目医疗设备购置</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GZC2026-CS-065</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ind w:firstLine="1684" w:firstLineChars="468"/>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195E9B1A">
      <w:pPr>
        <w:pStyle w:val="30"/>
        <w:spacing w:line="240" w:lineRule="auto"/>
        <w:ind w:firstLine="1684" w:firstLineChars="468"/>
        <w:rPr>
          <w:rFonts w:hint="eastAsia" w:ascii="宋体" w:hAnsi="宋体" w:eastAsia="宋体" w:cs="宋体"/>
          <w:sz w:val="36"/>
          <w:u w:val="single"/>
        </w:rPr>
      </w:pPr>
      <w:r>
        <w:rPr>
          <w:rFonts w:hint="eastAsia" w:ascii="宋体" w:hAnsi="宋体" w:eastAsia="宋体" w:cs="宋体"/>
          <w:sz w:val="36"/>
        </w:rPr>
        <w:t>法定代表人（负责人）签字或盖章：</w:t>
      </w:r>
    </w:p>
    <w:p w14:paraId="5D70E0E0">
      <w:pPr>
        <w:pStyle w:val="30"/>
        <w:spacing w:line="240" w:lineRule="auto"/>
        <w:ind w:firstLine="1684" w:firstLineChars="468"/>
        <w:rPr>
          <w:rFonts w:hint="eastAsia" w:ascii="宋体" w:hAnsi="宋体" w:eastAsia="宋体" w:cs="宋体"/>
          <w:sz w:val="36"/>
          <w:u w:val="single"/>
        </w:rPr>
      </w:pPr>
      <w:r>
        <w:rPr>
          <w:rFonts w:hint="eastAsia" w:ascii="宋体" w:hAnsi="宋体" w:eastAsia="宋体" w:cs="宋体"/>
          <w:sz w:val="36"/>
        </w:rPr>
        <w:t>时　间：</w:t>
      </w:r>
    </w:p>
    <w:p w14:paraId="4E6FE690">
      <w:pPr>
        <w:ind w:firstLine="200"/>
        <w:jc w:val="left"/>
        <w:rPr>
          <w:rFonts w:ascii="仿宋" w:hAnsi="仿宋" w:eastAsia="仿宋" w:cs="仿宋"/>
          <w:b/>
          <w:sz w:val="36"/>
          <w:szCs w:val="36"/>
        </w:rPr>
      </w:pPr>
      <w:r>
        <w:rPr>
          <w:rFonts w:hint="eastAsia" w:ascii="仿宋" w:hAnsi="仿宋" w:eastAsia="仿宋" w:cs="仿宋"/>
          <w:sz w:val="36"/>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甘泉下寺湾中心卫生院康复医学科建设项目医疗设备购置</w:t>
      </w:r>
      <w:r>
        <w:rPr>
          <w:rFonts w:hint="eastAsia" w:ascii="宋体" w:hAnsi="宋体" w:eastAsia="宋体" w:cs="宋体"/>
          <w:sz w:val="24"/>
          <w:szCs w:val="24"/>
        </w:rPr>
        <w:t>》（项目编号：</w:t>
      </w:r>
      <w:r>
        <w:rPr>
          <w:rFonts w:hint="eastAsia" w:ascii="宋体" w:hAnsi="宋体" w:cs="宋体"/>
          <w:sz w:val="24"/>
          <w:szCs w:val="24"/>
          <w:lang w:eastAsia="zh-CN"/>
        </w:rPr>
        <w:t>GZC2026-CS-065</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color w:val="auto"/>
          <w:sz w:val="24"/>
          <w:szCs w:val="32"/>
          <w:highlight w:val="none"/>
          <w:u w:val="none"/>
          <w:lang w:val="en-US" w:eastAsia="zh-CN"/>
        </w:rPr>
        <w:t xml:space="preserve"> </w:t>
      </w:r>
      <w:r>
        <w:rPr>
          <w:rFonts w:hint="eastAsia" w:ascii="宋体" w:hAnsi="宋体" w:eastAsia="宋体" w:cs="宋体"/>
          <w:color w:val="auto"/>
          <w:sz w:val="24"/>
          <w:szCs w:val="32"/>
          <w:highlight w:val="none"/>
          <w:u w:val="none"/>
        </w:rPr>
        <w:t>个日历</w:t>
      </w:r>
      <w:r>
        <w:rPr>
          <w:rFonts w:hint="eastAsia" w:ascii="宋体" w:hAnsi="宋体" w:cs="宋体"/>
          <w:color w:val="auto"/>
          <w:sz w:val="24"/>
          <w:szCs w:val="32"/>
          <w:highlight w:val="none"/>
          <w:u w:val="none"/>
          <w:lang w:val="en-US" w:eastAsia="zh-CN"/>
        </w:rPr>
        <w:t>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3E48AC45">
      <w:pPr>
        <w:spacing w:line="360" w:lineRule="auto"/>
        <w:ind w:firstLine="567"/>
        <w:rPr>
          <w:rFonts w:hint="eastAsia" w:ascii="宋体" w:hAnsi="宋体" w:eastAsia="宋体" w:cs="宋体"/>
          <w:sz w:val="24"/>
          <w:szCs w:val="32"/>
        </w:rPr>
      </w:pPr>
    </w:p>
    <w:p w14:paraId="070F37CC">
      <w:pPr>
        <w:pStyle w:val="31"/>
        <w:numPr>
          <w:ilvl w:val="0"/>
          <w:numId w:val="12"/>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甘泉县下寺湾中心卫生院</w:t>
      </w:r>
    </w:p>
    <w:p w14:paraId="0A1850F8">
      <w:pPr>
        <w:kinsoku w:val="0"/>
        <w:snapToGrid w:val="0"/>
        <w:spacing w:line="500" w:lineRule="exact"/>
        <w:ind w:firstLine="120" w:firstLineChars="50"/>
        <w:rPr>
          <w:rFonts w:hint="eastAsia" w:ascii="宋体" w:hAnsi="宋体" w:eastAsia="宋体" w:cs="宋体"/>
          <w:sz w:val="24"/>
          <w:szCs w:val="24"/>
          <w:u w:val="non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917,300.00</w:t>
      </w:r>
      <w:r>
        <w:rPr>
          <w:rFonts w:hint="eastAsia" w:ascii="宋体" w:hAnsi="宋体" w:eastAsia="宋体" w:cs="宋体"/>
          <w:sz w:val="24"/>
          <w:szCs w:val="24"/>
          <w:u w:val="none"/>
        </w:rPr>
        <w:t>元</w:t>
      </w:r>
    </w:p>
    <w:p w14:paraId="78FE29D1">
      <w:pPr>
        <w:kinsoku w:val="0"/>
        <w:snapToGrid w:val="0"/>
        <w:spacing w:line="500" w:lineRule="exact"/>
        <w:ind w:firstLine="120" w:firstLineChars="50"/>
        <w:rPr>
          <w:rFonts w:hint="default" w:ascii="宋体" w:hAnsi="宋体" w:cs="宋体"/>
          <w:sz w:val="24"/>
          <w:szCs w:val="24"/>
          <w:u w:val="single"/>
          <w:lang w:val="en-US" w:eastAsia="zh-CN"/>
        </w:rPr>
      </w:pPr>
      <w:r>
        <w:rPr>
          <w:rFonts w:hint="eastAsia" w:ascii="宋体" w:hAnsi="宋体" w:cs="宋体"/>
          <w:sz w:val="24"/>
          <w:szCs w:val="24"/>
          <w:u w:val="none"/>
          <w:lang w:val="en-US" w:eastAsia="zh-CN"/>
        </w:rPr>
        <w:t>最高限价：</w:t>
      </w:r>
      <w:r>
        <w:rPr>
          <w:rFonts w:hint="eastAsia" w:ascii="宋体" w:hAnsi="宋体" w:cs="宋体"/>
          <w:sz w:val="24"/>
          <w:szCs w:val="24"/>
          <w:u w:val="single"/>
          <w:lang w:val="en-US" w:eastAsia="zh-CN"/>
        </w:rPr>
        <w:t>￥844,244.57元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10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054"/>
        <w:gridCol w:w="1514"/>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054"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宋体" w:hAnsi="宋体" w:cs="宋体"/>
                <w:b/>
                <w:sz w:val="24"/>
                <w:szCs w:val="24"/>
                <w:lang w:val="en-US" w:eastAsia="zh-CN"/>
              </w:rPr>
              <w:t>供</w:t>
            </w:r>
            <w:r>
              <w:rPr>
                <w:rFonts w:hint="eastAsia" w:ascii="宋体" w:hAnsi="宋体" w:eastAsia="宋体" w:cs="宋体"/>
                <w:b/>
                <w:sz w:val="24"/>
                <w:szCs w:val="24"/>
              </w:rPr>
              <w:t>货期</w:t>
            </w:r>
            <w:r>
              <w:rPr>
                <w:rFonts w:hint="eastAsia" w:ascii="宋体" w:hAnsi="宋体" w:eastAsia="宋体" w:cs="宋体"/>
                <w:b/>
                <w:spacing w:val="-20"/>
                <w:sz w:val="24"/>
                <w:szCs w:val="24"/>
              </w:rPr>
              <w:t>（</w:t>
            </w:r>
            <w:r>
              <w:rPr>
                <w:rFonts w:hint="eastAsia" w:ascii="宋体" w:hAnsi="宋体" w:cs="宋体"/>
                <w:b/>
                <w:spacing w:val="-20"/>
                <w:sz w:val="24"/>
                <w:szCs w:val="24"/>
                <w:lang w:val="en-US" w:eastAsia="zh-CN"/>
              </w:rPr>
              <w:t>日</w:t>
            </w:r>
            <w:r>
              <w:rPr>
                <w:rFonts w:hint="eastAsia" w:ascii="宋体" w:hAnsi="宋体" w:eastAsia="宋体" w:cs="宋体"/>
                <w:b/>
                <w:spacing w:val="-20"/>
                <w:sz w:val="24"/>
                <w:szCs w:val="24"/>
              </w:rPr>
              <w:t>）</w:t>
            </w:r>
          </w:p>
        </w:tc>
        <w:tc>
          <w:tcPr>
            <w:tcW w:w="1514" w:type="dxa"/>
            <w:tcMar>
              <w:top w:w="57" w:type="dxa"/>
              <w:left w:w="28" w:type="dxa"/>
              <w:bottom w:w="57" w:type="dxa"/>
              <w:right w:w="28" w:type="dxa"/>
            </w:tcMar>
            <w:vAlign w:val="center"/>
          </w:tcPr>
          <w:p w14:paraId="3202118D">
            <w:pPr>
              <w:snapToGrid w:val="0"/>
              <w:spacing w:line="500" w:lineRule="exact"/>
              <w:jc w:val="center"/>
              <w:rPr>
                <w:rFonts w:hint="eastAsia" w:ascii="仿宋" w:hAnsi="仿宋" w:eastAsia="仿宋" w:cs="仿宋"/>
                <w:b/>
                <w:sz w:val="28"/>
                <w:szCs w:val="28"/>
                <w:lang w:eastAsia="zh-CN"/>
              </w:rPr>
            </w:pPr>
            <w:r>
              <w:rPr>
                <w:rFonts w:hint="eastAsia" w:ascii="宋体" w:hAnsi="宋体" w:cs="宋体"/>
                <w:b/>
                <w:spacing w:val="-20"/>
                <w:sz w:val="24"/>
                <w:szCs w:val="24"/>
                <w:lang w:val="en-US" w:eastAsia="zh-CN"/>
              </w:rPr>
              <w:t>质保</w:t>
            </w:r>
            <w:r>
              <w:rPr>
                <w:rFonts w:hint="eastAsia" w:ascii="宋体" w:hAnsi="宋体" w:eastAsia="宋体" w:cs="宋体"/>
                <w:b/>
                <w:spacing w:val="-20"/>
                <w:sz w:val="24"/>
                <w:szCs w:val="24"/>
              </w:rPr>
              <w:t>期（</w:t>
            </w:r>
            <w:r>
              <w:rPr>
                <w:rFonts w:hint="eastAsia" w:ascii="宋体" w:hAnsi="宋体" w:cs="宋体"/>
                <w:b/>
                <w:spacing w:val="-20"/>
                <w:sz w:val="24"/>
                <w:szCs w:val="24"/>
                <w:lang w:val="en-US" w:eastAsia="zh-CN"/>
              </w:rPr>
              <w:t>年</w:t>
            </w:r>
            <w:r>
              <w:rPr>
                <w:rFonts w:hint="eastAsia" w:ascii="宋体" w:hAnsi="宋体" w:eastAsia="宋体" w:cs="宋体"/>
                <w:b/>
                <w:spacing w:val="-20"/>
                <w:sz w:val="24"/>
                <w:szCs w:val="24"/>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甘泉下寺湾中心卫生院康复医学科建设项目医疗设备购置</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054" w:type="dxa"/>
            <w:vAlign w:val="center"/>
          </w:tcPr>
          <w:p w14:paraId="34BCD603">
            <w:pPr>
              <w:snapToGrid w:val="0"/>
              <w:spacing w:line="500" w:lineRule="exact"/>
              <w:jc w:val="left"/>
              <w:rPr>
                <w:rFonts w:ascii="仿宋" w:hAnsi="仿宋" w:eastAsia="仿宋" w:cs="仿宋"/>
                <w:bCs/>
                <w:sz w:val="28"/>
                <w:szCs w:val="28"/>
              </w:rPr>
            </w:pPr>
          </w:p>
        </w:tc>
        <w:tc>
          <w:tcPr>
            <w:tcW w:w="1514" w:type="dxa"/>
            <w:tcMar>
              <w:top w:w="57" w:type="dxa"/>
              <w:left w:w="28" w:type="dxa"/>
              <w:bottom w:w="57" w:type="dxa"/>
              <w:right w:w="28" w:type="dxa"/>
            </w:tcMar>
            <w:vAlign w:val="center"/>
          </w:tcPr>
          <w:p w14:paraId="530EE48D">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377BF390">
            <w:pPr>
              <w:snapToGrid w:val="0"/>
              <w:spacing w:line="500" w:lineRule="exact"/>
              <w:jc w:val="center"/>
              <w:rPr>
                <w:rFonts w:ascii="仿宋" w:hAnsi="仿宋" w:eastAsia="仿宋" w:cs="仿宋"/>
                <w:b/>
                <w:sz w:val="28"/>
                <w:szCs w:val="28"/>
              </w:rPr>
            </w:pPr>
          </w:p>
        </w:tc>
      </w:tr>
      <w:tr w14:paraId="200834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1014" w:type="dxa"/>
            <w:gridSpan w:val="5"/>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5DD28BC7">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13"/>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13"/>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13"/>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13"/>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13"/>
        </w:numPr>
        <w:snapToGrid w:val="0"/>
        <w:spacing w:line="500" w:lineRule="exact"/>
        <w:ind w:firstLine="702" w:firstLineChars="333"/>
        <w:rPr>
          <w:rFonts w:hint="eastAsia" w:ascii="宋体" w:hAnsi="宋体" w:eastAsia="宋体" w:cs="宋体"/>
          <w:b/>
          <w:bCs/>
          <w:szCs w:val="21"/>
        </w:rPr>
        <w:sectPr>
          <w:pgSz w:w="11906" w:h="16838"/>
          <w:pgMar w:top="1418" w:right="1418" w:bottom="1418"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882"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1837"/>
        <w:gridCol w:w="1173"/>
        <w:gridCol w:w="1201"/>
        <w:gridCol w:w="1566"/>
        <w:gridCol w:w="1408"/>
        <w:gridCol w:w="1292"/>
        <w:gridCol w:w="1535"/>
        <w:gridCol w:w="1430"/>
        <w:gridCol w:w="1481"/>
      </w:tblGrid>
      <w:tr w14:paraId="1BE67F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29" w:type="pct"/>
            <w:noWrap w:val="0"/>
            <w:vAlign w:val="center"/>
          </w:tcPr>
          <w:p w14:paraId="2D176E5A">
            <w:pPr>
              <w:jc w:val="left"/>
              <w:rPr>
                <w:rFonts w:hint="eastAsia" w:ascii="Calibri" w:hAnsi="Calibri" w:cs="Times New Roman"/>
                <w:b/>
                <w:color w:val="000000"/>
              </w:rPr>
            </w:pPr>
            <w:r>
              <w:rPr>
                <w:rFonts w:hint="eastAsia" w:ascii="Calibri" w:hAnsi="Calibri" w:cs="Times New Roman"/>
                <w:b/>
                <w:color w:val="000000"/>
              </w:rPr>
              <w:t>序号</w:t>
            </w:r>
          </w:p>
        </w:tc>
        <w:tc>
          <w:tcPr>
            <w:tcW w:w="664" w:type="pct"/>
            <w:noWrap w:val="0"/>
            <w:vAlign w:val="center"/>
          </w:tcPr>
          <w:p w14:paraId="276A8CA0">
            <w:pPr>
              <w:jc w:val="center"/>
              <w:rPr>
                <w:rFonts w:hint="eastAsia" w:ascii="Calibri" w:hAnsi="Calibri" w:cs="Times New Roman"/>
                <w:b/>
                <w:color w:val="000000"/>
              </w:rPr>
            </w:pPr>
            <w:r>
              <w:rPr>
                <w:rFonts w:hint="eastAsia" w:ascii="Calibri" w:hAnsi="Calibri" w:cs="Times New Roman"/>
                <w:b/>
                <w:color w:val="000000"/>
                <w:lang w:val="en-US" w:eastAsia="zh-CN"/>
              </w:rPr>
              <w:t xml:space="preserve">分 项 </w:t>
            </w:r>
            <w:r>
              <w:rPr>
                <w:rFonts w:hint="eastAsia" w:ascii="Calibri" w:hAnsi="Calibri" w:cs="Times New Roman"/>
                <w:b/>
                <w:color w:val="000000"/>
              </w:rPr>
              <w:t>名 称</w:t>
            </w:r>
          </w:p>
        </w:tc>
        <w:tc>
          <w:tcPr>
            <w:tcW w:w="424" w:type="pct"/>
            <w:noWrap w:val="0"/>
            <w:vAlign w:val="center"/>
          </w:tcPr>
          <w:p w14:paraId="7AC48DF8">
            <w:pPr>
              <w:jc w:val="center"/>
              <w:rPr>
                <w:rFonts w:hint="eastAsia" w:ascii="Calibri" w:hAnsi="Calibri" w:cs="Times New Roman"/>
                <w:b/>
                <w:color w:val="000000"/>
                <w:lang w:val="en-US" w:eastAsia="zh-CN"/>
              </w:rPr>
            </w:pPr>
            <w:r>
              <w:rPr>
                <w:rFonts w:hint="eastAsia" w:ascii="Calibri" w:hAnsi="Calibri" w:cs="Times New Roman"/>
                <w:b/>
                <w:color w:val="000000"/>
              </w:rPr>
              <w:t>制造</w:t>
            </w:r>
            <w:r>
              <w:rPr>
                <w:rFonts w:hint="eastAsia" w:ascii="Calibri" w:hAnsi="Calibri" w:cs="Times New Roman"/>
                <w:b/>
                <w:color w:val="000000"/>
                <w:lang w:val="en-US" w:eastAsia="zh-CN"/>
              </w:rPr>
              <w:t>商</w:t>
            </w:r>
          </w:p>
          <w:p w14:paraId="4D2EF358">
            <w:pPr>
              <w:jc w:val="center"/>
              <w:rPr>
                <w:rFonts w:hint="default" w:ascii="Calibri" w:hAnsi="Calibri" w:cs="Times New Roman"/>
                <w:b/>
                <w:color w:val="000000"/>
                <w:lang w:val="en-US"/>
              </w:rPr>
            </w:pPr>
            <w:r>
              <w:rPr>
                <w:rFonts w:hint="eastAsia" w:ascii="Calibri" w:hAnsi="Calibri" w:cs="Times New Roman"/>
                <w:b/>
                <w:color w:val="000000"/>
                <w:lang w:val="en-US" w:eastAsia="zh-CN"/>
              </w:rPr>
              <w:t>名称</w:t>
            </w:r>
          </w:p>
        </w:tc>
        <w:tc>
          <w:tcPr>
            <w:tcW w:w="434" w:type="pct"/>
            <w:noWrap w:val="0"/>
            <w:vAlign w:val="center"/>
          </w:tcPr>
          <w:p w14:paraId="12813D70">
            <w:pPr>
              <w:jc w:val="center"/>
              <w:rPr>
                <w:rFonts w:hint="eastAsia" w:ascii="Calibri" w:hAnsi="Calibri" w:eastAsia="宋体" w:cs="Times New Roman"/>
                <w:b/>
                <w:color w:val="000000"/>
              </w:rPr>
            </w:pPr>
            <w:r>
              <w:rPr>
                <w:rFonts w:hint="eastAsia" w:ascii="Calibri" w:hAnsi="Calibri" w:eastAsia="宋体" w:cs="Times New Roman"/>
                <w:b/>
                <w:color w:val="000000"/>
              </w:rPr>
              <w:t>制造商</w:t>
            </w:r>
          </w:p>
          <w:p w14:paraId="75177D7D">
            <w:pPr>
              <w:jc w:val="center"/>
              <w:rPr>
                <w:rFonts w:hint="eastAsia" w:ascii="Calibri" w:hAnsi="Calibri" w:cs="Times New Roman"/>
                <w:b/>
                <w:color w:val="000000"/>
              </w:rPr>
            </w:pPr>
            <w:r>
              <w:rPr>
                <w:rFonts w:hint="eastAsia" w:ascii="Calibri" w:hAnsi="Calibri" w:eastAsia="宋体" w:cs="Times New Roman"/>
                <w:b/>
                <w:color w:val="000000"/>
              </w:rPr>
              <w:t>规模</w:t>
            </w:r>
          </w:p>
        </w:tc>
        <w:tc>
          <w:tcPr>
            <w:tcW w:w="566" w:type="pct"/>
            <w:noWrap w:val="0"/>
            <w:vAlign w:val="center"/>
          </w:tcPr>
          <w:p w14:paraId="1C59F1E8">
            <w:pPr>
              <w:jc w:val="center"/>
              <w:rPr>
                <w:rFonts w:hint="eastAsia" w:ascii="Calibri" w:hAnsi="Calibri" w:cs="Times New Roman"/>
                <w:b/>
                <w:color w:val="000000"/>
              </w:rPr>
            </w:pPr>
            <w:r>
              <w:rPr>
                <w:rFonts w:hint="eastAsia" w:ascii="Calibri" w:hAnsi="Calibri" w:cs="Times New Roman"/>
                <w:b/>
                <w:color w:val="000000"/>
              </w:rPr>
              <w:t>品牌</w:t>
            </w:r>
            <w:r>
              <w:rPr>
                <w:rFonts w:hint="eastAsia" w:ascii="Calibri" w:hAnsi="Calibri" w:cs="Times New Roman"/>
                <w:b/>
                <w:color w:val="000000"/>
                <w:lang w:val="en-US" w:eastAsia="zh-CN"/>
              </w:rPr>
              <w:t>/</w:t>
            </w:r>
            <w:r>
              <w:rPr>
                <w:rFonts w:hint="eastAsia" w:ascii="Calibri" w:hAnsi="Calibri" w:cs="Times New Roman"/>
                <w:b/>
                <w:color w:val="000000"/>
              </w:rPr>
              <w:t>型号</w:t>
            </w:r>
          </w:p>
        </w:tc>
        <w:tc>
          <w:tcPr>
            <w:tcW w:w="509" w:type="pct"/>
            <w:noWrap w:val="0"/>
            <w:vAlign w:val="center"/>
          </w:tcPr>
          <w:p w14:paraId="64F70AA1">
            <w:pPr>
              <w:jc w:val="center"/>
              <w:rPr>
                <w:rFonts w:hint="eastAsia" w:ascii="Calibri" w:hAnsi="Calibri" w:cs="Times New Roman"/>
                <w:b/>
                <w:color w:val="000000"/>
              </w:rPr>
            </w:pPr>
            <w:r>
              <w:rPr>
                <w:rFonts w:hint="eastAsia" w:ascii="Calibri" w:hAnsi="Calibri" w:cs="Times New Roman"/>
                <w:b/>
                <w:color w:val="000000"/>
                <w:lang w:val="en-US" w:eastAsia="zh-CN"/>
              </w:rPr>
              <w:t>技术</w:t>
            </w:r>
            <w:r>
              <w:rPr>
                <w:rFonts w:hint="eastAsia" w:ascii="Calibri" w:hAnsi="Calibri" w:cs="Times New Roman"/>
                <w:b/>
                <w:color w:val="000000"/>
              </w:rPr>
              <w:t>参数说明</w:t>
            </w:r>
          </w:p>
        </w:tc>
        <w:tc>
          <w:tcPr>
            <w:tcW w:w="467" w:type="pct"/>
            <w:noWrap w:val="0"/>
            <w:tcMar>
              <w:top w:w="28" w:type="dxa"/>
              <w:left w:w="57" w:type="dxa"/>
              <w:bottom w:w="28" w:type="dxa"/>
              <w:right w:w="57" w:type="dxa"/>
            </w:tcMar>
            <w:vAlign w:val="center"/>
          </w:tcPr>
          <w:p w14:paraId="38ECE4FA">
            <w:pPr>
              <w:jc w:val="center"/>
              <w:rPr>
                <w:rFonts w:hint="eastAsia" w:ascii="Calibri" w:hAnsi="Calibri" w:cs="Times New Roman"/>
                <w:b/>
                <w:color w:val="000000"/>
              </w:rPr>
            </w:pPr>
            <w:r>
              <w:rPr>
                <w:rFonts w:hint="eastAsia" w:ascii="Calibri" w:hAnsi="Calibri" w:cs="Times New Roman"/>
                <w:b/>
                <w:color w:val="000000"/>
              </w:rPr>
              <w:t>单位/数量</w:t>
            </w:r>
          </w:p>
        </w:tc>
        <w:tc>
          <w:tcPr>
            <w:tcW w:w="555" w:type="pct"/>
            <w:noWrap w:val="0"/>
            <w:tcMar>
              <w:top w:w="28" w:type="dxa"/>
              <w:left w:w="57" w:type="dxa"/>
              <w:bottom w:w="28" w:type="dxa"/>
              <w:right w:w="57" w:type="dxa"/>
            </w:tcMar>
            <w:vAlign w:val="center"/>
          </w:tcPr>
          <w:p w14:paraId="08542BB7">
            <w:pPr>
              <w:ind w:firstLine="628" w:firstLineChars="298"/>
              <w:rPr>
                <w:rFonts w:hint="eastAsia" w:ascii="Calibri" w:hAnsi="Calibri" w:cs="Times New Roman"/>
                <w:b/>
                <w:color w:val="000000"/>
              </w:rPr>
            </w:pPr>
            <w:r>
              <w:rPr>
                <w:rFonts w:hint="eastAsia" w:ascii="Calibri" w:hAnsi="Calibri" w:cs="Times New Roman"/>
                <w:b/>
                <w:color w:val="000000"/>
              </w:rPr>
              <w:t>单价</w:t>
            </w:r>
          </w:p>
          <w:p w14:paraId="78BAB898">
            <w:pPr>
              <w:jc w:val="center"/>
              <w:rPr>
                <w:rFonts w:hint="eastAsia" w:ascii="Calibri" w:hAnsi="Calibri" w:cs="Times New Roman"/>
                <w:b/>
                <w:color w:val="000000"/>
              </w:rPr>
            </w:pPr>
            <w:r>
              <w:rPr>
                <w:rFonts w:hint="eastAsia" w:ascii="Calibri" w:hAnsi="Calibri" w:cs="Times New Roman"/>
                <w:b/>
                <w:color w:val="000000"/>
              </w:rPr>
              <w:t>（人民币元）</w:t>
            </w:r>
          </w:p>
        </w:tc>
        <w:tc>
          <w:tcPr>
            <w:tcW w:w="517" w:type="pct"/>
            <w:noWrap w:val="0"/>
            <w:tcMar>
              <w:top w:w="28" w:type="dxa"/>
              <w:left w:w="57" w:type="dxa"/>
              <w:bottom w:w="28" w:type="dxa"/>
              <w:right w:w="57" w:type="dxa"/>
            </w:tcMar>
            <w:vAlign w:val="center"/>
          </w:tcPr>
          <w:p w14:paraId="688F88F6">
            <w:pPr>
              <w:jc w:val="center"/>
              <w:rPr>
                <w:rFonts w:hint="eastAsia" w:ascii="Calibri" w:hAnsi="Calibri" w:cs="Times New Roman"/>
                <w:b/>
                <w:color w:val="000000"/>
              </w:rPr>
            </w:pPr>
            <w:r>
              <w:rPr>
                <w:rFonts w:hint="eastAsia" w:ascii="Calibri" w:hAnsi="Calibri" w:cs="Times New Roman"/>
                <w:b/>
                <w:color w:val="000000"/>
              </w:rPr>
              <w:t>合价</w:t>
            </w:r>
          </w:p>
          <w:p w14:paraId="42BB21D4">
            <w:pPr>
              <w:jc w:val="center"/>
              <w:rPr>
                <w:rFonts w:hint="default" w:ascii="Calibri" w:hAnsi="Calibri" w:eastAsia="宋体" w:cs="Times New Roman"/>
                <w:b/>
                <w:color w:val="000000"/>
                <w:lang w:val="en-US" w:eastAsia="zh-CN"/>
              </w:rPr>
            </w:pPr>
            <w:r>
              <w:rPr>
                <w:rFonts w:hint="eastAsia" w:ascii="Calibri" w:hAnsi="Calibri" w:cs="Times New Roman"/>
                <w:b/>
                <w:color w:val="000000"/>
              </w:rPr>
              <w:t>（人民币元）</w:t>
            </w:r>
          </w:p>
        </w:tc>
        <w:tc>
          <w:tcPr>
            <w:tcW w:w="530" w:type="pct"/>
            <w:noWrap w:val="0"/>
            <w:tcMar>
              <w:top w:w="28" w:type="dxa"/>
              <w:left w:w="57" w:type="dxa"/>
              <w:bottom w:w="28" w:type="dxa"/>
              <w:right w:w="57" w:type="dxa"/>
            </w:tcMar>
            <w:vAlign w:val="center"/>
          </w:tcPr>
          <w:p w14:paraId="14F9C556">
            <w:pPr>
              <w:jc w:val="center"/>
              <w:rPr>
                <w:rFonts w:hint="eastAsia" w:ascii="Calibri" w:hAnsi="Calibri" w:eastAsia="宋体" w:cs="Times New Roman"/>
                <w:b/>
                <w:color w:val="000000"/>
                <w:lang w:val="en-US" w:eastAsia="zh-CN"/>
              </w:rPr>
            </w:pPr>
            <w:r>
              <w:rPr>
                <w:rFonts w:hint="eastAsia" w:ascii="Calibri" w:hAnsi="Calibri" w:eastAsia="宋体" w:cs="Times New Roman"/>
                <w:b/>
                <w:color w:val="000000"/>
                <w:lang w:val="en-US" w:eastAsia="zh-CN"/>
              </w:rPr>
              <w:t>备注</w:t>
            </w:r>
          </w:p>
        </w:tc>
      </w:tr>
      <w:tr w14:paraId="77DCA7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329" w:type="pct"/>
            <w:tcBorders>
              <w:bottom w:val="single" w:color="auto" w:sz="4" w:space="0"/>
            </w:tcBorders>
            <w:noWrap w:val="0"/>
            <w:tcMar>
              <w:left w:w="57" w:type="dxa"/>
              <w:right w:w="57" w:type="dxa"/>
            </w:tcMar>
            <w:vAlign w:val="center"/>
          </w:tcPr>
          <w:p w14:paraId="5D5CBF57">
            <w:pPr>
              <w:jc w:val="center"/>
              <w:rPr>
                <w:rFonts w:hint="eastAsia" w:ascii="Calibri" w:hAnsi="Calibri" w:eastAsia="宋体" w:cs="Times New Roman"/>
                <w:color w:val="000000"/>
                <w:lang w:val="en-US" w:eastAsia="zh-CN"/>
              </w:rPr>
            </w:pPr>
            <w:r>
              <w:rPr>
                <w:rFonts w:hint="eastAsia" w:ascii="Calibri" w:hAnsi="Calibri" w:cs="Times New Roman"/>
                <w:color w:val="000000"/>
                <w:lang w:val="en-US" w:eastAsia="zh-CN"/>
              </w:rPr>
              <w:t>1</w:t>
            </w:r>
          </w:p>
        </w:tc>
        <w:tc>
          <w:tcPr>
            <w:tcW w:w="664" w:type="pct"/>
            <w:tcBorders>
              <w:bottom w:val="single" w:color="auto" w:sz="4" w:space="0"/>
            </w:tcBorders>
            <w:noWrap w:val="0"/>
            <w:tcMar>
              <w:left w:w="57" w:type="dxa"/>
              <w:right w:w="57" w:type="dxa"/>
            </w:tcMar>
            <w:vAlign w:val="center"/>
          </w:tcPr>
          <w:p w14:paraId="3902B1FC">
            <w:pPr>
              <w:jc w:val="left"/>
              <w:rPr>
                <w:rFonts w:hint="eastAsia" w:ascii="Calibri" w:hAnsi="Calibri" w:cs="Times New Roman"/>
                <w:color w:val="000000"/>
              </w:rPr>
            </w:pPr>
          </w:p>
        </w:tc>
        <w:tc>
          <w:tcPr>
            <w:tcW w:w="424" w:type="pct"/>
            <w:tcBorders>
              <w:bottom w:val="single" w:color="auto" w:sz="4" w:space="0"/>
            </w:tcBorders>
            <w:noWrap w:val="0"/>
            <w:tcMar>
              <w:left w:w="57" w:type="dxa"/>
              <w:right w:w="57" w:type="dxa"/>
            </w:tcMar>
            <w:vAlign w:val="center"/>
          </w:tcPr>
          <w:p w14:paraId="21E965B8">
            <w:pPr>
              <w:jc w:val="left"/>
              <w:rPr>
                <w:rFonts w:hint="eastAsia" w:ascii="Calibri" w:hAnsi="Calibri" w:cs="Times New Roman"/>
                <w:color w:val="000000"/>
              </w:rPr>
            </w:pPr>
          </w:p>
        </w:tc>
        <w:tc>
          <w:tcPr>
            <w:tcW w:w="434" w:type="pct"/>
            <w:tcBorders>
              <w:bottom w:val="single" w:color="auto" w:sz="4" w:space="0"/>
            </w:tcBorders>
            <w:noWrap w:val="0"/>
            <w:tcMar>
              <w:left w:w="57" w:type="dxa"/>
              <w:right w:w="57" w:type="dxa"/>
            </w:tcMar>
            <w:vAlign w:val="center"/>
          </w:tcPr>
          <w:p w14:paraId="26463179">
            <w:pPr>
              <w:jc w:val="left"/>
              <w:rPr>
                <w:rFonts w:hint="eastAsia" w:ascii="Calibri" w:hAnsi="Calibri" w:cs="Times New Roman"/>
                <w:color w:val="000000"/>
              </w:rPr>
            </w:pPr>
          </w:p>
        </w:tc>
        <w:tc>
          <w:tcPr>
            <w:tcW w:w="566" w:type="pct"/>
            <w:tcBorders>
              <w:bottom w:val="single" w:color="auto" w:sz="4" w:space="0"/>
            </w:tcBorders>
            <w:noWrap w:val="0"/>
            <w:tcMar>
              <w:left w:w="57" w:type="dxa"/>
              <w:right w:w="57" w:type="dxa"/>
            </w:tcMar>
            <w:vAlign w:val="center"/>
          </w:tcPr>
          <w:p w14:paraId="114B0279">
            <w:pPr>
              <w:jc w:val="left"/>
              <w:rPr>
                <w:rFonts w:hint="eastAsia" w:ascii="Calibri" w:hAnsi="Calibri" w:cs="Times New Roman"/>
                <w:color w:val="000000"/>
              </w:rPr>
            </w:pPr>
          </w:p>
        </w:tc>
        <w:tc>
          <w:tcPr>
            <w:tcW w:w="509" w:type="pct"/>
            <w:tcBorders>
              <w:bottom w:val="single" w:color="auto" w:sz="4" w:space="0"/>
            </w:tcBorders>
            <w:noWrap w:val="0"/>
            <w:tcMar>
              <w:left w:w="57" w:type="dxa"/>
              <w:right w:w="57" w:type="dxa"/>
            </w:tcMar>
            <w:vAlign w:val="center"/>
          </w:tcPr>
          <w:p w14:paraId="1F3E5862">
            <w:pPr>
              <w:jc w:val="left"/>
              <w:rPr>
                <w:rFonts w:hint="eastAsia" w:ascii="Calibri" w:hAnsi="Calibri" w:cs="Times New Roman"/>
                <w:color w:val="000000"/>
              </w:rPr>
            </w:pPr>
          </w:p>
        </w:tc>
        <w:tc>
          <w:tcPr>
            <w:tcW w:w="467" w:type="pct"/>
            <w:tcBorders>
              <w:bottom w:val="single" w:color="auto" w:sz="4" w:space="0"/>
            </w:tcBorders>
            <w:noWrap w:val="0"/>
            <w:tcMar>
              <w:left w:w="57" w:type="dxa"/>
              <w:right w:w="57" w:type="dxa"/>
            </w:tcMar>
            <w:vAlign w:val="top"/>
          </w:tcPr>
          <w:p w14:paraId="53382F7F">
            <w:pPr>
              <w:jc w:val="left"/>
              <w:rPr>
                <w:rFonts w:hint="eastAsia" w:ascii="Calibri" w:hAnsi="Calibri" w:cs="Times New Roman"/>
                <w:color w:val="000000"/>
              </w:rPr>
            </w:pPr>
          </w:p>
        </w:tc>
        <w:tc>
          <w:tcPr>
            <w:tcW w:w="555" w:type="pct"/>
            <w:tcBorders>
              <w:bottom w:val="single" w:color="auto" w:sz="4" w:space="0"/>
            </w:tcBorders>
            <w:noWrap w:val="0"/>
            <w:tcMar>
              <w:left w:w="57" w:type="dxa"/>
              <w:right w:w="57" w:type="dxa"/>
            </w:tcMar>
            <w:vAlign w:val="center"/>
          </w:tcPr>
          <w:p w14:paraId="6B6A175E">
            <w:pPr>
              <w:jc w:val="left"/>
              <w:rPr>
                <w:rFonts w:hint="eastAsia" w:ascii="Calibri" w:hAnsi="Calibri" w:cs="Times New Roman"/>
                <w:color w:val="000000"/>
              </w:rPr>
            </w:pPr>
          </w:p>
        </w:tc>
        <w:tc>
          <w:tcPr>
            <w:tcW w:w="517" w:type="pct"/>
            <w:tcBorders>
              <w:bottom w:val="single" w:color="auto" w:sz="4" w:space="0"/>
            </w:tcBorders>
            <w:noWrap w:val="0"/>
            <w:tcMar>
              <w:left w:w="57" w:type="dxa"/>
              <w:right w:w="57" w:type="dxa"/>
            </w:tcMar>
            <w:vAlign w:val="center"/>
          </w:tcPr>
          <w:p w14:paraId="1190B7D8">
            <w:pPr>
              <w:jc w:val="left"/>
              <w:rPr>
                <w:rFonts w:hint="eastAsia" w:ascii="Calibri" w:hAnsi="Calibri" w:cs="Times New Roman"/>
                <w:color w:val="000000"/>
              </w:rPr>
            </w:pPr>
          </w:p>
        </w:tc>
        <w:tc>
          <w:tcPr>
            <w:tcW w:w="530" w:type="pct"/>
            <w:tcBorders>
              <w:bottom w:val="single" w:color="auto" w:sz="4" w:space="0"/>
            </w:tcBorders>
            <w:noWrap w:val="0"/>
            <w:tcMar>
              <w:left w:w="57" w:type="dxa"/>
              <w:right w:w="57" w:type="dxa"/>
            </w:tcMar>
            <w:vAlign w:val="center"/>
          </w:tcPr>
          <w:p w14:paraId="0CA8F923">
            <w:pPr>
              <w:jc w:val="left"/>
              <w:rPr>
                <w:rFonts w:hint="eastAsia" w:ascii="Calibri" w:hAnsi="Calibri" w:cs="Times New Roman"/>
                <w:color w:val="000000"/>
              </w:rPr>
            </w:pPr>
          </w:p>
        </w:tc>
      </w:tr>
      <w:tr w14:paraId="44D1A4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29" w:type="pct"/>
            <w:tcBorders>
              <w:bottom w:val="single" w:color="auto" w:sz="4" w:space="0"/>
            </w:tcBorders>
            <w:noWrap w:val="0"/>
            <w:tcMar>
              <w:left w:w="57" w:type="dxa"/>
              <w:right w:w="57" w:type="dxa"/>
            </w:tcMar>
            <w:vAlign w:val="center"/>
          </w:tcPr>
          <w:p w14:paraId="4CDA75BF">
            <w:pPr>
              <w:jc w:val="center"/>
              <w:rPr>
                <w:rFonts w:hint="eastAsia" w:ascii="Calibri" w:hAnsi="Calibri" w:eastAsia="宋体" w:cs="Times New Roman"/>
                <w:color w:val="000000"/>
                <w:lang w:val="en-US" w:eastAsia="zh-CN"/>
              </w:rPr>
            </w:pPr>
            <w:r>
              <w:rPr>
                <w:rFonts w:hint="eastAsia" w:ascii="Calibri" w:hAnsi="Calibri" w:cs="Times New Roman"/>
                <w:color w:val="000000"/>
                <w:lang w:val="en-US" w:eastAsia="zh-CN"/>
              </w:rPr>
              <w:t>2</w:t>
            </w:r>
          </w:p>
        </w:tc>
        <w:tc>
          <w:tcPr>
            <w:tcW w:w="664" w:type="pct"/>
            <w:tcBorders>
              <w:bottom w:val="single" w:color="auto" w:sz="4" w:space="0"/>
            </w:tcBorders>
            <w:noWrap w:val="0"/>
            <w:tcMar>
              <w:left w:w="57" w:type="dxa"/>
              <w:right w:w="57" w:type="dxa"/>
            </w:tcMar>
            <w:vAlign w:val="center"/>
          </w:tcPr>
          <w:p w14:paraId="5FB0F4C6">
            <w:pPr>
              <w:jc w:val="left"/>
              <w:rPr>
                <w:rFonts w:hint="eastAsia" w:ascii="Calibri" w:hAnsi="Calibri" w:cs="Times New Roman"/>
                <w:color w:val="000000"/>
              </w:rPr>
            </w:pPr>
          </w:p>
        </w:tc>
        <w:tc>
          <w:tcPr>
            <w:tcW w:w="424" w:type="pct"/>
            <w:tcBorders>
              <w:bottom w:val="single" w:color="auto" w:sz="4" w:space="0"/>
            </w:tcBorders>
            <w:noWrap w:val="0"/>
            <w:tcMar>
              <w:left w:w="57" w:type="dxa"/>
              <w:right w:w="57" w:type="dxa"/>
            </w:tcMar>
            <w:vAlign w:val="center"/>
          </w:tcPr>
          <w:p w14:paraId="26AFEC48">
            <w:pPr>
              <w:jc w:val="left"/>
              <w:rPr>
                <w:rFonts w:hint="eastAsia" w:ascii="Calibri" w:hAnsi="Calibri" w:cs="Times New Roman"/>
                <w:color w:val="000000"/>
              </w:rPr>
            </w:pPr>
          </w:p>
        </w:tc>
        <w:tc>
          <w:tcPr>
            <w:tcW w:w="434" w:type="pct"/>
            <w:tcBorders>
              <w:bottom w:val="single" w:color="auto" w:sz="4" w:space="0"/>
            </w:tcBorders>
            <w:noWrap w:val="0"/>
            <w:tcMar>
              <w:left w:w="57" w:type="dxa"/>
              <w:right w:w="57" w:type="dxa"/>
            </w:tcMar>
            <w:vAlign w:val="center"/>
          </w:tcPr>
          <w:p w14:paraId="38C5D5A5">
            <w:pPr>
              <w:jc w:val="left"/>
              <w:rPr>
                <w:rFonts w:hint="eastAsia" w:ascii="Calibri" w:hAnsi="Calibri" w:cs="Times New Roman"/>
                <w:color w:val="000000"/>
              </w:rPr>
            </w:pPr>
          </w:p>
        </w:tc>
        <w:tc>
          <w:tcPr>
            <w:tcW w:w="566" w:type="pct"/>
            <w:tcBorders>
              <w:bottom w:val="single" w:color="auto" w:sz="4" w:space="0"/>
            </w:tcBorders>
            <w:noWrap w:val="0"/>
            <w:tcMar>
              <w:left w:w="57" w:type="dxa"/>
              <w:right w:w="57" w:type="dxa"/>
            </w:tcMar>
            <w:vAlign w:val="center"/>
          </w:tcPr>
          <w:p w14:paraId="3CF653AF">
            <w:pPr>
              <w:jc w:val="left"/>
              <w:rPr>
                <w:rFonts w:hint="eastAsia" w:ascii="Calibri" w:hAnsi="Calibri" w:cs="Times New Roman"/>
                <w:color w:val="000000"/>
              </w:rPr>
            </w:pPr>
          </w:p>
        </w:tc>
        <w:tc>
          <w:tcPr>
            <w:tcW w:w="509" w:type="pct"/>
            <w:tcBorders>
              <w:bottom w:val="single" w:color="auto" w:sz="4" w:space="0"/>
            </w:tcBorders>
            <w:noWrap w:val="0"/>
            <w:tcMar>
              <w:left w:w="57" w:type="dxa"/>
              <w:right w:w="57" w:type="dxa"/>
            </w:tcMar>
            <w:vAlign w:val="center"/>
          </w:tcPr>
          <w:p w14:paraId="0DF95630">
            <w:pPr>
              <w:jc w:val="left"/>
              <w:rPr>
                <w:rFonts w:hint="eastAsia" w:ascii="Calibri" w:hAnsi="Calibri" w:cs="Times New Roman"/>
                <w:color w:val="000000"/>
              </w:rPr>
            </w:pPr>
          </w:p>
        </w:tc>
        <w:tc>
          <w:tcPr>
            <w:tcW w:w="467" w:type="pct"/>
            <w:tcBorders>
              <w:bottom w:val="single" w:color="auto" w:sz="4" w:space="0"/>
            </w:tcBorders>
            <w:noWrap w:val="0"/>
            <w:tcMar>
              <w:left w:w="57" w:type="dxa"/>
              <w:right w:w="57" w:type="dxa"/>
            </w:tcMar>
            <w:vAlign w:val="top"/>
          </w:tcPr>
          <w:p w14:paraId="253BC60C">
            <w:pPr>
              <w:jc w:val="left"/>
              <w:rPr>
                <w:rFonts w:hint="eastAsia" w:ascii="Calibri" w:hAnsi="Calibri" w:cs="Times New Roman"/>
                <w:color w:val="000000"/>
              </w:rPr>
            </w:pPr>
          </w:p>
        </w:tc>
        <w:tc>
          <w:tcPr>
            <w:tcW w:w="555" w:type="pct"/>
            <w:tcBorders>
              <w:bottom w:val="single" w:color="auto" w:sz="4" w:space="0"/>
            </w:tcBorders>
            <w:noWrap w:val="0"/>
            <w:tcMar>
              <w:left w:w="57" w:type="dxa"/>
              <w:right w:w="57" w:type="dxa"/>
            </w:tcMar>
            <w:vAlign w:val="center"/>
          </w:tcPr>
          <w:p w14:paraId="289C884F">
            <w:pPr>
              <w:jc w:val="left"/>
              <w:rPr>
                <w:rFonts w:hint="eastAsia" w:ascii="Calibri" w:hAnsi="Calibri" w:cs="Times New Roman"/>
                <w:color w:val="000000"/>
              </w:rPr>
            </w:pPr>
          </w:p>
        </w:tc>
        <w:tc>
          <w:tcPr>
            <w:tcW w:w="517" w:type="pct"/>
            <w:tcBorders>
              <w:bottom w:val="single" w:color="auto" w:sz="4" w:space="0"/>
            </w:tcBorders>
            <w:noWrap w:val="0"/>
            <w:tcMar>
              <w:left w:w="57" w:type="dxa"/>
              <w:right w:w="57" w:type="dxa"/>
            </w:tcMar>
            <w:vAlign w:val="center"/>
          </w:tcPr>
          <w:p w14:paraId="4994B16E">
            <w:pPr>
              <w:jc w:val="left"/>
              <w:rPr>
                <w:rFonts w:hint="eastAsia" w:ascii="Calibri" w:hAnsi="Calibri" w:cs="Times New Roman"/>
                <w:color w:val="000000"/>
              </w:rPr>
            </w:pPr>
          </w:p>
        </w:tc>
        <w:tc>
          <w:tcPr>
            <w:tcW w:w="530" w:type="pct"/>
            <w:tcBorders>
              <w:bottom w:val="single" w:color="auto" w:sz="4" w:space="0"/>
            </w:tcBorders>
            <w:noWrap w:val="0"/>
            <w:tcMar>
              <w:left w:w="57" w:type="dxa"/>
              <w:right w:w="57" w:type="dxa"/>
            </w:tcMar>
            <w:vAlign w:val="center"/>
          </w:tcPr>
          <w:p w14:paraId="10751028">
            <w:pPr>
              <w:jc w:val="left"/>
              <w:rPr>
                <w:rFonts w:hint="eastAsia" w:ascii="Calibri" w:hAnsi="Calibri" w:cs="Times New Roman"/>
                <w:color w:val="000000"/>
              </w:rPr>
            </w:pPr>
          </w:p>
        </w:tc>
      </w:tr>
      <w:tr w14:paraId="358845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329" w:type="pct"/>
            <w:tcBorders>
              <w:bottom w:val="single" w:color="auto" w:sz="4" w:space="0"/>
            </w:tcBorders>
            <w:noWrap w:val="0"/>
            <w:tcMar>
              <w:left w:w="57" w:type="dxa"/>
              <w:right w:w="57" w:type="dxa"/>
            </w:tcMar>
            <w:vAlign w:val="center"/>
          </w:tcPr>
          <w:p w14:paraId="1650358E">
            <w:pPr>
              <w:jc w:val="center"/>
              <w:rPr>
                <w:rFonts w:hint="eastAsia" w:ascii="Calibri" w:hAnsi="Calibri" w:eastAsia="宋体" w:cs="Times New Roman"/>
                <w:color w:val="000000"/>
                <w:lang w:val="en-US" w:eastAsia="zh-CN"/>
              </w:rPr>
            </w:pPr>
            <w:r>
              <w:rPr>
                <w:rFonts w:hint="eastAsia" w:ascii="Calibri" w:hAnsi="Calibri" w:cs="Times New Roman"/>
                <w:color w:val="000000"/>
                <w:lang w:val="en-US" w:eastAsia="zh-CN"/>
              </w:rPr>
              <w:t>3</w:t>
            </w:r>
          </w:p>
        </w:tc>
        <w:tc>
          <w:tcPr>
            <w:tcW w:w="664" w:type="pct"/>
            <w:tcBorders>
              <w:bottom w:val="single" w:color="auto" w:sz="4" w:space="0"/>
            </w:tcBorders>
            <w:noWrap w:val="0"/>
            <w:tcMar>
              <w:left w:w="57" w:type="dxa"/>
              <w:right w:w="57" w:type="dxa"/>
            </w:tcMar>
            <w:vAlign w:val="center"/>
          </w:tcPr>
          <w:p w14:paraId="7D934192">
            <w:pPr>
              <w:jc w:val="left"/>
              <w:rPr>
                <w:rFonts w:hint="eastAsia" w:ascii="Calibri" w:hAnsi="Calibri" w:cs="Times New Roman"/>
                <w:color w:val="000000"/>
              </w:rPr>
            </w:pPr>
          </w:p>
        </w:tc>
        <w:tc>
          <w:tcPr>
            <w:tcW w:w="424" w:type="pct"/>
            <w:tcBorders>
              <w:bottom w:val="single" w:color="auto" w:sz="4" w:space="0"/>
            </w:tcBorders>
            <w:noWrap w:val="0"/>
            <w:tcMar>
              <w:left w:w="57" w:type="dxa"/>
              <w:right w:w="57" w:type="dxa"/>
            </w:tcMar>
            <w:vAlign w:val="center"/>
          </w:tcPr>
          <w:p w14:paraId="6C7453B7">
            <w:pPr>
              <w:jc w:val="left"/>
              <w:rPr>
                <w:rFonts w:hint="eastAsia" w:ascii="Calibri" w:hAnsi="Calibri" w:cs="Times New Roman"/>
                <w:color w:val="000000"/>
              </w:rPr>
            </w:pPr>
          </w:p>
        </w:tc>
        <w:tc>
          <w:tcPr>
            <w:tcW w:w="434" w:type="pct"/>
            <w:tcBorders>
              <w:bottom w:val="single" w:color="auto" w:sz="4" w:space="0"/>
            </w:tcBorders>
            <w:noWrap w:val="0"/>
            <w:tcMar>
              <w:left w:w="57" w:type="dxa"/>
              <w:right w:w="57" w:type="dxa"/>
            </w:tcMar>
            <w:vAlign w:val="center"/>
          </w:tcPr>
          <w:p w14:paraId="6F342452">
            <w:pPr>
              <w:jc w:val="left"/>
              <w:rPr>
                <w:rFonts w:hint="eastAsia" w:ascii="Calibri" w:hAnsi="Calibri" w:cs="Times New Roman"/>
                <w:color w:val="000000"/>
              </w:rPr>
            </w:pPr>
          </w:p>
        </w:tc>
        <w:tc>
          <w:tcPr>
            <w:tcW w:w="566" w:type="pct"/>
            <w:tcBorders>
              <w:bottom w:val="single" w:color="auto" w:sz="4" w:space="0"/>
            </w:tcBorders>
            <w:noWrap w:val="0"/>
            <w:tcMar>
              <w:left w:w="57" w:type="dxa"/>
              <w:right w:w="57" w:type="dxa"/>
            </w:tcMar>
            <w:vAlign w:val="center"/>
          </w:tcPr>
          <w:p w14:paraId="086A923E">
            <w:pPr>
              <w:jc w:val="left"/>
              <w:rPr>
                <w:rFonts w:hint="eastAsia" w:ascii="Calibri" w:hAnsi="Calibri" w:cs="Times New Roman"/>
                <w:color w:val="000000"/>
              </w:rPr>
            </w:pPr>
          </w:p>
        </w:tc>
        <w:tc>
          <w:tcPr>
            <w:tcW w:w="509" w:type="pct"/>
            <w:tcBorders>
              <w:bottom w:val="single" w:color="auto" w:sz="4" w:space="0"/>
            </w:tcBorders>
            <w:noWrap w:val="0"/>
            <w:tcMar>
              <w:left w:w="57" w:type="dxa"/>
              <w:right w:w="57" w:type="dxa"/>
            </w:tcMar>
            <w:vAlign w:val="center"/>
          </w:tcPr>
          <w:p w14:paraId="21DE8123">
            <w:pPr>
              <w:jc w:val="left"/>
              <w:rPr>
                <w:rFonts w:hint="eastAsia" w:ascii="Calibri" w:hAnsi="Calibri" w:cs="Times New Roman"/>
                <w:color w:val="000000"/>
              </w:rPr>
            </w:pPr>
          </w:p>
        </w:tc>
        <w:tc>
          <w:tcPr>
            <w:tcW w:w="467" w:type="pct"/>
            <w:tcBorders>
              <w:bottom w:val="single" w:color="auto" w:sz="4" w:space="0"/>
            </w:tcBorders>
            <w:noWrap w:val="0"/>
            <w:tcMar>
              <w:left w:w="57" w:type="dxa"/>
              <w:right w:w="57" w:type="dxa"/>
            </w:tcMar>
            <w:vAlign w:val="top"/>
          </w:tcPr>
          <w:p w14:paraId="635BCC32">
            <w:pPr>
              <w:jc w:val="left"/>
              <w:rPr>
                <w:rFonts w:hint="eastAsia" w:ascii="Calibri" w:hAnsi="Calibri" w:cs="Times New Roman"/>
                <w:color w:val="000000"/>
              </w:rPr>
            </w:pPr>
          </w:p>
        </w:tc>
        <w:tc>
          <w:tcPr>
            <w:tcW w:w="555" w:type="pct"/>
            <w:tcBorders>
              <w:bottom w:val="single" w:color="auto" w:sz="4" w:space="0"/>
            </w:tcBorders>
            <w:noWrap w:val="0"/>
            <w:tcMar>
              <w:left w:w="57" w:type="dxa"/>
              <w:right w:w="57" w:type="dxa"/>
            </w:tcMar>
            <w:vAlign w:val="center"/>
          </w:tcPr>
          <w:p w14:paraId="0909D317">
            <w:pPr>
              <w:jc w:val="left"/>
              <w:rPr>
                <w:rFonts w:hint="eastAsia" w:ascii="Calibri" w:hAnsi="Calibri" w:cs="Times New Roman"/>
                <w:color w:val="000000"/>
              </w:rPr>
            </w:pPr>
          </w:p>
        </w:tc>
        <w:tc>
          <w:tcPr>
            <w:tcW w:w="517" w:type="pct"/>
            <w:tcBorders>
              <w:bottom w:val="single" w:color="auto" w:sz="4" w:space="0"/>
            </w:tcBorders>
            <w:noWrap w:val="0"/>
            <w:tcMar>
              <w:left w:w="57" w:type="dxa"/>
              <w:right w:w="57" w:type="dxa"/>
            </w:tcMar>
            <w:vAlign w:val="center"/>
          </w:tcPr>
          <w:p w14:paraId="41C7209E">
            <w:pPr>
              <w:jc w:val="left"/>
              <w:rPr>
                <w:rFonts w:hint="eastAsia" w:ascii="Calibri" w:hAnsi="Calibri" w:cs="Times New Roman"/>
                <w:color w:val="000000"/>
              </w:rPr>
            </w:pPr>
          </w:p>
        </w:tc>
        <w:tc>
          <w:tcPr>
            <w:tcW w:w="530" w:type="pct"/>
            <w:tcBorders>
              <w:bottom w:val="single" w:color="auto" w:sz="4" w:space="0"/>
            </w:tcBorders>
            <w:noWrap w:val="0"/>
            <w:tcMar>
              <w:left w:w="57" w:type="dxa"/>
              <w:right w:w="57" w:type="dxa"/>
            </w:tcMar>
            <w:vAlign w:val="center"/>
          </w:tcPr>
          <w:p w14:paraId="21B127B7">
            <w:pPr>
              <w:jc w:val="left"/>
              <w:rPr>
                <w:rFonts w:hint="eastAsia" w:ascii="Calibri" w:hAnsi="Calibri" w:cs="Times New Roman"/>
                <w:color w:val="000000"/>
              </w:rPr>
            </w:pPr>
          </w:p>
        </w:tc>
      </w:tr>
      <w:tr w14:paraId="581B26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29" w:type="pct"/>
            <w:noWrap w:val="0"/>
            <w:tcMar>
              <w:left w:w="57" w:type="dxa"/>
              <w:right w:w="57" w:type="dxa"/>
            </w:tcMar>
            <w:vAlign w:val="center"/>
          </w:tcPr>
          <w:p w14:paraId="3D206C5D">
            <w:pPr>
              <w:jc w:val="center"/>
              <w:rPr>
                <w:rFonts w:hint="default" w:ascii="Calibri" w:hAnsi="Calibri" w:eastAsia="宋体" w:cs="Times New Roman"/>
                <w:color w:val="000000"/>
                <w:lang w:val="en-US" w:eastAsia="zh-CN"/>
              </w:rPr>
            </w:pPr>
            <w:r>
              <w:rPr>
                <w:rFonts w:hint="eastAsia" w:ascii="Calibri" w:hAnsi="Calibri" w:cs="Times New Roman"/>
                <w:color w:val="000000"/>
                <w:lang w:val="en-US" w:eastAsia="zh-CN"/>
              </w:rPr>
              <w:t>N...</w:t>
            </w:r>
          </w:p>
        </w:tc>
        <w:tc>
          <w:tcPr>
            <w:tcW w:w="664" w:type="pct"/>
            <w:noWrap w:val="0"/>
            <w:tcMar>
              <w:left w:w="57" w:type="dxa"/>
              <w:right w:w="57" w:type="dxa"/>
            </w:tcMar>
            <w:vAlign w:val="center"/>
          </w:tcPr>
          <w:p w14:paraId="535E11C2">
            <w:pPr>
              <w:jc w:val="left"/>
              <w:rPr>
                <w:rFonts w:hint="eastAsia" w:ascii="Calibri" w:hAnsi="Calibri" w:cs="Times New Roman"/>
                <w:color w:val="000000"/>
              </w:rPr>
            </w:pPr>
          </w:p>
        </w:tc>
        <w:tc>
          <w:tcPr>
            <w:tcW w:w="424" w:type="pct"/>
            <w:noWrap w:val="0"/>
            <w:tcMar>
              <w:left w:w="57" w:type="dxa"/>
              <w:right w:w="57" w:type="dxa"/>
            </w:tcMar>
            <w:vAlign w:val="center"/>
          </w:tcPr>
          <w:p w14:paraId="77D61BA3">
            <w:pPr>
              <w:jc w:val="left"/>
              <w:rPr>
                <w:rFonts w:hint="eastAsia" w:ascii="Calibri" w:hAnsi="Calibri" w:cs="Times New Roman"/>
                <w:color w:val="000000"/>
              </w:rPr>
            </w:pPr>
          </w:p>
        </w:tc>
        <w:tc>
          <w:tcPr>
            <w:tcW w:w="434" w:type="pct"/>
            <w:noWrap w:val="0"/>
            <w:tcMar>
              <w:left w:w="57" w:type="dxa"/>
              <w:right w:w="57" w:type="dxa"/>
            </w:tcMar>
            <w:vAlign w:val="center"/>
          </w:tcPr>
          <w:p w14:paraId="09E81C7C">
            <w:pPr>
              <w:jc w:val="left"/>
              <w:rPr>
                <w:rFonts w:hint="eastAsia" w:ascii="Calibri" w:hAnsi="Calibri" w:cs="Times New Roman"/>
                <w:color w:val="000000"/>
              </w:rPr>
            </w:pPr>
          </w:p>
        </w:tc>
        <w:tc>
          <w:tcPr>
            <w:tcW w:w="566" w:type="pct"/>
            <w:noWrap w:val="0"/>
            <w:tcMar>
              <w:left w:w="57" w:type="dxa"/>
              <w:right w:w="57" w:type="dxa"/>
            </w:tcMar>
            <w:vAlign w:val="center"/>
          </w:tcPr>
          <w:p w14:paraId="4FAA6A21">
            <w:pPr>
              <w:jc w:val="left"/>
              <w:rPr>
                <w:rFonts w:hint="eastAsia" w:ascii="Calibri" w:hAnsi="Calibri" w:cs="Times New Roman"/>
                <w:color w:val="000000"/>
              </w:rPr>
            </w:pPr>
          </w:p>
        </w:tc>
        <w:tc>
          <w:tcPr>
            <w:tcW w:w="509" w:type="pct"/>
            <w:noWrap w:val="0"/>
            <w:tcMar>
              <w:left w:w="57" w:type="dxa"/>
              <w:right w:w="57" w:type="dxa"/>
            </w:tcMar>
            <w:vAlign w:val="center"/>
          </w:tcPr>
          <w:p w14:paraId="686F1F93">
            <w:pPr>
              <w:jc w:val="left"/>
              <w:rPr>
                <w:rFonts w:hint="eastAsia" w:ascii="Calibri" w:hAnsi="Calibri" w:cs="Times New Roman"/>
                <w:color w:val="000000"/>
              </w:rPr>
            </w:pPr>
          </w:p>
        </w:tc>
        <w:tc>
          <w:tcPr>
            <w:tcW w:w="467" w:type="pct"/>
            <w:noWrap w:val="0"/>
            <w:tcMar>
              <w:left w:w="57" w:type="dxa"/>
              <w:right w:w="57" w:type="dxa"/>
            </w:tcMar>
            <w:vAlign w:val="top"/>
          </w:tcPr>
          <w:p w14:paraId="7BB69F97">
            <w:pPr>
              <w:jc w:val="left"/>
              <w:rPr>
                <w:rFonts w:hint="eastAsia" w:ascii="Calibri" w:hAnsi="Calibri" w:cs="Times New Roman"/>
                <w:color w:val="000000"/>
              </w:rPr>
            </w:pPr>
          </w:p>
        </w:tc>
        <w:tc>
          <w:tcPr>
            <w:tcW w:w="555" w:type="pct"/>
            <w:noWrap w:val="0"/>
            <w:tcMar>
              <w:left w:w="57" w:type="dxa"/>
              <w:right w:w="57" w:type="dxa"/>
            </w:tcMar>
            <w:vAlign w:val="center"/>
          </w:tcPr>
          <w:p w14:paraId="7D444234">
            <w:pPr>
              <w:jc w:val="left"/>
              <w:rPr>
                <w:rFonts w:hint="eastAsia" w:ascii="Calibri" w:hAnsi="Calibri" w:cs="Times New Roman"/>
                <w:color w:val="000000"/>
              </w:rPr>
            </w:pPr>
          </w:p>
        </w:tc>
        <w:tc>
          <w:tcPr>
            <w:tcW w:w="517" w:type="pct"/>
            <w:noWrap w:val="0"/>
            <w:tcMar>
              <w:left w:w="57" w:type="dxa"/>
              <w:right w:w="57" w:type="dxa"/>
            </w:tcMar>
            <w:vAlign w:val="center"/>
          </w:tcPr>
          <w:p w14:paraId="1E74D190">
            <w:pPr>
              <w:jc w:val="left"/>
              <w:rPr>
                <w:rFonts w:hint="eastAsia" w:ascii="Calibri" w:hAnsi="Calibri" w:cs="Times New Roman"/>
                <w:color w:val="000000"/>
              </w:rPr>
            </w:pPr>
          </w:p>
        </w:tc>
        <w:tc>
          <w:tcPr>
            <w:tcW w:w="530" w:type="pct"/>
            <w:noWrap w:val="0"/>
            <w:tcMar>
              <w:left w:w="57" w:type="dxa"/>
              <w:right w:w="57" w:type="dxa"/>
            </w:tcMar>
            <w:vAlign w:val="center"/>
          </w:tcPr>
          <w:p w14:paraId="30881AE0">
            <w:pPr>
              <w:jc w:val="left"/>
              <w:rPr>
                <w:rFonts w:hint="eastAsia" w:ascii="Calibri" w:hAnsi="Calibri" w:cs="Times New Roman"/>
                <w:color w:val="000000"/>
              </w:rPr>
            </w:pPr>
          </w:p>
        </w:tc>
      </w:tr>
      <w:tr w14:paraId="51F13E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00" w:type="pct"/>
            <w:gridSpan w:val="10"/>
            <w:noWrap w:val="0"/>
            <w:tcMar>
              <w:left w:w="57" w:type="dxa"/>
              <w:right w:w="57" w:type="dxa"/>
            </w:tcMar>
            <w:vAlign w:val="center"/>
          </w:tcPr>
          <w:p w14:paraId="7758B390">
            <w:pPr>
              <w:ind w:firstLine="2520" w:firstLineChars="1200"/>
              <w:jc w:val="left"/>
              <w:rPr>
                <w:rFonts w:hint="eastAsia" w:ascii="Calibri" w:hAnsi="Calibri" w:cs="Times New Roman"/>
                <w:color w:val="000000"/>
              </w:rPr>
            </w:pPr>
            <w:r>
              <w:rPr>
                <w:rFonts w:hint="eastAsia" w:ascii="Calibri" w:hAnsi="Calibri" w:cs="Times New Roman"/>
                <w:color w:val="000000"/>
              </w:rPr>
              <w:t>总 计（人民币元）</w:t>
            </w:r>
            <w:r>
              <w:rPr>
                <w:rFonts w:hint="eastAsia" w:ascii="Calibri" w:hAnsi="Calibri" w:cs="Times New Roman"/>
                <w:color w:val="000000"/>
                <w:lang w:val="en-US" w:eastAsia="zh-CN"/>
              </w:rPr>
              <w:t xml:space="preserve">                           </w:t>
            </w:r>
            <w:r>
              <w:rPr>
                <w:rFonts w:hint="eastAsia" w:ascii="Calibri" w:hAnsi="Calibri" w:cs="Times New Roman"/>
                <w:color w:val="000000"/>
              </w:rPr>
              <w:t>￥：</w:t>
            </w:r>
          </w:p>
        </w:tc>
      </w:tr>
    </w:tbl>
    <w:p w14:paraId="4ED34C84">
      <w:pPr>
        <w:jc w:val="left"/>
        <w:rPr>
          <w:rFonts w:hint="eastAsia" w:ascii="Calibri" w:hAnsi="Calibri" w:cs="Times New Roman"/>
          <w:b/>
          <w:bCs/>
          <w:color w:val="auto"/>
        </w:rPr>
      </w:pPr>
    </w:p>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甘泉下寺湾中心卫生院康复医学科建设项目医疗设备购置</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GZC2026-CS-065</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1、在参加本次政府采购活动前3年内的经营活动中____（填“没有”或“有”）重大违法记录。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2、我方______（填“未被列入”或“被列入”）失信被执行人名单。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CF5FE8C">
      <w:pPr>
        <w:pStyle w:val="18"/>
        <w:numPr>
          <w:ilvl w:val="0"/>
          <w:numId w:val="14"/>
        </w:numPr>
        <w:spacing w:line="360" w:lineRule="auto"/>
        <w:ind w:firstLine="0"/>
        <w:jc w:val="center"/>
        <w:rPr>
          <w:rFonts w:hint="eastAsia" w:ascii="仿宋" w:hAnsi="仿宋" w:eastAsia="仿宋" w:cs="仿宋"/>
          <w:b/>
          <w:bCs/>
          <w:kern w:val="2"/>
          <w:sz w:val="32"/>
          <w:szCs w:val="36"/>
          <w:lang w:val="zh-CN"/>
        </w:rPr>
      </w:pPr>
      <w:r>
        <w:rPr>
          <w:rFonts w:hint="eastAsia" w:ascii="仿宋" w:hAnsi="仿宋" w:eastAsia="仿宋" w:cs="仿宋"/>
          <w:b/>
          <w:bCs/>
          <w:kern w:val="2"/>
          <w:sz w:val="32"/>
          <w:szCs w:val="36"/>
          <w:lang w:val="zh-CN"/>
        </w:rPr>
        <w:t>履行合同所必需的设备和专业技术能力的说明及承诺</w:t>
      </w:r>
    </w:p>
    <w:p w14:paraId="6EBC901B">
      <w:pPr>
        <w:pStyle w:val="18"/>
        <w:numPr>
          <w:ilvl w:val="0"/>
          <w:numId w:val="0"/>
        </w:numPr>
        <w:spacing w:line="360" w:lineRule="auto"/>
        <w:jc w:val="center"/>
        <w:rPr>
          <w:rFonts w:ascii="仿宋" w:hAnsi="仿宋" w:eastAsia="仿宋" w:cs="仿宋"/>
          <w:b/>
          <w:bCs/>
          <w:kern w:val="2"/>
          <w:sz w:val="32"/>
          <w:szCs w:val="36"/>
        </w:rPr>
      </w:pP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甘泉下寺湾中心卫生院康复医学科建设项目医疗设备购置</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GZC2026-CS-065</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595ECEF8">
      <w:pPr>
        <w:spacing w:line="48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2536D9A3">
      <w:pPr>
        <w:ind w:firstLine="643" w:firstLineChars="200"/>
        <w:jc w:val="center"/>
        <w:rPr>
          <w:rFonts w:ascii="仿宋" w:hAnsi="仿宋" w:eastAsia="仿宋" w:cs="仿宋"/>
          <w:b/>
          <w:sz w:val="32"/>
          <w:szCs w:val="32"/>
        </w:rPr>
      </w:pPr>
    </w:p>
    <w:p w14:paraId="4447F803">
      <w:pPr>
        <w:ind w:firstLine="420" w:firstLineChars="200"/>
        <w:jc w:val="center"/>
        <w:rPr>
          <w:rFonts w:ascii="仿宋" w:hAnsi="仿宋" w:eastAsia="仿宋" w:cs="仿宋"/>
        </w:rPr>
      </w:pP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spacing w:after="120" w:line="360" w:lineRule="auto"/>
        <w:ind w:left="0" w:leftChars="0" w:firstLine="480" w:firstLineChars="200"/>
        <w:jc w:val="both"/>
        <w:rPr>
          <w:rFonts w:ascii="仿宋" w:hAnsi="仿宋" w:eastAsia="宋体" w:cs="仿宋"/>
          <w:b w:val="0"/>
          <w:i w:val="0"/>
          <w:strike w:val="0"/>
          <w:color w:val="auto"/>
          <w:sz w:val="24"/>
          <w:szCs w:val="32"/>
          <w:u w:val="none"/>
        </w:rPr>
      </w:pPr>
      <w:r>
        <w:rPr>
          <w:rFonts w:hint="eastAsia" w:ascii="仿宋" w:hAnsi="仿宋" w:eastAsia="宋体" w:cs="仿宋"/>
          <w:b w:val="0"/>
          <w:i w:val="0"/>
          <w:strike w:val="0"/>
          <w:color w:val="auto"/>
          <w:sz w:val="24"/>
          <w:szCs w:val="32"/>
          <w:u w:val="none"/>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甘泉下寺湾中心卫生院康复医学科建设项目医疗设备购置</w:t>
      </w:r>
      <w:r>
        <w:rPr>
          <w:rFonts w:hint="eastAsia" w:ascii="宋体" w:hAnsi="宋体" w:eastAsia="宋体" w:cs="宋体"/>
          <w:sz w:val="24"/>
        </w:rPr>
        <w:t>（项目编号：</w:t>
      </w:r>
      <w:r>
        <w:rPr>
          <w:rFonts w:hint="eastAsia" w:ascii="宋体" w:hAnsi="宋体" w:cs="宋体"/>
          <w:b/>
          <w:bCs/>
          <w:sz w:val="24"/>
          <w:lang w:eastAsia="zh-CN"/>
        </w:rPr>
        <w:t>GZC2026-CS-065</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5C157AC0">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8536" w:type="dxa"/>
        <w:jc w:val="center"/>
        <w:tblLayout w:type="fixed"/>
        <w:tblCellMar>
          <w:top w:w="0" w:type="dxa"/>
          <w:left w:w="0" w:type="dxa"/>
          <w:bottom w:w="0" w:type="dxa"/>
          <w:right w:w="0" w:type="dxa"/>
        </w:tblCellMar>
      </w:tblPr>
      <w:tblGrid>
        <w:gridCol w:w="1044"/>
        <w:gridCol w:w="1729"/>
        <w:gridCol w:w="1820"/>
        <w:gridCol w:w="1289"/>
        <w:gridCol w:w="1183"/>
        <w:gridCol w:w="1471"/>
      </w:tblGrid>
      <w:tr w14:paraId="6BC0E408">
        <w:tblPrEx>
          <w:tblCellMar>
            <w:top w:w="0" w:type="dxa"/>
            <w:left w:w="0" w:type="dxa"/>
            <w:bottom w:w="0" w:type="dxa"/>
            <w:right w:w="0" w:type="dxa"/>
          </w:tblCellMar>
        </w:tblPrEx>
        <w:trPr>
          <w:trHeight w:val="848" w:hRule="atLeast"/>
          <w:jc w:val="center"/>
        </w:trPr>
        <w:tc>
          <w:tcPr>
            <w:tcW w:w="104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F8E5F28">
            <w:pPr>
              <w:widowControl/>
              <w:spacing w:line="400" w:lineRule="exact"/>
              <w:jc w:val="center"/>
              <w:rPr>
                <w:rFonts w:hint="eastAsia" w:ascii="宋体" w:hAnsi="宋体" w:eastAsia="宋体" w:cs="宋体"/>
                <w:b/>
              </w:rPr>
            </w:pPr>
            <w:r>
              <w:rPr>
                <w:rFonts w:hint="eastAsia" w:ascii="宋体" w:hAnsi="宋体" w:eastAsia="宋体" w:cs="宋体"/>
                <w:b/>
              </w:rPr>
              <w:t>年份</w:t>
            </w:r>
          </w:p>
        </w:tc>
        <w:tc>
          <w:tcPr>
            <w:tcW w:w="172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4AF757">
            <w:pPr>
              <w:widowControl/>
              <w:spacing w:line="400" w:lineRule="exact"/>
              <w:jc w:val="center"/>
              <w:rPr>
                <w:rFonts w:hint="eastAsia" w:ascii="宋体" w:hAnsi="宋体" w:eastAsia="宋体" w:cs="宋体"/>
                <w:b/>
              </w:rPr>
            </w:pPr>
            <w:r>
              <w:rPr>
                <w:rFonts w:hint="eastAsia" w:ascii="宋体" w:hAnsi="宋体" w:eastAsia="宋体" w:cs="宋体"/>
                <w:b/>
              </w:rPr>
              <w:t>用户名称</w:t>
            </w:r>
          </w:p>
        </w:tc>
        <w:tc>
          <w:tcPr>
            <w:tcW w:w="182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D03AF7">
            <w:pPr>
              <w:widowControl/>
              <w:spacing w:line="400" w:lineRule="exact"/>
              <w:jc w:val="center"/>
              <w:rPr>
                <w:rFonts w:hint="eastAsia" w:ascii="宋体" w:hAnsi="宋体" w:eastAsia="宋体" w:cs="宋体"/>
                <w:b/>
              </w:rPr>
            </w:pPr>
            <w:r>
              <w:rPr>
                <w:rFonts w:hint="eastAsia" w:ascii="宋体" w:hAnsi="宋体" w:eastAsia="宋体" w:cs="宋体"/>
                <w:b/>
              </w:rPr>
              <w:t>项目名称</w:t>
            </w:r>
          </w:p>
        </w:tc>
        <w:tc>
          <w:tcPr>
            <w:tcW w:w="128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FDCBE59">
            <w:pPr>
              <w:widowControl/>
              <w:spacing w:line="400" w:lineRule="exact"/>
              <w:jc w:val="center"/>
              <w:rPr>
                <w:rFonts w:hint="eastAsia" w:ascii="宋体" w:hAnsi="宋体" w:eastAsia="宋体" w:cs="宋体"/>
                <w:b/>
              </w:rPr>
            </w:pPr>
            <w:r>
              <w:rPr>
                <w:rFonts w:hint="eastAsia" w:ascii="宋体" w:hAnsi="宋体" w:eastAsia="宋体" w:cs="宋体"/>
                <w:b/>
              </w:rPr>
              <w:t>完成时间</w:t>
            </w:r>
          </w:p>
        </w:tc>
        <w:tc>
          <w:tcPr>
            <w:tcW w:w="118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D074EC9">
            <w:pPr>
              <w:widowControl/>
              <w:spacing w:line="400" w:lineRule="exact"/>
              <w:ind w:firstLine="105"/>
              <w:jc w:val="center"/>
              <w:rPr>
                <w:rFonts w:hint="eastAsia" w:ascii="宋体" w:hAnsi="宋体" w:eastAsia="宋体" w:cs="宋体"/>
                <w:b/>
              </w:rPr>
            </w:pPr>
            <w:r>
              <w:rPr>
                <w:rFonts w:hint="eastAsia" w:ascii="宋体" w:hAnsi="宋体" w:eastAsia="宋体" w:cs="宋体"/>
                <w:b/>
              </w:rPr>
              <w:t>合同金额</w:t>
            </w:r>
          </w:p>
        </w:tc>
        <w:tc>
          <w:tcPr>
            <w:tcW w:w="147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6EA0903">
            <w:pPr>
              <w:widowControl/>
              <w:spacing w:line="400" w:lineRule="exact"/>
              <w:jc w:val="center"/>
              <w:rPr>
                <w:rFonts w:hint="eastAsia" w:ascii="宋体" w:hAnsi="宋体" w:eastAsia="宋体" w:cs="宋体"/>
                <w:b/>
              </w:rPr>
            </w:pPr>
            <w:r>
              <w:rPr>
                <w:rFonts w:hint="eastAsia" w:ascii="宋体" w:hAnsi="宋体" w:eastAsia="宋体" w:cs="宋体"/>
                <w:b/>
              </w:rPr>
              <w:t>完成项目质量</w:t>
            </w:r>
          </w:p>
        </w:tc>
      </w:tr>
      <w:tr w14:paraId="586DA77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5D6E2D7">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D07F24">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703C0">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84C48B">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D3642F">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F96258A">
            <w:pPr>
              <w:spacing w:before="156" w:after="156"/>
              <w:jc w:val="center"/>
              <w:rPr>
                <w:rFonts w:hint="eastAsia" w:ascii="宋体" w:hAnsi="宋体" w:eastAsia="宋体" w:cs="宋体"/>
                <w:sz w:val="24"/>
                <w:szCs w:val="24"/>
              </w:rPr>
            </w:pPr>
          </w:p>
        </w:tc>
      </w:tr>
      <w:tr w14:paraId="1E32C6D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A68B84">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B94B04">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4B70A6">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1CF70">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B13668">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66111D7">
            <w:pPr>
              <w:spacing w:before="156" w:after="156"/>
              <w:jc w:val="center"/>
              <w:rPr>
                <w:rFonts w:hint="eastAsia" w:ascii="宋体" w:hAnsi="宋体" w:eastAsia="宋体" w:cs="宋体"/>
                <w:sz w:val="24"/>
                <w:szCs w:val="24"/>
              </w:rPr>
            </w:pPr>
          </w:p>
        </w:tc>
      </w:tr>
      <w:tr w14:paraId="4F2AE062">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0445C1F">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27C810">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95D981">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41D234">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74BA15">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7AE2044">
            <w:pPr>
              <w:spacing w:before="156" w:after="156"/>
              <w:jc w:val="center"/>
              <w:rPr>
                <w:rFonts w:hint="eastAsia" w:ascii="宋体" w:hAnsi="宋体" w:eastAsia="宋体" w:cs="宋体"/>
                <w:sz w:val="24"/>
                <w:szCs w:val="24"/>
              </w:rPr>
            </w:pPr>
          </w:p>
        </w:tc>
      </w:tr>
      <w:tr w14:paraId="2D8C4A0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E8A8FAF">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2AFA3CF">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D8B8AA">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964D5E">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CEB039">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347A3AC">
            <w:pPr>
              <w:spacing w:before="156" w:after="156"/>
              <w:jc w:val="center"/>
              <w:rPr>
                <w:rFonts w:hint="eastAsia" w:ascii="宋体" w:hAnsi="宋体" w:eastAsia="宋体" w:cs="宋体"/>
                <w:sz w:val="24"/>
                <w:szCs w:val="24"/>
              </w:rPr>
            </w:pPr>
          </w:p>
        </w:tc>
      </w:tr>
      <w:tr w14:paraId="26DB74E9">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1F200E4">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1EC101">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342C48">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C85F527">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FECF82">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C8344F">
            <w:pPr>
              <w:spacing w:before="156" w:after="156"/>
              <w:jc w:val="center"/>
              <w:rPr>
                <w:rFonts w:hint="eastAsia" w:ascii="宋体" w:hAnsi="宋体" w:eastAsia="宋体" w:cs="宋体"/>
                <w:sz w:val="24"/>
                <w:szCs w:val="24"/>
              </w:rPr>
            </w:pPr>
          </w:p>
        </w:tc>
      </w:tr>
      <w:tr w14:paraId="46CF7FB1">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0BD6A2">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CBACDA">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CE9688">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B7E0D5">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2D773B">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7D9E145">
            <w:pPr>
              <w:spacing w:before="156" w:after="156"/>
              <w:jc w:val="center"/>
              <w:rPr>
                <w:rFonts w:hint="eastAsia" w:ascii="宋体" w:hAnsi="宋体" w:eastAsia="宋体" w:cs="宋体"/>
                <w:sz w:val="24"/>
                <w:szCs w:val="24"/>
              </w:rPr>
            </w:pPr>
          </w:p>
        </w:tc>
      </w:tr>
      <w:tr w14:paraId="39D0EE3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6B9DD18">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E6AB16">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661993">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7AE67D">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90EB6B">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CA95D0C">
            <w:pPr>
              <w:spacing w:before="156" w:after="156"/>
              <w:jc w:val="center"/>
              <w:rPr>
                <w:rFonts w:hint="eastAsia" w:ascii="宋体" w:hAnsi="宋体" w:eastAsia="宋体" w:cs="宋体"/>
                <w:sz w:val="24"/>
                <w:szCs w:val="24"/>
              </w:rPr>
            </w:pPr>
          </w:p>
        </w:tc>
      </w:tr>
      <w:tr w14:paraId="47878BD0">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F609E51">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2763BD">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D343B3">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0A473F7">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D82A4A">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152F8D2">
            <w:pPr>
              <w:spacing w:before="156" w:after="156"/>
              <w:jc w:val="center"/>
              <w:rPr>
                <w:rFonts w:hint="eastAsia" w:ascii="宋体" w:hAnsi="宋体" w:eastAsia="宋体" w:cs="宋体"/>
                <w:sz w:val="24"/>
                <w:szCs w:val="24"/>
              </w:rPr>
            </w:pPr>
          </w:p>
        </w:tc>
      </w:tr>
      <w:tr w14:paraId="41C0C416">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0D9034">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B8BC9D">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E2B7AF">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B42B05">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3A75F">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906A4A3">
            <w:pPr>
              <w:spacing w:before="156" w:after="156"/>
              <w:jc w:val="center"/>
              <w:rPr>
                <w:rFonts w:hint="eastAsia" w:ascii="宋体" w:hAnsi="宋体" w:eastAsia="宋体" w:cs="宋体"/>
                <w:sz w:val="24"/>
                <w:szCs w:val="24"/>
              </w:rPr>
            </w:pPr>
          </w:p>
        </w:tc>
      </w:tr>
      <w:tr w14:paraId="2B1736EE">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97AD4B1">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A19C9F">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AE892">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7D2A4">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4D7D0F">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4665218">
            <w:pPr>
              <w:spacing w:before="156" w:after="156"/>
              <w:jc w:val="center"/>
              <w:rPr>
                <w:rFonts w:hint="eastAsia" w:ascii="宋体" w:hAnsi="宋体" w:eastAsia="宋体" w:cs="宋体"/>
                <w:sz w:val="24"/>
                <w:szCs w:val="24"/>
              </w:rPr>
            </w:pPr>
          </w:p>
        </w:tc>
      </w:tr>
    </w:tbl>
    <w:p w14:paraId="201CD129">
      <w:pPr>
        <w:spacing w:line="360" w:lineRule="auto"/>
        <w:rPr>
          <w:rFonts w:hint="eastAsia" w:ascii="宋体" w:hAnsi="宋体" w:eastAsia="宋体" w:cs="宋体"/>
          <w:b/>
          <w:bCs/>
          <w:color w:val="auto"/>
          <w:szCs w:val="21"/>
        </w:rPr>
      </w:pPr>
    </w:p>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2.以完整的合同复印件或中标通知书复印件为准 （以合同签订时间为准）。</w:t>
      </w:r>
    </w:p>
    <w:p w14:paraId="054CD4BF">
      <w:pPr>
        <w:snapToGrid w:val="0"/>
        <w:spacing w:line="500" w:lineRule="exact"/>
        <w:jc w:val="center"/>
        <w:rPr>
          <w:rFonts w:hint="eastAsia" w:ascii="仿宋" w:hAnsi="仿宋" w:eastAsia="仿宋" w:cs="仿宋"/>
          <w:b/>
          <w:bCs/>
          <w:sz w:val="32"/>
          <w:szCs w:val="36"/>
        </w:rPr>
      </w:pPr>
    </w:p>
    <w:p w14:paraId="686CA507">
      <w:pPr>
        <w:snapToGrid w:val="0"/>
        <w:spacing w:line="500" w:lineRule="exact"/>
        <w:jc w:val="center"/>
        <w:rPr>
          <w:rFonts w:hint="eastAsia" w:ascii="仿宋" w:hAnsi="仿宋" w:eastAsia="仿宋" w:cs="仿宋"/>
          <w:b/>
          <w:bCs/>
          <w:sz w:val="32"/>
          <w:szCs w:val="36"/>
        </w:rPr>
      </w:pPr>
    </w:p>
    <w:p w14:paraId="002EC34C">
      <w:pPr>
        <w:snapToGrid w:val="0"/>
        <w:spacing w:line="500" w:lineRule="exact"/>
        <w:jc w:val="center"/>
        <w:rPr>
          <w:rFonts w:hint="eastAsia" w:ascii="仿宋" w:hAnsi="仿宋" w:eastAsia="仿宋" w:cs="仿宋"/>
          <w:b/>
          <w:bCs/>
          <w:sz w:val="32"/>
          <w:szCs w:val="36"/>
        </w:rPr>
      </w:pPr>
    </w:p>
    <w:p w14:paraId="747AC54A">
      <w:pPr>
        <w:snapToGrid w:val="0"/>
        <w:spacing w:line="500" w:lineRule="exact"/>
        <w:jc w:val="center"/>
        <w:rPr>
          <w:rFonts w:hint="eastAsia" w:ascii="仿宋" w:hAnsi="仿宋" w:eastAsia="仿宋" w:cs="仿宋"/>
          <w:b/>
          <w:bCs/>
          <w:sz w:val="32"/>
          <w:szCs w:val="36"/>
        </w:rPr>
      </w:pPr>
    </w:p>
    <w:p w14:paraId="56CBB504">
      <w:pPr>
        <w:snapToGrid w:val="0"/>
        <w:spacing w:line="500" w:lineRule="exact"/>
        <w:jc w:val="center"/>
        <w:rPr>
          <w:rFonts w:hint="eastAsia" w:ascii="仿宋" w:hAnsi="仿宋" w:eastAsia="仿宋" w:cs="仿宋"/>
          <w:b/>
          <w:bCs/>
          <w:sz w:val="32"/>
          <w:szCs w:val="36"/>
        </w:rPr>
      </w:pPr>
    </w:p>
    <w:p w14:paraId="7FE0048B">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C1F4575">
            <w:pPr>
              <w:jc w:val="center"/>
              <w:rPr>
                <w:rFonts w:hint="eastAsia" w:ascii="宋体" w:hAnsi="宋体" w:eastAsia="宋体" w:cs="宋体"/>
                <w:sz w:val="24"/>
              </w:rPr>
            </w:pPr>
            <w:r>
              <w:rPr>
                <w:rFonts w:hint="eastAsia" w:ascii="宋体" w:hAnsi="宋体" w:eastAsia="宋体" w:cs="宋体"/>
                <w:sz w:val="24"/>
              </w:rPr>
              <w:t>法定代表人（负责人）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sz w:val="32"/>
          <w:szCs w:val="36"/>
        </w:rPr>
      </w:pPr>
      <w:r>
        <w:rPr>
          <w:rFonts w:hint="eastAsia" w:ascii="宋体" w:hAnsi="宋体" w:eastAsia="宋体" w:cs="宋体"/>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5AAB4F1D">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24A921AA">
      <w:pPr>
        <w:spacing w:line="240" w:lineRule="auto"/>
        <w:jc w:val="center"/>
        <w:rPr>
          <w:rFonts w:hint="default" w:ascii="宋体" w:hAnsi="宋体" w:eastAsia="宋体" w:cs="宋体"/>
          <w:b/>
          <w:bCs/>
          <w:sz w:val="28"/>
          <w:szCs w:val="28"/>
          <w:lang w:val="en-US" w:eastAsia="zh-CN"/>
        </w:rPr>
      </w:pPr>
      <w:r>
        <w:rPr>
          <w:rFonts w:hint="eastAsia" w:ascii="宋体" w:hAnsi="宋体" w:eastAsia="宋体" w:cs="宋体"/>
          <w:b/>
          <w:bCs/>
          <w:color w:val="auto"/>
          <w:sz w:val="28"/>
          <w:szCs w:val="28"/>
          <w:highlight w:val="none"/>
        </w:rPr>
        <w:t>5.</w:t>
      </w:r>
      <w:r>
        <w:rPr>
          <w:rFonts w:hint="eastAsia" w:ascii="宋体" w:hAnsi="宋体" w:eastAsia="宋体" w:cs="宋体"/>
          <w:b/>
          <w:bCs/>
          <w:sz w:val="28"/>
          <w:szCs w:val="28"/>
        </w:rPr>
        <w:t>中小企业声明函</w:t>
      </w:r>
      <w:r>
        <w:rPr>
          <w:rFonts w:hint="eastAsia" w:ascii="宋体" w:hAnsi="宋体" w:cs="宋体"/>
          <w:b/>
          <w:bCs/>
          <w:sz w:val="28"/>
          <w:szCs w:val="28"/>
          <w:lang w:val="en-US" w:eastAsia="zh-CN"/>
        </w:rPr>
        <w:t>(货物类）</w:t>
      </w:r>
    </w:p>
    <w:p w14:paraId="6C10309F">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本公司郑重声明，根据</w:t>
      </w:r>
      <w:r>
        <w:rPr>
          <w:rFonts w:hint="eastAsia" w:ascii="宋体" w:hAnsi="宋体" w:eastAsia="宋体" w:cs="宋体"/>
          <w:color w:val="000000"/>
          <w:sz w:val="24"/>
          <w:szCs w:val="24"/>
          <w:lang w:eastAsia="zh-CN"/>
        </w:rPr>
        <w:t>《政府采购促进中小企业发展管理办法》（财库〔20</w:t>
      </w: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46</w:t>
      </w:r>
      <w:r>
        <w:rPr>
          <w:rFonts w:hint="eastAsia" w:ascii="宋体" w:hAnsi="宋体" w:eastAsia="宋体" w:cs="宋体"/>
          <w:color w:val="000000"/>
          <w:sz w:val="24"/>
          <w:szCs w:val="24"/>
          <w:lang w:eastAsia="zh-CN"/>
        </w:rPr>
        <w:t>号）</w:t>
      </w:r>
      <w:r>
        <w:rPr>
          <w:rFonts w:hint="eastAsia" w:ascii="宋体" w:hAnsi="宋体" w:eastAsia="宋体" w:cs="宋体"/>
          <w:bCs/>
          <w:color w:val="auto"/>
          <w:sz w:val="24"/>
          <w:szCs w:val="24"/>
        </w:rPr>
        <w:t>的规定，本公司参加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w:t>
      </w:r>
      <w:r>
        <w:rPr>
          <w:rFonts w:hint="eastAsia" w:ascii="宋体" w:hAnsi="宋体" w:eastAsia="宋体" w:cs="宋体"/>
          <w:bCs/>
          <w:color w:val="auto"/>
          <w:sz w:val="24"/>
          <w:szCs w:val="24"/>
          <w:lang w:val="en-US" w:eastAsia="zh-CN"/>
        </w:rPr>
        <w:t>提供的货物全部由符合政策要求的中小企业制造。</w:t>
      </w:r>
      <w:r>
        <w:rPr>
          <w:rFonts w:hint="eastAsia" w:ascii="宋体" w:hAnsi="宋体" w:eastAsia="宋体" w:cs="宋体"/>
          <w:bCs/>
          <w:color w:val="auto"/>
          <w:sz w:val="24"/>
          <w:szCs w:val="24"/>
        </w:rPr>
        <w:t>相关企业（含联合体中的中小企业、签订分包意向协议的中小企业）的具体情况如下：</w:t>
      </w:r>
    </w:p>
    <w:p w14:paraId="020BCC20">
      <w:pPr>
        <w:widowControl/>
        <w:spacing w:line="360" w:lineRule="auto"/>
        <w:ind w:right="256" w:rightChars="122"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u w:val="single"/>
        </w:rPr>
        <w:t xml:space="preserve">（标的名称） </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（采购文件中明确的所属行业）行业</w:t>
      </w:r>
      <w:r>
        <w:rPr>
          <w:rFonts w:hint="eastAsia" w:ascii="宋体" w:hAnsi="宋体" w:eastAsia="宋体" w:cs="宋体"/>
          <w:kern w:val="0"/>
          <w:sz w:val="24"/>
          <w:szCs w:val="24"/>
        </w:rPr>
        <w:t>；制造商为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 xml:space="preserve">； </w:t>
      </w:r>
    </w:p>
    <w:p w14:paraId="7C538E20">
      <w:pPr>
        <w:widowControl/>
        <w:spacing w:line="360" w:lineRule="auto"/>
        <w:ind w:right="256" w:rightChars="122"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u w:val="single"/>
        </w:rPr>
        <w:t xml:space="preserve">（标的名称） </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（采购文件中明确的所属行业）行业</w:t>
      </w:r>
      <w:r>
        <w:rPr>
          <w:rFonts w:hint="eastAsia" w:ascii="宋体" w:hAnsi="宋体" w:eastAsia="宋体" w:cs="宋体"/>
          <w:kern w:val="0"/>
          <w:sz w:val="24"/>
          <w:szCs w:val="24"/>
        </w:rPr>
        <w:t>；制造商为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 xml:space="preserve">； </w:t>
      </w:r>
    </w:p>
    <w:p w14:paraId="317CA325">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w:t>
      </w:r>
    </w:p>
    <w:p w14:paraId="5B9C4942">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7F7B22E3">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3DDCB0D6">
      <w:pPr>
        <w:spacing w:line="360" w:lineRule="auto"/>
        <w:ind w:firstLine="480" w:firstLineChars="200"/>
        <w:jc w:val="right"/>
        <w:rPr>
          <w:rFonts w:hint="eastAsia" w:ascii="宋体" w:hAnsi="宋体" w:eastAsia="宋体" w:cs="宋体"/>
          <w:bCs/>
          <w:color w:val="auto"/>
          <w:sz w:val="24"/>
          <w:szCs w:val="24"/>
        </w:rPr>
      </w:pPr>
    </w:p>
    <w:p w14:paraId="503920F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747DE90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4514620C">
      <w:pPr>
        <w:spacing w:line="360" w:lineRule="auto"/>
        <w:ind w:firstLine="3815" w:firstLineChars="1750"/>
        <w:jc w:val="left"/>
        <w:rPr>
          <w:rFonts w:hint="eastAsia" w:ascii="宋体" w:hAnsi="宋体" w:eastAsia="宋体" w:cs="宋体"/>
          <w:i w:val="0"/>
          <w:iCs w:val="0"/>
          <w:spacing w:val="4"/>
          <w:sz w:val="21"/>
          <w:szCs w:val="21"/>
        </w:rPr>
      </w:pPr>
    </w:p>
    <w:p w14:paraId="04D2A3DD">
      <w:pPr>
        <w:spacing w:line="240" w:lineRule="auto"/>
        <w:ind w:firstLine="422" w:firstLineChars="200"/>
        <w:jc w:val="left"/>
        <w:rPr>
          <w:rFonts w:hint="eastAsia" w:ascii="宋体" w:hAnsi="宋体" w:eastAsia="宋体" w:cs="宋体"/>
          <w:b/>
          <w:bCs w:val="0"/>
          <w:color w:val="auto"/>
          <w:sz w:val="21"/>
          <w:szCs w:val="21"/>
        </w:rPr>
      </w:pPr>
    </w:p>
    <w:p w14:paraId="4752E663">
      <w:pPr>
        <w:spacing w:line="240" w:lineRule="auto"/>
        <w:ind w:firstLine="422" w:firstLineChars="200"/>
        <w:jc w:val="left"/>
        <w:rPr>
          <w:rFonts w:hint="eastAsia" w:ascii="宋体" w:hAnsi="宋体" w:eastAsia="宋体" w:cs="宋体"/>
          <w:b/>
          <w:bCs w:val="0"/>
          <w:color w:val="auto"/>
          <w:sz w:val="21"/>
          <w:szCs w:val="21"/>
        </w:rPr>
      </w:pPr>
    </w:p>
    <w:p w14:paraId="37477FEB">
      <w:pPr>
        <w:spacing w:line="240" w:lineRule="auto"/>
        <w:ind w:firstLine="422" w:firstLineChars="200"/>
        <w:jc w:val="left"/>
        <w:rPr>
          <w:rFonts w:hint="eastAsia" w:ascii="宋体" w:hAnsi="宋体" w:eastAsia="宋体" w:cs="宋体"/>
          <w:b/>
          <w:bCs w:val="0"/>
          <w:color w:val="auto"/>
          <w:sz w:val="21"/>
          <w:szCs w:val="21"/>
        </w:rPr>
      </w:pPr>
    </w:p>
    <w:p w14:paraId="51A70379">
      <w:pPr>
        <w:spacing w:line="240" w:lineRule="auto"/>
        <w:ind w:firstLine="422" w:firstLineChars="200"/>
        <w:jc w:val="left"/>
        <w:rPr>
          <w:rFonts w:hint="eastAsia" w:ascii="宋体" w:hAnsi="宋体" w:eastAsia="宋体" w:cs="宋体"/>
          <w:b/>
          <w:bCs w:val="0"/>
          <w:color w:val="auto"/>
          <w:sz w:val="21"/>
          <w:szCs w:val="21"/>
        </w:rPr>
      </w:pPr>
    </w:p>
    <w:p w14:paraId="190F1B36">
      <w:pPr>
        <w:spacing w:line="240" w:lineRule="auto"/>
        <w:ind w:firstLine="422" w:firstLineChars="200"/>
        <w:jc w:val="left"/>
        <w:rPr>
          <w:rFonts w:hint="eastAsia" w:ascii="宋体" w:hAnsi="宋体" w:eastAsia="宋体" w:cs="宋体"/>
          <w:b/>
          <w:bCs w:val="0"/>
          <w:color w:val="auto"/>
          <w:sz w:val="21"/>
          <w:szCs w:val="21"/>
        </w:rPr>
      </w:pPr>
    </w:p>
    <w:p w14:paraId="7D04B86F">
      <w:pPr>
        <w:spacing w:line="240" w:lineRule="auto"/>
        <w:ind w:firstLine="422" w:firstLineChars="200"/>
        <w:jc w:val="left"/>
        <w:rPr>
          <w:rFonts w:hint="eastAsia" w:ascii="宋体" w:hAnsi="宋体" w:eastAsia="宋体" w:cs="宋体"/>
          <w:b/>
          <w:bCs w:val="0"/>
          <w:color w:val="auto"/>
          <w:sz w:val="21"/>
          <w:szCs w:val="21"/>
        </w:rPr>
      </w:pPr>
    </w:p>
    <w:p w14:paraId="1B2477BF">
      <w:pPr>
        <w:spacing w:line="240" w:lineRule="auto"/>
        <w:jc w:val="left"/>
        <w:rPr>
          <w:rFonts w:hint="eastAsia" w:ascii="宋体" w:hAnsi="宋体" w:eastAsia="宋体" w:cs="宋体"/>
          <w:b/>
          <w:bCs w:val="0"/>
          <w:color w:val="auto"/>
          <w:sz w:val="21"/>
          <w:szCs w:val="21"/>
        </w:rPr>
      </w:pPr>
    </w:p>
    <w:p w14:paraId="139259E7">
      <w:pPr>
        <w:spacing w:line="240" w:lineRule="auto"/>
        <w:ind w:firstLine="422" w:firstLineChars="200"/>
        <w:jc w:val="left"/>
        <w:rPr>
          <w:rFonts w:hint="eastAsia" w:ascii="宋体" w:hAnsi="宋体" w:eastAsia="宋体" w:cs="宋体"/>
          <w:b/>
          <w:bCs w:val="0"/>
          <w:color w:val="auto"/>
          <w:sz w:val="21"/>
          <w:szCs w:val="21"/>
        </w:rPr>
      </w:pPr>
    </w:p>
    <w:p w14:paraId="338D3DCF">
      <w:pPr>
        <w:spacing w:line="240" w:lineRule="auto"/>
        <w:ind w:firstLine="422" w:firstLineChars="200"/>
        <w:jc w:val="left"/>
        <w:rPr>
          <w:rFonts w:hint="eastAsia" w:ascii="宋体" w:hAnsi="宋体" w:eastAsia="宋体" w:cs="宋体"/>
          <w:b/>
          <w:bCs w:val="0"/>
          <w:color w:val="auto"/>
          <w:sz w:val="21"/>
          <w:szCs w:val="21"/>
        </w:rPr>
      </w:pPr>
    </w:p>
    <w:p w14:paraId="22EFC377">
      <w:pPr>
        <w:widowControl/>
        <w:spacing w:before="240" w:after="60" w:line="324" w:lineRule="auto"/>
        <w:jc w:val="both"/>
        <w:outlineLvl w:val="0"/>
        <w:rPr>
          <w:rFonts w:hint="eastAsia" w:ascii="Cambria" w:hAnsi="Cambria" w:eastAsia="宋体" w:cs="Times New Roman"/>
          <w:b/>
          <w:bCs/>
          <w:kern w:val="28"/>
          <w:sz w:val="32"/>
          <w:szCs w:val="32"/>
          <w:lang w:val="en-US" w:eastAsia="zh-CN" w:bidi="ar-SA"/>
        </w:rPr>
      </w:pPr>
    </w:p>
    <w:p w14:paraId="003C2AC3">
      <w:pPr>
        <w:spacing w:line="240" w:lineRule="auto"/>
        <w:jc w:val="both"/>
        <w:rPr>
          <w:rFonts w:hint="eastAsia" w:ascii="宋体" w:hAnsi="宋体" w:eastAsia="宋体" w:cs="宋体"/>
          <w:b w:val="0"/>
          <w:bCs/>
          <w:color w:val="auto"/>
          <w:sz w:val="20"/>
          <w:szCs w:val="20"/>
          <w:lang w:val="en-US" w:eastAsia="zh-CN"/>
        </w:rPr>
      </w:pPr>
    </w:p>
    <w:p w14:paraId="48974568">
      <w:pPr>
        <w:spacing w:line="240" w:lineRule="auto"/>
        <w:jc w:val="both"/>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20"/>
          <w:szCs w:val="20"/>
          <w:lang w:val="en-US" w:eastAsia="zh-CN"/>
        </w:rPr>
        <w:t>1从业人员、营业收入、资产总额填报上一年度数据，无上一年度数据的新成立企业可不填报</w:t>
      </w:r>
    </w:p>
    <w:p w14:paraId="64E3D63E">
      <w:pPr>
        <w:spacing w:line="240" w:lineRule="auto"/>
        <w:jc w:val="left"/>
        <w:rPr>
          <w:rFonts w:ascii="仿宋" w:hAnsi="仿宋" w:eastAsia="仿宋" w:cs="仿宋"/>
        </w:rPr>
      </w:pP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cs="宋体"/>
          <w:b/>
          <w:sz w:val="24"/>
          <w:lang w:eastAsia="zh-CN"/>
        </w:rPr>
        <w:t>□</w:t>
      </w: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8780"/>
        </w:tabs>
        <w:autoSpaceDE w:val="0"/>
        <w:autoSpaceDN w:val="0"/>
        <w:spacing w:line="240" w:lineRule="auto"/>
        <w:ind w:firstLine="4560" w:firstLineChars="1900"/>
        <w:rPr>
          <w:rFonts w:ascii="仿宋" w:hAnsi="仿宋" w:eastAsia="仿宋" w:cs="仿宋"/>
        </w:rPr>
      </w:pPr>
      <w:r>
        <w:rPr>
          <w:rFonts w:hint="eastAsia" w:ascii="仿宋" w:hAnsi="仿宋" w:eastAsia="仿宋" w:cs="仿宋"/>
          <w:sz w:val="24"/>
        </w:rPr>
        <w:t>企业名称（盖章）：</w:t>
      </w:r>
      <w:r>
        <w:rPr>
          <w:rFonts w:hint="eastAsia" w:ascii="仿宋" w:hAnsi="仿宋" w:eastAsia="仿宋" w:cs="仿宋"/>
          <w:u w:val="single" w:color="000000"/>
        </w:rPr>
        <w:tab/>
      </w:r>
    </w:p>
    <w:p w14:paraId="0DFE02A3">
      <w:pPr>
        <w:adjustRightInd w:val="0"/>
        <w:snapToGrid w:val="0"/>
        <w:spacing w:line="360" w:lineRule="auto"/>
        <w:ind w:firstLine="480" w:firstLineChars="200"/>
        <w:jc w:val="center"/>
        <w:rPr>
          <w:rFonts w:ascii="仿宋" w:hAnsi="仿宋" w:eastAsia="仿宋" w:cs="仿宋"/>
          <w:u w:val="single"/>
        </w:rPr>
      </w:pPr>
      <w:r>
        <w:rPr>
          <w:rFonts w:hint="eastAsia" w:ascii="仿宋" w:hAnsi="仿宋" w:eastAsia="仿宋" w:cs="仿宋"/>
          <w:sz w:val="24"/>
        </w:rPr>
        <w:t xml:space="preserve">                                 日    期：</w:t>
      </w:r>
      <w:r>
        <w:rPr>
          <w:rFonts w:hint="eastAsia" w:ascii="仿宋" w:hAnsi="仿宋" w:eastAsia="仿宋" w:cs="仿宋"/>
          <w:u w:val="single"/>
        </w:rPr>
        <w:t xml:space="preserve">                      </w:t>
      </w:r>
      <w:r>
        <w:rPr>
          <w:rFonts w:hint="eastAsia" w:ascii="仿宋" w:hAnsi="仿宋" w:eastAsia="仿宋" w:cs="仿宋"/>
          <w:u w:val="single"/>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3D75F63B">
      <w:pPr>
        <w:spacing w:line="360" w:lineRule="atLeast"/>
        <w:jc w:val="center"/>
        <w:rPr>
          <w:rFonts w:ascii="仿宋" w:hAnsi="仿宋" w:eastAsia="仿宋" w:cs="仿宋"/>
          <w:b/>
          <w:szCs w:val="21"/>
        </w:rPr>
      </w:pPr>
    </w:p>
    <w:p w14:paraId="7F6B21D3">
      <w:pPr>
        <w:spacing w:line="360" w:lineRule="atLeast"/>
        <w:jc w:val="center"/>
        <w:rPr>
          <w:rFonts w:ascii="仿宋" w:hAnsi="仿宋" w:eastAsia="仿宋" w:cs="仿宋"/>
          <w:b/>
          <w:szCs w:val="21"/>
        </w:rPr>
      </w:pPr>
    </w:p>
    <w:p w14:paraId="73C8B767">
      <w:pPr>
        <w:spacing w:line="360" w:lineRule="atLeast"/>
        <w:jc w:val="center"/>
        <w:rPr>
          <w:rFonts w:ascii="仿宋" w:hAnsi="仿宋" w:eastAsia="仿宋" w:cs="仿宋"/>
          <w:b/>
          <w:szCs w:val="21"/>
        </w:rPr>
      </w:pPr>
    </w:p>
    <w:p w14:paraId="1D93C10A">
      <w:pPr>
        <w:spacing w:line="360" w:lineRule="atLeast"/>
        <w:jc w:val="center"/>
        <w:rPr>
          <w:rFonts w:ascii="仿宋" w:hAnsi="仿宋" w:eastAsia="仿宋" w:cs="仿宋"/>
          <w:b/>
          <w:szCs w:val="21"/>
        </w:rPr>
      </w:pPr>
    </w:p>
    <w:p w14:paraId="19805136">
      <w:pPr>
        <w:spacing w:line="360" w:lineRule="atLeast"/>
        <w:jc w:val="center"/>
        <w:rPr>
          <w:rFonts w:ascii="仿宋" w:hAnsi="仿宋" w:eastAsia="仿宋" w:cs="仿宋"/>
          <w:b/>
          <w:szCs w:val="21"/>
        </w:rPr>
      </w:pPr>
    </w:p>
    <w:p w14:paraId="0075E30A">
      <w:pPr>
        <w:spacing w:line="360" w:lineRule="atLeast"/>
        <w:jc w:val="center"/>
        <w:rPr>
          <w:rFonts w:ascii="仿宋" w:hAnsi="仿宋" w:eastAsia="仿宋" w:cs="仿宋"/>
          <w:b/>
          <w:szCs w:val="21"/>
        </w:rPr>
      </w:pPr>
    </w:p>
    <w:p w14:paraId="49508863">
      <w:pPr>
        <w:spacing w:line="360" w:lineRule="atLeast"/>
        <w:jc w:val="center"/>
        <w:rPr>
          <w:rFonts w:ascii="仿宋" w:hAnsi="仿宋" w:eastAsia="仿宋" w:cs="仿宋"/>
          <w:b/>
          <w:szCs w:val="21"/>
        </w:rPr>
      </w:pPr>
    </w:p>
    <w:p w14:paraId="1A0E9AD6">
      <w:pPr>
        <w:spacing w:line="360" w:lineRule="atLeast"/>
        <w:jc w:val="center"/>
        <w:rPr>
          <w:rFonts w:ascii="仿宋" w:hAnsi="仿宋" w:eastAsia="仿宋" w:cs="仿宋"/>
          <w:b/>
          <w:szCs w:val="21"/>
        </w:rPr>
      </w:pPr>
    </w:p>
    <w:p w14:paraId="5E7FF41D">
      <w:pPr>
        <w:spacing w:line="360" w:lineRule="atLeast"/>
        <w:jc w:val="center"/>
        <w:rPr>
          <w:rFonts w:ascii="仿宋" w:hAnsi="仿宋" w:eastAsia="仿宋" w:cs="仿宋"/>
          <w:b/>
          <w:szCs w:val="21"/>
        </w:rPr>
      </w:pPr>
    </w:p>
    <w:p w14:paraId="443AF2A6">
      <w:pPr>
        <w:spacing w:line="360" w:lineRule="atLeast"/>
        <w:jc w:val="center"/>
        <w:rPr>
          <w:rFonts w:ascii="仿宋" w:hAnsi="仿宋" w:eastAsia="仿宋" w:cs="仿宋"/>
          <w:b/>
          <w:szCs w:val="21"/>
        </w:rPr>
      </w:pPr>
    </w:p>
    <w:p w14:paraId="1981AF2B">
      <w:pPr>
        <w:spacing w:line="360" w:lineRule="atLeast"/>
        <w:jc w:val="center"/>
        <w:rPr>
          <w:rFonts w:ascii="仿宋" w:hAnsi="仿宋" w:eastAsia="仿宋" w:cs="仿宋"/>
          <w:b/>
          <w:szCs w:val="21"/>
        </w:rPr>
      </w:pPr>
    </w:p>
    <w:p w14:paraId="57EF016D">
      <w:pPr>
        <w:spacing w:line="360" w:lineRule="atLeast"/>
        <w:jc w:val="center"/>
        <w:rPr>
          <w:rFonts w:ascii="仿宋" w:hAnsi="仿宋" w:eastAsia="仿宋" w:cs="仿宋"/>
          <w:b/>
          <w:szCs w:val="21"/>
        </w:rPr>
      </w:pPr>
    </w:p>
    <w:p w14:paraId="1B807CF1">
      <w:pPr>
        <w:jc w:val="center"/>
        <w:rPr>
          <w:rFonts w:hint="eastAsia" w:ascii="宋体" w:hAnsi="宋体" w:eastAsia="宋体" w:cs="宋体"/>
          <w:b/>
          <w:bCs/>
          <w:color w:val="auto"/>
          <w:sz w:val="28"/>
          <w:szCs w:val="28"/>
          <w:lang w:val="en-US" w:eastAsia="zh-CN"/>
        </w:rPr>
      </w:pPr>
      <w:r>
        <w:rPr>
          <w:rFonts w:hint="eastAsia" w:ascii="宋体" w:hAnsi="宋体" w:cs="Times New Roman"/>
          <w:b/>
          <w:bCs/>
          <w:color w:val="auto"/>
          <w:spacing w:val="6"/>
          <w:sz w:val="28"/>
          <w:szCs w:val="28"/>
          <w:lang w:val="en-US" w:eastAsia="zh-CN"/>
        </w:rPr>
        <w:t>8、</w:t>
      </w:r>
      <w:r>
        <w:rPr>
          <w:rFonts w:hint="eastAsia" w:ascii="宋体" w:hAnsi="宋体" w:eastAsia="宋体" w:cs="Times New Roman"/>
          <w:b/>
          <w:bCs/>
          <w:color w:val="auto"/>
          <w:spacing w:val="6"/>
          <w:sz w:val="28"/>
          <w:szCs w:val="28"/>
        </w:rPr>
        <w:t>《节能环保、环境标志产品明细表》（如有可提供）</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960"/>
        <w:gridCol w:w="1078"/>
        <w:gridCol w:w="1106"/>
        <w:gridCol w:w="950"/>
        <w:gridCol w:w="1164"/>
        <w:gridCol w:w="780"/>
        <w:gridCol w:w="824"/>
        <w:gridCol w:w="823"/>
        <w:gridCol w:w="686"/>
      </w:tblGrid>
      <w:tr w14:paraId="29FD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686" w:type="dxa"/>
            <w:noWrap w:val="0"/>
            <w:vAlign w:val="center"/>
          </w:tcPr>
          <w:p w14:paraId="5DEAA396">
            <w:pPr>
              <w:jc w:val="center"/>
              <w:rPr>
                <w:rFonts w:hint="eastAsia" w:ascii="宋体" w:hAnsi="宋体" w:cs="宋体"/>
                <w:szCs w:val="21"/>
              </w:rPr>
            </w:pPr>
            <w:r>
              <w:rPr>
                <w:rFonts w:hint="eastAsia" w:ascii="宋体" w:hAnsi="宋体" w:cs="宋体"/>
                <w:szCs w:val="21"/>
              </w:rPr>
              <w:t>序号</w:t>
            </w:r>
          </w:p>
        </w:tc>
        <w:tc>
          <w:tcPr>
            <w:tcW w:w="960" w:type="dxa"/>
            <w:noWrap w:val="0"/>
            <w:vAlign w:val="center"/>
          </w:tcPr>
          <w:p w14:paraId="451BC2A8">
            <w:pPr>
              <w:jc w:val="center"/>
              <w:rPr>
                <w:rFonts w:hint="eastAsia" w:ascii="宋体" w:hAnsi="宋体" w:cs="宋体"/>
                <w:szCs w:val="21"/>
              </w:rPr>
            </w:pPr>
            <w:r>
              <w:rPr>
                <w:rFonts w:hint="eastAsia" w:ascii="宋体" w:hAnsi="宋体" w:cs="宋体"/>
                <w:szCs w:val="21"/>
              </w:rPr>
              <w:t>产品</w:t>
            </w:r>
          </w:p>
          <w:p w14:paraId="59A32A3E">
            <w:pPr>
              <w:jc w:val="center"/>
              <w:rPr>
                <w:rFonts w:hint="eastAsia" w:ascii="宋体" w:hAnsi="宋体" w:cs="宋体"/>
                <w:szCs w:val="21"/>
              </w:rPr>
            </w:pPr>
            <w:r>
              <w:rPr>
                <w:rFonts w:hint="eastAsia" w:ascii="宋体" w:hAnsi="宋体" w:cs="宋体"/>
                <w:szCs w:val="21"/>
              </w:rPr>
              <w:t>名称</w:t>
            </w:r>
          </w:p>
        </w:tc>
        <w:tc>
          <w:tcPr>
            <w:tcW w:w="1078" w:type="dxa"/>
            <w:noWrap w:val="0"/>
            <w:vAlign w:val="center"/>
          </w:tcPr>
          <w:p w14:paraId="58F4110F">
            <w:pPr>
              <w:jc w:val="center"/>
              <w:rPr>
                <w:rFonts w:hint="eastAsia" w:ascii="宋体" w:hAnsi="宋体" w:cs="宋体"/>
                <w:szCs w:val="21"/>
              </w:rPr>
            </w:pPr>
            <w:r>
              <w:rPr>
                <w:rFonts w:hint="eastAsia" w:ascii="宋体" w:hAnsi="宋体" w:cs="宋体"/>
                <w:szCs w:val="21"/>
              </w:rPr>
              <w:t>制造</w:t>
            </w:r>
          </w:p>
          <w:p w14:paraId="41F6FBC0">
            <w:pPr>
              <w:jc w:val="center"/>
              <w:rPr>
                <w:rFonts w:hint="eastAsia" w:ascii="宋体" w:hAnsi="宋体" w:cs="宋体"/>
                <w:szCs w:val="21"/>
              </w:rPr>
            </w:pPr>
            <w:r>
              <w:rPr>
                <w:rFonts w:hint="eastAsia" w:ascii="宋体" w:hAnsi="宋体" w:cs="宋体"/>
                <w:szCs w:val="21"/>
              </w:rPr>
              <w:t>厂家</w:t>
            </w:r>
          </w:p>
        </w:tc>
        <w:tc>
          <w:tcPr>
            <w:tcW w:w="1106" w:type="dxa"/>
            <w:noWrap w:val="0"/>
            <w:vAlign w:val="center"/>
          </w:tcPr>
          <w:p w14:paraId="157F0354">
            <w:pPr>
              <w:jc w:val="center"/>
              <w:rPr>
                <w:rFonts w:hint="eastAsia" w:ascii="宋体" w:hAnsi="宋体" w:cs="宋体"/>
                <w:szCs w:val="21"/>
              </w:rPr>
            </w:pPr>
            <w:r>
              <w:rPr>
                <w:rFonts w:hint="eastAsia" w:ascii="宋体" w:hAnsi="宋体" w:cs="宋体"/>
                <w:szCs w:val="21"/>
              </w:rPr>
              <w:t>规格</w:t>
            </w:r>
          </w:p>
          <w:p w14:paraId="1EE92703">
            <w:pPr>
              <w:jc w:val="center"/>
              <w:rPr>
                <w:rFonts w:hint="eastAsia" w:ascii="宋体" w:hAnsi="宋体" w:cs="宋体"/>
                <w:szCs w:val="21"/>
              </w:rPr>
            </w:pPr>
            <w:r>
              <w:rPr>
                <w:rFonts w:hint="eastAsia" w:ascii="宋体" w:hAnsi="宋体" w:cs="宋体"/>
                <w:szCs w:val="21"/>
              </w:rPr>
              <w:t>型号</w:t>
            </w:r>
          </w:p>
        </w:tc>
        <w:tc>
          <w:tcPr>
            <w:tcW w:w="950" w:type="dxa"/>
            <w:noWrap w:val="0"/>
            <w:vAlign w:val="center"/>
          </w:tcPr>
          <w:p w14:paraId="5B70ADDE">
            <w:pPr>
              <w:jc w:val="center"/>
              <w:rPr>
                <w:rFonts w:hint="eastAsia" w:ascii="宋体" w:hAnsi="宋体" w:cs="宋体"/>
                <w:szCs w:val="21"/>
              </w:rPr>
            </w:pPr>
            <w:r>
              <w:rPr>
                <w:rFonts w:hint="eastAsia" w:ascii="宋体" w:hAnsi="宋体" w:cs="宋体"/>
                <w:szCs w:val="21"/>
              </w:rPr>
              <w:t>类别</w:t>
            </w:r>
          </w:p>
        </w:tc>
        <w:tc>
          <w:tcPr>
            <w:tcW w:w="1164" w:type="dxa"/>
            <w:noWrap w:val="0"/>
            <w:vAlign w:val="center"/>
          </w:tcPr>
          <w:p w14:paraId="7D3F6BE3">
            <w:pPr>
              <w:jc w:val="center"/>
              <w:rPr>
                <w:rFonts w:hint="eastAsia" w:ascii="宋体" w:hAnsi="宋体" w:cs="宋体"/>
                <w:szCs w:val="21"/>
              </w:rPr>
            </w:pPr>
            <w:r>
              <w:rPr>
                <w:rFonts w:hint="eastAsia" w:ascii="宋体" w:hAnsi="宋体" w:cs="宋体"/>
                <w:szCs w:val="21"/>
              </w:rPr>
              <w:t>认证证书编号</w:t>
            </w:r>
          </w:p>
        </w:tc>
        <w:tc>
          <w:tcPr>
            <w:tcW w:w="780" w:type="dxa"/>
            <w:noWrap w:val="0"/>
            <w:vAlign w:val="center"/>
          </w:tcPr>
          <w:p w14:paraId="6F13648B">
            <w:pPr>
              <w:jc w:val="center"/>
              <w:rPr>
                <w:rFonts w:hint="eastAsia" w:ascii="宋体" w:hAnsi="宋体" w:cs="宋体"/>
                <w:szCs w:val="21"/>
              </w:rPr>
            </w:pPr>
            <w:r>
              <w:rPr>
                <w:rFonts w:hint="eastAsia" w:ascii="宋体" w:hAnsi="宋体" w:cs="宋体"/>
                <w:szCs w:val="21"/>
              </w:rPr>
              <w:t>数量</w:t>
            </w:r>
          </w:p>
        </w:tc>
        <w:tc>
          <w:tcPr>
            <w:tcW w:w="824" w:type="dxa"/>
            <w:noWrap w:val="0"/>
            <w:vAlign w:val="center"/>
          </w:tcPr>
          <w:p w14:paraId="1865F08E">
            <w:pPr>
              <w:jc w:val="center"/>
              <w:rPr>
                <w:rFonts w:hint="eastAsia" w:ascii="宋体" w:hAnsi="宋体" w:cs="宋体"/>
                <w:szCs w:val="21"/>
              </w:rPr>
            </w:pPr>
            <w:r>
              <w:rPr>
                <w:rFonts w:hint="eastAsia" w:ascii="宋体" w:hAnsi="宋体" w:cs="宋体"/>
                <w:szCs w:val="21"/>
              </w:rPr>
              <w:t>单价</w:t>
            </w:r>
          </w:p>
        </w:tc>
        <w:tc>
          <w:tcPr>
            <w:tcW w:w="823" w:type="dxa"/>
            <w:noWrap w:val="0"/>
            <w:vAlign w:val="center"/>
          </w:tcPr>
          <w:p w14:paraId="39A4D0AA">
            <w:pPr>
              <w:jc w:val="center"/>
              <w:rPr>
                <w:rFonts w:hint="eastAsia" w:ascii="宋体" w:hAnsi="宋体" w:cs="宋体"/>
                <w:szCs w:val="21"/>
              </w:rPr>
            </w:pPr>
            <w:r>
              <w:rPr>
                <w:rFonts w:hint="eastAsia" w:ascii="宋体" w:hAnsi="宋体" w:cs="宋体"/>
                <w:szCs w:val="21"/>
              </w:rPr>
              <w:t>总价</w:t>
            </w:r>
          </w:p>
        </w:tc>
        <w:tc>
          <w:tcPr>
            <w:tcW w:w="686" w:type="dxa"/>
            <w:noWrap w:val="0"/>
            <w:vAlign w:val="center"/>
          </w:tcPr>
          <w:p w14:paraId="69F7148C">
            <w:pPr>
              <w:jc w:val="center"/>
              <w:rPr>
                <w:rFonts w:hint="eastAsia" w:ascii="宋体" w:hAnsi="宋体" w:cs="宋体"/>
                <w:szCs w:val="21"/>
              </w:rPr>
            </w:pPr>
            <w:r>
              <w:rPr>
                <w:rFonts w:hint="eastAsia" w:ascii="宋体" w:hAnsi="宋体" w:cs="宋体"/>
                <w:szCs w:val="21"/>
              </w:rPr>
              <w:t>备注</w:t>
            </w:r>
          </w:p>
        </w:tc>
      </w:tr>
      <w:tr w14:paraId="5ECB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9AD9620">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960" w:type="dxa"/>
            <w:noWrap w:val="0"/>
            <w:vAlign w:val="top"/>
          </w:tcPr>
          <w:p w14:paraId="48A8978E">
            <w:pPr>
              <w:spacing w:line="360" w:lineRule="auto"/>
              <w:rPr>
                <w:rFonts w:hint="eastAsia" w:ascii="宋体" w:hAnsi="宋体" w:cs="宋体"/>
                <w:sz w:val="24"/>
                <w:szCs w:val="24"/>
              </w:rPr>
            </w:pPr>
          </w:p>
        </w:tc>
        <w:tc>
          <w:tcPr>
            <w:tcW w:w="1078" w:type="dxa"/>
            <w:noWrap w:val="0"/>
            <w:vAlign w:val="top"/>
          </w:tcPr>
          <w:p w14:paraId="4DF4FB9D">
            <w:pPr>
              <w:spacing w:line="360" w:lineRule="auto"/>
              <w:rPr>
                <w:rFonts w:hint="eastAsia" w:ascii="宋体" w:hAnsi="宋体" w:cs="宋体"/>
                <w:sz w:val="24"/>
                <w:szCs w:val="24"/>
              </w:rPr>
            </w:pPr>
          </w:p>
        </w:tc>
        <w:tc>
          <w:tcPr>
            <w:tcW w:w="1106" w:type="dxa"/>
            <w:noWrap w:val="0"/>
            <w:vAlign w:val="top"/>
          </w:tcPr>
          <w:p w14:paraId="0518C475">
            <w:pPr>
              <w:spacing w:line="360" w:lineRule="auto"/>
              <w:rPr>
                <w:rFonts w:hint="eastAsia" w:ascii="宋体" w:hAnsi="宋体" w:cs="宋体"/>
                <w:sz w:val="24"/>
                <w:szCs w:val="24"/>
              </w:rPr>
            </w:pPr>
          </w:p>
        </w:tc>
        <w:tc>
          <w:tcPr>
            <w:tcW w:w="950" w:type="dxa"/>
            <w:noWrap w:val="0"/>
            <w:vAlign w:val="top"/>
          </w:tcPr>
          <w:p w14:paraId="243A5D2A">
            <w:pPr>
              <w:spacing w:line="360" w:lineRule="auto"/>
              <w:rPr>
                <w:rFonts w:hint="eastAsia" w:ascii="宋体" w:hAnsi="宋体" w:cs="宋体"/>
                <w:sz w:val="24"/>
                <w:szCs w:val="24"/>
              </w:rPr>
            </w:pPr>
          </w:p>
        </w:tc>
        <w:tc>
          <w:tcPr>
            <w:tcW w:w="1164" w:type="dxa"/>
            <w:noWrap w:val="0"/>
            <w:vAlign w:val="top"/>
          </w:tcPr>
          <w:p w14:paraId="2974E61C">
            <w:pPr>
              <w:spacing w:line="360" w:lineRule="auto"/>
              <w:rPr>
                <w:rFonts w:hint="eastAsia" w:ascii="宋体" w:hAnsi="宋体" w:cs="宋体"/>
                <w:sz w:val="24"/>
                <w:szCs w:val="24"/>
              </w:rPr>
            </w:pPr>
          </w:p>
        </w:tc>
        <w:tc>
          <w:tcPr>
            <w:tcW w:w="780" w:type="dxa"/>
            <w:noWrap w:val="0"/>
            <w:vAlign w:val="top"/>
          </w:tcPr>
          <w:p w14:paraId="1B59CC3B">
            <w:pPr>
              <w:spacing w:line="360" w:lineRule="auto"/>
              <w:rPr>
                <w:rFonts w:hint="eastAsia" w:ascii="宋体" w:hAnsi="宋体" w:cs="宋体"/>
                <w:sz w:val="24"/>
                <w:szCs w:val="24"/>
              </w:rPr>
            </w:pPr>
          </w:p>
        </w:tc>
        <w:tc>
          <w:tcPr>
            <w:tcW w:w="824" w:type="dxa"/>
            <w:noWrap w:val="0"/>
            <w:vAlign w:val="top"/>
          </w:tcPr>
          <w:p w14:paraId="61CC9271">
            <w:pPr>
              <w:spacing w:line="360" w:lineRule="auto"/>
              <w:rPr>
                <w:rFonts w:hint="eastAsia" w:ascii="宋体" w:hAnsi="宋体" w:cs="宋体"/>
                <w:sz w:val="24"/>
                <w:szCs w:val="24"/>
              </w:rPr>
            </w:pPr>
          </w:p>
        </w:tc>
        <w:tc>
          <w:tcPr>
            <w:tcW w:w="823" w:type="dxa"/>
            <w:noWrap w:val="0"/>
            <w:vAlign w:val="top"/>
          </w:tcPr>
          <w:p w14:paraId="2FE792FB">
            <w:pPr>
              <w:spacing w:line="360" w:lineRule="auto"/>
              <w:rPr>
                <w:rFonts w:hint="eastAsia" w:ascii="宋体" w:hAnsi="宋体" w:cs="宋体"/>
                <w:sz w:val="24"/>
                <w:szCs w:val="24"/>
              </w:rPr>
            </w:pPr>
          </w:p>
        </w:tc>
        <w:tc>
          <w:tcPr>
            <w:tcW w:w="686" w:type="dxa"/>
            <w:noWrap w:val="0"/>
            <w:vAlign w:val="top"/>
          </w:tcPr>
          <w:p w14:paraId="56295123">
            <w:pPr>
              <w:spacing w:line="360" w:lineRule="auto"/>
              <w:rPr>
                <w:rFonts w:hint="eastAsia" w:ascii="宋体" w:hAnsi="宋体" w:cs="宋体"/>
                <w:sz w:val="24"/>
                <w:szCs w:val="24"/>
              </w:rPr>
            </w:pPr>
          </w:p>
        </w:tc>
      </w:tr>
      <w:tr w14:paraId="45CF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4EA71237">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960" w:type="dxa"/>
            <w:noWrap w:val="0"/>
            <w:vAlign w:val="top"/>
          </w:tcPr>
          <w:p w14:paraId="0477276A">
            <w:pPr>
              <w:spacing w:line="360" w:lineRule="auto"/>
              <w:rPr>
                <w:rFonts w:hint="eastAsia" w:ascii="宋体" w:hAnsi="宋体" w:cs="宋体"/>
                <w:sz w:val="24"/>
                <w:szCs w:val="24"/>
              </w:rPr>
            </w:pPr>
          </w:p>
        </w:tc>
        <w:tc>
          <w:tcPr>
            <w:tcW w:w="1078" w:type="dxa"/>
            <w:noWrap w:val="0"/>
            <w:vAlign w:val="top"/>
          </w:tcPr>
          <w:p w14:paraId="2D9C7491">
            <w:pPr>
              <w:spacing w:line="360" w:lineRule="auto"/>
              <w:rPr>
                <w:rFonts w:hint="eastAsia" w:ascii="宋体" w:hAnsi="宋体" w:cs="宋体"/>
                <w:sz w:val="24"/>
                <w:szCs w:val="24"/>
              </w:rPr>
            </w:pPr>
          </w:p>
        </w:tc>
        <w:tc>
          <w:tcPr>
            <w:tcW w:w="1106" w:type="dxa"/>
            <w:noWrap w:val="0"/>
            <w:vAlign w:val="top"/>
          </w:tcPr>
          <w:p w14:paraId="4CDB6727">
            <w:pPr>
              <w:spacing w:line="360" w:lineRule="auto"/>
              <w:rPr>
                <w:rFonts w:hint="eastAsia" w:ascii="宋体" w:hAnsi="宋体" w:cs="宋体"/>
                <w:sz w:val="24"/>
                <w:szCs w:val="24"/>
              </w:rPr>
            </w:pPr>
          </w:p>
        </w:tc>
        <w:tc>
          <w:tcPr>
            <w:tcW w:w="950" w:type="dxa"/>
            <w:noWrap w:val="0"/>
            <w:vAlign w:val="top"/>
          </w:tcPr>
          <w:p w14:paraId="74DE7DBE">
            <w:pPr>
              <w:spacing w:line="360" w:lineRule="auto"/>
              <w:rPr>
                <w:rFonts w:hint="eastAsia" w:ascii="宋体" w:hAnsi="宋体" w:cs="宋体"/>
                <w:sz w:val="24"/>
                <w:szCs w:val="24"/>
              </w:rPr>
            </w:pPr>
          </w:p>
        </w:tc>
        <w:tc>
          <w:tcPr>
            <w:tcW w:w="1164" w:type="dxa"/>
            <w:noWrap w:val="0"/>
            <w:vAlign w:val="top"/>
          </w:tcPr>
          <w:p w14:paraId="25FBCBA3">
            <w:pPr>
              <w:spacing w:line="360" w:lineRule="auto"/>
              <w:rPr>
                <w:rFonts w:hint="eastAsia" w:ascii="宋体" w:hAnsi="宋体" w:cs="宋体"/>
                <w:sz w:val="24"/>
                <w:szCs w:val="24"/>
              </w:rPr>
            </w:pPr>
          </w:p>
        </w:tc>
        <w:tc>
          <w:tcPr>
            <w:tcW w:w="780" w:type="dxa"/>
            <w:noWrap w:val="0"/>
            <w:vAlign w:val="top"/>
          </w:tcPr>
          <w:p w14:paraId="1E18DAA4">
            <w:pPr>
              <w:spacing w:line="360" w:lineRule="auto"/>
              <w:rPr>
                <w:rFonts w:hint="eastAsia" w:ascii="宋体" w:hAnsi="宋体" w:cs="宋体"/>
                <w:sz w:val="24"/>
                <w:szCs w:val="24"/>
              </w:rPr>
            </w:pPr>
          </w:p>
        </w:tc>
        <w:tc>
          <w:tcPr>
            <w:tcW w:w="824" w:type="dxa"/>
            <w:noWrap w:val="0"/>
            <w:vAlign w:val="top"/>
          </w:tcPr>
          <w:p w14:paraId="68C3898D">
            <w:pPr>
              <w:spacing w:line="360" w:lineRule="auto"/>
              <w:rPr>
                <w:rFonts w:hint="eastAsia" w:ascii="宋体" w:hAnsi="宋体" w:cs="宋体"/>
                <w:sz w:val="24"/>
                <w:szCs w:val="24"/>
              </w:rPr>
            </w:pPr>
          </w:p>
        </w:tc>
        <w:tc>
          <w:tcPr>
            <w:tcW w:w="823" w:type="dxa"/>
            <w:noWrap w:val="0"/>
            <w:vAlign w:val="top"/>
          </w:tcPr>
          <w:p w14:paraId="54E57075">
            <w:pPr>
              <w:spacing w:line="360" w:lineRule="auto"/>
              <w:rPr>
                <w:rFonts w:hint="eastAsia" w:ascii="宋体" w:hAnsi="宋体" w:cs="宋体"/>
                <w:sz w:val="24"/>
                <w:szCs w:val="24"/>
              </w:rPr>
            </w:pPr>
          </w:p>
        </w:tc>
        <w:tc>
          <w:tcPr>
            <w:tcW w:w="686" w:type="dxa"/>
            <w:noWrap w:val="0"/>
            <w:vAlign w:val="top"/>
          </w:tcPr>
          <w:p w14:paraId="1917B1AB">
            <w:pPr>
              <w:spacing w:line="360" w:lineRule="auto"/>
              <w:rPr>
                <w:rFonts w:hint="eastAsia" w:ascii="宋体" w:hAnsi="宋体" w:cs="宋体"/>
                <w:sz w:val="24"/>
                <w:szCs w:val="24"/>
              </w:rPr>
            </w:pPr>
          </w:p>
        </w:tc>
      </w:tr>
      <w:tr w14:paraId="3F82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7C73DF8">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w:t>
            </w:r>
          </w:p>
        </w:tc>
        <w:tc>
          <w:tcPr>
            <w:tcW w:w="960" w:type="dxa"/>
            <w:noWrap w:val="0"/>
            <w:vAlign w:val="top"/>
          </w:tcPr>
          <w:p w14:paraId="7014D978">
            <w:pPr>
              <w:spacing w:line="360" w:lineRule="auto"/>
              <w:rPr>
                <w:rFonts w:hint="eastAsia" w:ascii="宋体" w:hAnsi="宋体" w:cs="宋体"/>
                <w:sz w:val="24"/>
                <w:szCs w:val="24"/>
              </w:rPr>
            </w:pPr>
          </w:p>
        </w:tc>
        <w:tc>
          <w:tcPr>
            <w:tcW w:w="1078" w:type="dxa"/>
            <w:noWrap w:val="0"/>
            <w:vAlign w:val="top"/>
          </w:tcPr>
          <w:p w14:paraId="003B2135">
            <w:pPr>
              <w:spacing w:line="360" w:lineRule="auto"/>
              <w:rPr>
                <w:rFonts w:hint="eastAsia" w:ascii="宋体" w:hAnsi="宋体" w:cs="宋体"/>
                <w:sz w:val="24"/>
                <w:szCs w:val="24"/>
              </w:rPr>
            </w:pPr>
          </w:p>
        </w:tc>
        <w:tc>
          <w:tcPr>
            <w:tcW w:w="1106" w:type="dxa"/>
            <w:noWrap w:val="0"/>
            <w:vAlign w:val="top"/>
          </w:tcPr>
          <w:p w14:paraId="6B77D70A">
            <w:pPr>
              <w:spacing w:line="360" w:lineRule="auto"/>
              <w:rPr>
                <w:rFonts w:hint="eastAsia" w:ascii="宋体" w:hAnsi="宋体" w:cs="宋体"/>
                <w:sz w:val="24"/>
                <w:szCs w:val="24"/>
              </w:rPr>
            </w:pPr>
          </w:p>
        </w:tc>
        <w:tc>
          <w:tcPr>
            <w:tcW w:w="950" w:type="dxa"/>
            <w:noWrap w:val="0"/>
            <w:vAlign w:val="top"/>
          </w:tcPr>
          <w:p w14:paraId="647D81FD">
            <w:pPr>
              <w:spacing w:line="360" w:lineRule="auto"/>
              <w:rPr>
                <w:rFonts w:hint="eastAsia" w:ascii="宋体" w:hAnsi="宋体" w:cs="宋体"/>
                <w:sz w:val="24"/>
                <w:szCs w:val="24"/>
              </w:rPr>
            </w:pPr>
          </w:p>
        </w:tc>
        <w:tc>
          <w:tcPr>
            <w:tcW w:w="1164" w:type="dxa"/>
            <w:noWrap w:val="0"/>
            <w:vAlign w:val="top"/>
          </w:tcPr>
          <w:p w14:paraId="5B49DF4E">
            <w:pPr>
              <w:spacing w:line="360" w:lineRule="auto"/>
              <w:rPr>
                <w:rFonts w:hint="eastAsia" w:ascii="宋体" w:hAnsi="宋体" w:cs="宋体"/>
                <w:sz w:val="24"/>
                <w:szCs w:val="24"/>
              </w:rPr>
            </w:pPr>
          </w:p>
        </w:tc>
        <w:tc>
          <w:tcPr>
            <w:tcW w:w="780" w:type="dxa"/>
            <w:noWrap w:val="0"/>
            <w:vAlign w:val="top"/>
          </w:tcPr>
          <w:p w14:paraId="460D2788">
            <w:pPr>
              <w:spacing w:line="360" w:lineRule="auto"/>
              <w:rPr>
                <w:rFonts w:hint="eastAsia" w:ascii="宋体" w:hAnsi="宋体" w:cs="宋体"/>
                <w:sz w:val="24"/>
                <w:szCs w:val="24"/>
              </w:rPr>
            </w:pPr>
          </w:p>
        </w:tc>
        <w:tc>
          <w:tcPr>
            <w:tcW w:w="824" w:type="dxa"/>
            <w:noWrap w:val="0"/>
            <w:vAlign w:val="top"/>
          </w:tcPr>
          <w:p w14:paraId="4620E182">
            <w:pPr>
              <w:spacing w:line="360" w:lineRule="auto"/>
              <w:rPr>
                <w:rFonts w:hint="eastAsia" w:ascii="宋体" w:hAnsi="宋体" w:cs="宋体"/>
                <w:sz w:val="24"/>
                <w:szCs w:val="24"/>
              </w:rPr>
            </w:pPr>
          </w:p>
        </w:tc>
        <w:tc>
          <w:tcPr>
            <w:tcW w:w="823" w:type="dxa"/>
            <w:noWrap w:val="0"/>
            <w:vAlign w:val="top"/>
          </w:tcPr>
          <w:p w14:paraId="3851035D">
            <w:pPr>
              <w:spacing w:line="360" w:lineRule="auto"/>
              <w:rPr>
                <w:rFonts w:hint="eastAsia" w:ascii="宋体" w:hAnsi="宋体" w:cs="宋体"/>
                <w:sz w:val="24"/>
                <w:szCs w:val="24"/>
              </w:rPr>
            </w:pPr>
          </w:p>
        </w:tc>
        <w:tc>
          <w:tcPr>
            <w:tcW w:w="686" w:type="dxa"/>
            <w:noWrap w:val="0"/>
            <w:vAlign w:val="top"/>
          </w:tcPr>
          <w:p w14:paraId="1689247E">
            <w:pPr>
              <w:spacing w:line="360" w:lineRule="auto"/>
              <w:rPr>
                <w:rFonts w:hint="eastAsia" w:ascii="宋体" w:hAnsi="宋体" w:cs="宋体"/>
                <w:sz w:val="24"/>
                <w:szCs w:val="24"/>
              </w:rPr>
            </w:pPr>
          </w:p>
        </w:tc>
      </w:tr>
      <w:tr w14:paraId="65F4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057" w:type="dxa"/>
            <w:gridSpan w:val="10"/>
            <w:noWrap w:val="0"/>
            <w:vAlign w:val="center"/>
          </w:tcPr>
          <w:p w14:paraId="78812FE3">
            <w:pPr>
              <w:spacing w:line="360" w:lineRule="auto"/>
              <w:rPr>
                <w:rFonts w:hint="eastAsia" w:ascii="宋体" w:hAnsi="宋体" w:cs="宋体"/>
                <w:sz w:val="24"/>
                <w:szCs w:val="24"/>
              </w:rPr>
            </w:pPr>
            <w:r>
              <w:rPr>
                <w:rFonts w:hint="eastAsia" w:ascii="宋体" w:hAnsi="宋体" w:cs="宋体"/>
                <w:szCs w:val="21"/>
              </w:rPr>
              <w:t>合计（人民币）</w:t>
            </w:r>
          </w:p>
        </w:tc>
      </w:tr>
    </w:tbl>
    <w:p w14:paraId="0E5479DF">
      <w:pPr>
        <w:spacing w:line="360" w:lineRule="auto"/>
        <w:jc w:val="both"/>
        <w:rPr>
          <w:rFonts w:hint="eastAsia" w:ascii="宋体" w:hAnsi="宋体" w:cs="宋体"/>
          <w:sz w:val="24"/>
          <w:szCs w:val="24"/>
        </w:rPr>
      </w:pPr>
    </w:p>
    <w:p w14:paraId="61473D7A">
      <w:pPr>
        <w:tabs>
          <w:tab w:val="left" w:pos="5670"/>
        </w:tabs>
        <w:jc w:val="left"/>
        <w:rPr>
          <w:rFonts w:ascii="Times New Roman" w:hAnsi="Times New Roman" w:cs="Times New Roman"/>
          <w:color w:val="auto"/>
        </w:rPr>
      </w:pPr>
      <w:r>
        <w:rPr>
          <w:rFonts w:hint="eastAsia" w:ascii="Times New Roman" w:hAnsi="Times New Roman" w:cs="Times New Roman"/>
          <w:color w:val="000000"/>
        </w:rPr>
        <w:t>供应商</w:t>
      </w:r>
      <w:r>
        <w:rPr>
          <w:rFonts w:hint="eastAsia" w:ascii="Times New Roman" w:hAnsi="Times New Roman" w:cs="Times New Roman"/>
          <w:color w:val="auto"/>
        </w:rPr>
        <w:t>：（加盖公章）</w:t>
      </w:r>
    </w:p>
    <w:p w14:paraId="6CF4A3CD">
      <w:pPr>
        <w:rPr>
          <w:rFonts w:ascii="Times New Roman" w:hAnsi="Times New Roman" w:cs="Times New Roman"/>
          <w:color w:val="auto"/>
        </w:rPr>
      </w:pPr>
      <w:r>
        <w:rPr>
          <w:rFonts w:hint="eastAsia" w:ascii="Times New Roman" w:hAnsi="Times New Roman" w:cs="Times New Roman"/>
          <w:color w:val="auto"/>
          <w:lang w:eastAsia="zh-CN"/>
        </w:rPr>
        <w:t>法定代表人</w:t>
      </w:r>
      <w:r>
        <w:rPr>
          <w:rFonts w:ascii="Times New Roman" w:hAnsi="Times New Roman" w:cs="Times New Roman"/>
          <w:color w:val="auto"/>
        </w:rPr>
        <w:t>或被授权人：（签字或盖章）</w:t>
      </w:r>
    </w:p>
    <w:p w14:paraId="178CBAEE">
      <w:pPr>
        <w:tabs>
          <w:tab w:val="left" w:pos="5670"/>
        </w:tabs>
        <w:jc w:val="left"/>
        <w:rPr>
          <w:rFonts w:hint="eastAsia" w:ascii="宋体" w:hAnsi="宋体" w:cs="宋体"/>
          <w:sz w:val="24"/>
          <w:szCs w:val="24"/>
        </w:rPr>
      </w:pPr>
      <w:r>
        <w:rPr>
          <w:rFonts w:hint="eastAsia" w:ascii="Times New Roman" w:hAnsi="Times New Roman" w:cs="Times New Roman"/>
          <w:color w:val="000000"/>
        </w:rPr>
        <w:t>日　期：　　年　月　日</w:t>
      </w:r>
    </w:p>
    <w:p w14:paraId="4B04B7C8">
      <w:pPr>
        <w:spacing w:line="440" w:lineRule="exact"/>
        <w:rPr>
          <w:rFonts w:hint="eastAsia" w:ascii="宋体" w:hAnsi="宋体" w:cs="宋体"/>
          <w:b/>
          <w:sz w:val="24"/>
          <w:lang w:val="en-US" w:eastAsia="zh-CN"/>
        </w:rPr>
      </w:pPr>
      <w:r>
        <w:rPr>
          <w:rFonts w:hint="eastAsia" w:ascii="宋体" w:hAnsi="宋体" w:cs="宋体"/>
          <w:b/>
          <w:sz w:val="24"/>
          <w:lang w:val="en-US" w:eastAsia="zh-CN"/>
        </w:rPr>
        <w:t>说明：</w:t>
      </w:r>
    </w:p>
    <w:p w14:paraId="21BAD2E1">
      <w:pPr>
        <w:adjustRightInd w:val="0"/>
        <w:snapToGrid w:val="0"/>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9EFE3AD">
      <w:pPr>
        <w:adjustRightInd w:val="0"/>
        <w:snapToGrid w:val="0"/>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2、类别填写：节能环保产品或环境标志产品</w:t>
      </w:r>
    </w:p>
    <w:p w14:paraId="4D0FC40E">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05533544">
      <w:pPr>
        <w:spacing w:line="360" w:lineRule="atLeast"/>
        <w:jc w:val="center"/>
        <w:rPr>
          <w:rFonts w:ascii="仿宋" w:hAnsi="仿宋" w:eastAsia="仿宋" w:cs="仿宋"/>
          <w:b/>
          <w:szCs w:val="21"/>
        </w:rPr>
      </w:pPr>
    </w:p>
    <w:p w14:paraId="642F1837">
      <w:pPr>
        <w:spacing w:line="360" w:lineRule="atLeast"/>
        <w:jc w:val="center"/>
        <w:rPr>
          <w:rFonts w:ascii="仿宋" w:hAnsi="仿宋" w:eastAsia="仿宋" w:cs="仿宋"/>
          <w:b/>
          <w:szCs w:val="21"/>
        </w:rPr>
      </w:pPr>
    </w:p>
    <w:p w14:paraId="7DC0DDC1">
      <w:pPr>
        <w:spacing w:line="360" w:lineRule="atLeast"/>
        <w:jc w:val="center"/>
        <w:rPr>
          <w:rFonts w:ascii="仿宋" w:hAnsi="仿宋" w:eastAsia="仿宋" w:cs="仿宋"/>
          <w:b/>
          <w:szCs w:val="21"/>
        </w:rPr>
      </w:pPr>
    </w:p>
    <w:p w14:paraId="6744B443">
      <w:pPr>
        <w:spacing w:line="240" w:lineRule="auto"/>
        <w:jc w:val="center"/>
        <w:outlineLvl w:val="1"/>
        <w:rPr>
          <w:rFonts w:hint="eastAsia" w:ascii="宋体" w:hAnsi="宋体" w:eastAsia="宋体" w:cs="宋体"/>
          <w:b/>
          <w:color w:val="auto"/>
          <w:kern w:val="2"/>
          <w:sz w:val="28"/>
          <w:szCs w:val="28"/>
          <w:lang w:val="en-US" w:eastAsia="zh-CN" w:bidi="ar-SA"/>
        </w:rPr>
      </w:pPr>
    </w:p>
    <w:p w14:paraId="52E2629C">
      <w:pPr>
        <w:spacing w:line="240" w:lineRule="auto"/>
        <w:jc w:val="center"/>
        <w:outlineLvl w:val="1"/>
        <w:rPr>
          <w:rFonts w:ascii="Calibri Light" w:hAnsi="Calibri Light" w:eastAsia="黑体" w:cs="Times New Roman"/>
          <w:color w:val="1E386B"/>
          <w:kern w:val="2"/>
          <w:sz w:val="24"/>
          <w:szCs w:val="24"/>
          <w:lang w:val="en-US" w:eastAsia="zh-CN" w:bidi="ar-SA"/>
        </w:rPr>
      </w:pPr>
      <w:r>
        <w:rPr>
          <w:rFonts w:hint="eastAsia" w:ascii="宋体" w:hAnsi="宋体" w:eastAsia="宋体" w:cs="宋体"/>
          <w:b/>
          <w:color w:val="auto"/>
          <w:kern w:val="2"/>
          <w:sz w:val="28"/>
          <w:szCs w:val="28"/>
          <w:lang w:val="en-US" w:eastAsia="zh-CN" w:bidi="ar-SA"/>
        </w:rPr>
        <w:t>9、关于符合本国产品标准的声明函（如有可提供）</w:t>
      </w:r>
    </w:p>
    <w:p w14:paraId="6186A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61F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1.</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b/>
          <w:bCs/>
          <w:color w:val="000000"/>
          <w:kern w:val="2"/>
          <w:sz w:val="24"/>
          <w:szCs w:val="24"/>
          <w:u w:val="none"/>
          <w:shd w:val="clear" w:fill="FFFFFF"/>
          <w:vertAlign w:val="superscript"/>
          <w:lang w:val="en-US" w:eastAsia="zh-CN" w:bidi="ar-SA"/>
        </w:rPr>
        <w:t>1</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b/>
          <w:bCs/>
          <w:color w:val="000000"/>
          <w:kern w:val="2"/>
          <w:sz w:val="24"/>
          <w:szCs w:val="24"/>
          <w:u w:val="none"/>
          <w:shd w:val="clear" w:fill="FFFFFF"/>
          <w:vertAlign w:val="superscript"/>
          <w:lang w:val="en-US" w:eastAsia="zh-CN" w:bidi="ar-SA"/>
        </w:rPr>
        <w:t>2</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b/>
          <w:bCs/>
          <w:color w:val="000000"/>
          <w:kern w:val="2"/>
          <w:sz w:val="24"/>
          <w:szCs w:val="24"/>
          <w:u w:val="none"/>
          <w:shd w:val="clear" w:fill="FFFFFF"/>
          <w:vertAlign w:val="superscript"/>
          <w:lang w:val="en-US" w:eastAsia="zh-CN" w:bidi="ar-SA"/>
        </w:rPr>
        <w:t>3</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b/>
          <w:bCs/>
          <w:color w:val="000000"/>
          <w:kern w:val="2"/>
          <w:sz w:val="24"/>
          <w:szCs w:val="24"/>
          <w:u w:val="none"/>
          <w:shd w:val="clear" w:fill="FFFFFF"/>
          <w:vertAlign w:val="superscript"/>
          <w:lang w:val="en-US" w:eastAsia="zh-CN" w:bidi="ar-SA"/>
        </w:rPr>
        <w:t>4</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b/>
          <w:bCs/>
          <w:color w:val="000000"/>
          <w:kern w:val="2"/>
          <w:sz w:val="24"/>
          <w:szCs w:val="24"/>
          <w:u w:val="none"/>
          <w:shd w:val="clear" w:fill="FFFFFF"/>
          <w:vertAlign w:val="superscript"/>
          <w:lang w:val="en-US" w:eastAsia="zh-CN" w:bidi="ar-SA"/>
        </w:rPr>
        <w:t>5</w:t>
      </w:r>
      <w:r>
        <w:rPr>
          <w:rFonts w:hint="eastAsia" w:ascii="宋体" w:hAnsi="宋体" w:eastAsia="宋体" w:cs="宋体"/>
          <w:color w:val="000000"/>
          <w:kern w:val="0"/>
          <w:sz w:val="24"/>
          <w:szCs w:val="24"/>
          <w:u w:val="none"/>
          <w:shd w:val="clear" w:fill="FFFFFF"/>
          <w:lang w:val="en-US" w:eastAsia="zh-CN" w:bidi="ar-SA"/>
        </w:rPr>
        <w:t>在中国境内完成。</w:t>
      </w:r>
    </w:p>
    <w:p w14:paraId="38F08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2.</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color w:val="000000"/>
          <w:kern w:val="0"/>
          <w:sz w:val="24"/>
          <w:szCs w:val="24"/>
          <w:u w:val="none"/>
          <w:shd w:val="clear" w:fill="FFFFFF"/>
          <w:lang w:val="en-US" w:eastAsia="zh-CN" w:bidi="ar-SA"/>
        </w:rPr>
        <w:t>在中国境内完成。</w:t>
      </w:r>
    </w:p>
    <w:p w14:paraId="7A8C7A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w:t>
      </w:r>
    </w:p>
    <w:p w14:paraId="478A0C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000000"/>
          <w:kern w:val="0"/>
          <w:sz w:val="24"/>
          <w:szCs w:val="24"/>
          <w:u w:val="none"/>
          <w:shd w:val="clear" w:fill="FFFFFF"/>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本公司（单位）对上述声明内容的真实性负责。如有虚假，愿承担相应法律责任。</w:t>
      </w:r>
    </w:p>
    <w:p w14:paraId="4FEC1F4F">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left="100" w:right="0" w:firstLine="420"/>
        <w:jc w:val="center"/>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公司（单位）名称（盖章）：</w:t>
      </w:r>
    </w:p>
    <w:p w14:paraId="624599A0">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right="0"/>
        <w:jc w:val="center"/>
        <w:rPr>
          <w:rFonts w:hint="eastAsia" w:ascii="宋体" w:hAnsi="宋体" w:eastAsia="宋体" w:cs="宋体"/>
          <w:kern w:val="0"/>
          <w:sz w:val="28"/>
          <w:szCs w:val="28"/>
          <w:lang w:val="en-US" w:eastAsia="zh-CN" w:bidi="ar-SA"/>
        </w:rPr>
      </w:pPr>
      <w:r>
        <w:rPr>
          <w:rFonts w:hint="eastAsia" w:ascii="宋体" w:hAnsi="宋体" w:eastAsia="宋体" w:cs="宋体"/>
          <w:color w:val="000000"/>
          <w:kern w:val="0"/>
          <w:sz w:val="24"/>
          <w:szCs w:val="24"/>
          <w:u w:val="none"/>
          <w:shd w:val="clear" w:fill="FFFFFF"/>
          <w:lang w:val="en-US" w:eastAsia="zh-CN" w:bidi="ar-SA"/>
        </w:rPr>
        <w:t>日期：　 年　  月　  日 </w:t>
      </w:r>
    </w:p>
    <w:p w14:paraId="4B378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C83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D8F4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B83A9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156199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0B4F3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rPr>
          <w:rFonts w:hint="eastAsia" w:ascii="仿宋" w:hAnsi="仿宋" w:eastAsia="仿宋" w:cs="仿宋"/>
          <w:color w:val="000000"/>
          <w:kern w:val="0"/>
          <w:sz w:val="21"/>
          <w:szCs w:val="21"/>
          <w:u w:val="none"/>
          <w:shd w:val="clear" w:fill="FFFFFF"/>
          <w:lang w:val="en-US" w:eastAsia="zh-CN" w:bidi="ar-SA"/>
        </w:rPr>
      </w:pPr>
    </w:p>
    <w:p w14:paraId="211A7F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CADE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1.产品如有型号，请在“产品名称”栏一并填写。</w:t>
      </w:r>
    </w:p>
    <w:p w14:paraId="01F4B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2.生产厂名与厂址应与生产厂营业执照载明的相关信息保持一致。</w:t>
      </w:r>
    </w:p>
    <w:p w14:paraId="49E103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3.该产品的中国境内生产的组件成本占比相关要求实施前，“规定比例”栏可不填，下同。</w:t>
      </w:r>
    </w:p>
    <w:p w14:paraId="126C80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r>
        <w:rPr>
          <w:rFonts w:hint="eastAsia" w:ascii="仿宋" w:hAnsi="仿宋" w:eastAsia="仿宋" w:cs="仿宋"/>
          <w:color w:val="000000"/>
          <w:kern w:val="0"/>
          <w:sz w:val="21"/>
          <w:szCs w:val="21"/>
          <w:u w:val="none"/>
          <w:shd w:val="clear" w:fill="FFFFFF"/>
          <w:lang w:val="en-US" w:eastAsia="zh-CN" w:bidi="ar-SA"/>
        </w:rPr>
        <w:t>4.该产品的关键组件要求实施前，“关键组件”栏可不填，下同。</w:t>
      </w:r>
    </w:p>
    <w:p w14:paraId="4CFBADC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both"/>
        <w:textAlignment w:val="auto"/>
        <w:rPr>
          <w:rFonts w:hint="eastAsia" w:ascii="仿宋" w:hAnsi="仿宋" w:eastAsia="仿宋" w:cs="仿宋"/>
          <w:color w:val="auto"/>
        </w:rPr>
      </w:pPr>
      <w:r>
        <w:rPr>
          <w:rFonts w:hint="eastAsia" w:ascii="仿宋" w:hAnsi="仿宋" w:eastAsia="仿宋" w:cs="仿宋"/>
          <w:color w:val="000000"/>
          <w:kern w:val="0"/>
          <w:sz w:val="21"/>
          <w:szCs w:val="21"/>
          <w:u w:val="none"/>
          <w:shd w:val="clear" w:fill="FFFFFF"/>
          <w:lang w:val="en-US" w:eastAsia="zh-CN" w:bidi="ar-SA"/>
        </w:rPr>
        <w:t>5.该产品的关键工序要求实施前，“关键工序”栏可不填，下同。</w:t>
      </w:r>
      <w:r>
        <w:rPr>
          <w:rFonts w:hint="eastAsia" w:ascii="仿宋" w:hAnsi="仿宋" w:eastAsia="仿宋" w:cs="仿宋"/>
          <w:color w:val="auto"/>
        </w:rPr>
        <w:br w:type="page"/>
      </w:r>
    </w:p>
    <w:p w14:paraId="6A17ED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both"/>
        <w:textAlignment w:val="auto"/>
        <w:rPr>
          <w:rFonts w:hint="eastAsia" w:ascii="仿宋" w:hAnsi="仿宋" w:eastAsia="仿宋" w:cs="仿宋"/>
          <w:color w:val="auto"/>
        </w:rPr>
      </w:pPr>
    </w:p>
    <w:p w14:paraId="7CC999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2570" w:firstLineChars="800"/>
        <w:jc w:val="both"/>
        <w:textAlignment w:val="auto"/>
        <w:rPr>
          <w:rFonts w:ascii="仿宋" w:hAnsi="仿宋" w:eastAsia="仿宋" w:cs="仿宋"/>
          <w:color w:val="auto"/>
        </w:rPr>
      </w:pPr>
      <w:r>
        <w:rPr>
          <w:rFonts w:hint="eastAsia" w:ascii="宋体" w:hAnsi="宋体" w:eastAsia="宋体" w:cs="宋体"/>
          <w:b/>
          <w:bCs/>
          <w:color w:val="auto"/>
          <w:sz w:val="32"/>
          <w:szCs w:val="40"/>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技术参数</w:t>
      </w:r>
      <w:r>
        <w:rPr>
          <w:rFonts w:hint="eastAsia" w:ascii="宋体" w:hAnsi="宋体" w:eastAsia="宋体" w:cs="宋体"/>
          <w:b w:val="0"/>
          <w:bCs w:val="0"/>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eastAsia="宋体" w:cs="宋体"/>
          <w:b w:val="0"/>
          <w:bCs w:val="0"/>
          <w:color w:val="auto"/>
          <w:kern w:val="0"/>
          <w:sz w:val="24"/>
          <w:szCs w:val="24"/>
          <w:highlight w:val="none"/>
          <w:lang w:val="en-US" w:eastAsia="zh-CN"/>
        </w:rPr>
        <w:t>实施方案</w:t>
      </w:r>
      <w:r>
        <w:rPr>
          <w:rFonts w:hint="eastAsia" w:ascii="宋体" w:hAnsi="宋体" w:eastAsia="宋体" w:cs="宋体"/>
          <w:b w:val="0"/>
          <w:bCs w:val="0"/>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eastAsia="宋体" w:cs="宋体"/>
          <w:b w:val="0"/>
          <w:bCs w:val="0"/>
          <w:color w:val="auto"/>
          <w:kern w:val="0"/>
          <w:sz w:val="24"/>
          <w:szCs w:val="24"/>
          <w:highlight w:val="none"/>
          <w:lang w:val="en-US" w:eastAsia="zh-CN"/>
        </w:rPr>
        <w:t>培训方案</w:t>
      </w:r>
      <w:r>
        <w:rPr>
          <w:rFonts w:hint="eastAsia" w:ascii="宋体" w:hAnsi="宋体" w:eastAsia="宋体" w:cs="宋体"/>
          <w:b w:val="0"/>
          <w:bCs w:val="0"/>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eastAsia="宋体" w:cs="宋体"/>
          <w:b w:val="0"/>
          <w:bCs w:val="0"/>
          <w:color w:val="auto"/>
          <w:kern w:val="0"/>
          <w:sz w:val="24"/>
          <w:szCs w:val="24"/>
          <w:highlight w:val="none"/>
          <w:lang w:val="en-US" w:eastAsia="zh-CN"/>
        </w:rPr>
        <w:t>质量保证</w:t>
      </w:r>
      <w:r>
        <w:rPr>
          <w:rFonts w:hint="eastAsia" w:ascii="宋体" w:hAnsi="宋体" w:eastAsia="宋体" w:cs="宋体"/>
          <w:b w:val="0"/>
          <w:bCs w:val="0"/>
          <w:color w:val="auto"/>
          <w:kern w:val="0"/>
          <w:sz w:val="24"/>
          <w:szCs w:val="24"/>
          <w:highlight w:val="none"/>
        </w:rPr>
        <w:t>；</w:t>
      </w:r>
    </w:p>
    <w:p w14:paraId="0D58697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（五）</w:t>
      </w:r>
      <w:r>
        <w:rPr>
          <w:rFonts w:hint="eastAsia" w:ascii="宋体" w:hAnsi="宋体" w:eastAsia="宋体" w:cs="宋体"/>
          <w:b w:val="0"/>
          <w:bCs w:val="0"/>
          <w:color w:val="auto"/>
          <w:kern w:val="0"/>
          <w:sz w:val="24"/>
          <w:szCs w:val="24"/>
          <w:highlight w:val="none"/>
          <w:lang w:val="en-US" w:eastAsia="zh-CN"/>
        </w:rPr>
        <w:t>售后服务；</w:t>
      </w:r>
    </w:p>
    <w:p w14:paraId="01B2116A">
      <w:pPr>
        <w:tabs>
          <w:tab w:val="left" w:pos="7180"/>
          <w:tab w:val="left" w:pos="8640"/>
        </w:tabs>
        <w:autoSpaceDE w:val="0"/>
        <w:autoSpaceDN w:val="0"/>
        <w:spacing w:line="580" w:lineRule="exact"/>
        <w:ind w:left="60" w:firstLine="480"/>
        <w:jc w:val="left"/>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（六）业绩；</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w:t>
      </w:r>
      <w:r>
        <w:rPr>
          <w:rFonts w:hint="eastAsia" w:ascii="宋体" w:hAnsi="宋体" w:cs="宋体"/>
          <w:sz w:val="24"/>
          <w:szCs w:val="24"/>
          <w:highlight w:val="none"/>
          <w:lang w:val="en-US" w:eastAsia="zh-CN"/>
        </w:rPr>
        <w:t>供货期</w:t>
      </w:r>
      <w:r>
        <w:rPr>
          <w:rFonts w:hint="eastAsia" w:ascii="宋体" w:hAnsi="宋体" w:eastAsia="宋体" w:cs="宋体"/>
          <w:sz w:val="24"/>
          <w:szCs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5CD3E120">
      <w:pPr>
        <w:spacing w:before="156" w:beforeLines="50" w:line="360" w:lineRule="auto"/>
        <w:jc w:val="center"/>
        <w:rPr>
          <w:rFonts w:hint="eastAsia" w:ascii="宋体" w:hAnsi="宋体" w:eastAsia="宋体" w:cs="宋体"/>
          <w:b/>
          <w:kern w:val="2"/>
          <w:sz w:val="32"/>
          <w:szCs w:val="21"/>
          <w:lang w:val="en-US" w:eastAsia="zh-CN" w:bidi="ar-SA"/>
        </w:rPr>
      </w:pPr>
      <w:r>
        <w:rPr>
          <w:rFonts w:hint="eastAsia" w:ascii="宋体" w:hAnsi="宋体" w:eastAsia="宋体" w:cs="宋体"/>
          <w:b/>
          <w:kern w:val="2"/>
          <w:sz w:val="32"/>
          <w:szCs w:val="21"/>
          <w:lang w:val="en-US" w:eastAsia="zh-CN" w:bidi="ar-SA"/>
        </w:rPr>
        <w:t>（二）质量安全责任承诺书</w:t>
      </w:r>
    </w:p>
    <w:p w14:paraId="2FAD868C">
      <w:pPr>
        <w:spacing w:line="360" w:lineRule="auto"/>
        <w:ind w:firstLine="480" w:firstLineChars="200"/>
        <w:rPr>
          <w:rFonts w:hint="eastAsia" w:ascii="宋体" w:hAnsi="宋体" w:eastAsia="宋体" w:cs="宋体"/>
          <w:sz w:val="24"/>
          <w:szCs w:val="24"/>
        </w:rPr>
      </w:pPr>
    </w:p>
    <w:p w14:paraId="305E94C6">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为保证本采购项目顺利进行，作为投标</w:t>
      </w:r>
      <w:r>
        <w:rPr>
          <w:rFonts w:hint="eastAsia" w:ascii="宋体" w:hAnsi="宋体" w:cs="宋体"/>
          <w:sz w:val="24"/>
          <w:szCs w:val="24"/>
          <w:lang w:eastAsia="zh-CN"/>
        </w:rPr>
        <w:t>供应商</w:t>
      </w:r>
      <w:r>
        <w:rPr>
          <w:rFonts w:hint="eastAsia" w:ascii="宋体" w:hAnsi="宋体" w:eastAsia="宋体" w:cs="宋体"/>
          <w:sz w:val="24"/>
          <w:szCs w:val="24"/>
        </w:rPr>
        <w:t>，现郑重承诺：</w:t>
      </w:r>
    </w:p>
    <w:p w14:paraId="77802634">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1、我方投标产品的生产（包括设计、制造、安装等）、投入使用的材料等均完全符合国家现行质量、安全、环保标准和要求。</w:t>
      </w:r>
    </w:p>
    <w:p w14:paraId="2659A343">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2、我方将严格按照国家现行相关储存、运输、安装</w:t>
      </w:r>
      <w:r>
        <w:rPr>
          <w:rFonts w:hint="eastAsia" w:ascii="宋体" w:hAnsi="宋体" w:cs="宋体"/>
          <w:sz w:val="24"/>
          <w:szCs w:val="24"/>
          <w:lang w:eastAsia="zh-CN"/>
        </w:rPr>
        <w:t>、</w:t>
      </w:r>
      <w:r>
        <w:rPr>
          <w:rFonts w:hint="eastAsia" w:ascii="宋体" w:hAnsi="宋体" w:eastAsia="宋体" w:cs="宋体"/>
          <w:sz w:val="24"/>
          <w:szCs w:val="24"/>
        </w:rPr>
        <w:t>调试</w:t>
      </w:r>
      <w:r>
        <w:rPr>
          <w:rFonts w:hint="eastAsia" w:ascii="宋体" w:hAnsi="宋体" w:cs="宋体"/>
          <w:sz w:val="24"/>
          <w:szCs w:val="24"/>
          <w:lang w:eastAsia="zh-CN"/>
        </w:rPr>
        <w:t>、</w:t>
      </w:r>
      <w:r>
        <w:rPr>
          <w:rFonts w:hint="eastAsia" w:ascii="宋体" w:hAnsi="宋体" w:eastAsia="宋体" w:cs="宋体"/>
          <w:sz w:val="24"/>
          <w:szCs w:val="24"/>
        </w:rPr>
        <w:t>技术标准及规范、服务标准及规范、施工标准及规范，在规定的时限内，保质、保量完成项目全部内容，并向采购人交付合格产品。</w:t>
      </w:r>
    </w:p>
    <w:p w14:paraId="429D2281">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3、对于因产品生产质量以及储存、运输、安装调试、等过程中产生的任何安全事故，我方承担全部责任。</w:t>
      </w:r>
    </w:p>
    <w:p w14:paraId="748350BD">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4、我方提供的货物、工程、服务等符合现行的国家、行业、地区、企业标准及要求，标准不一致的，以更为严格的为准，我方对提供的货物、工程、服务等的质量、安全、环保等承担全部责任。</w:t>
      </w:r>
    </w:p>
    <w:p w14:paraId="480EB47C">
      <w:pPr>
        <w:spacing w:line="480" w:lineRule="auto"/>
        <w:ind w:firstLine="480" w:firstLineChars="200"/>
        <w:rPr>
          <w:rFonts w:hint="eastAsia" w:ascii="宋体" w:hAnsi="宋体" w:eastAsia="宋体" w:cs="宋体"/>
          <w:sz w:val="24"/>
          <w:szCs w:val="24"/>
        </w:rPr>
      </w:pPr>
    </w:p>
    <w:p w14:paraId="51AD1C9E">
      <w:pPr>
        <w:spacing w:line="480" w:lineRule="auto"/>
        <w:ind w:firstLine="480" w:firstLineChars="200"/>
        <w:rPr>
          <w:rFonts w:hint="eastAsia" w:ascii="宋体" w:hAnsi="宋体" w:eastAsia="宋体" w:cs="宋体"/>
          <w:color w:val="auto"/>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color w:val="auto"/>
          <w:sz w:val="24"/>
          <w:szCs w:val="24"/>
        </w:rPr>
        <w:t>（加盖公章）</w:t>
      </w:r>
    </w:p>
    <w:p w14:paraId="283EC1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法定代表人或被授权人：（签字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盖章）</w:t>
      </w:r>
    </w:p>
    <w:p w14:paraId="145665F5">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　　年　月　日</w:t>
      </w:r>
    </w:p>
    <w:p w14:paraId="416C7CF1">
      <w:pPr>
        <w:spacing w:before="156" w:beforeLines="50"/>
        <w:rPr>
          <w:rFonts w:hint="eastAsia" w:ascii="宋体" w:hAnsi="宋体" w:eastAsia="宋体" w:cs="宋体"/>
          <w:b/>
          <w:color w:val="000000"/>
        </w:rPr>
      </w:pPr>
    </w:p>
    <w:p w14:paraId="25EB4F7B">
      <w:pPr>
        <w:spacing w:before="156" w:beforeLines="50"/>
        <w:rPr>
          <w:rFonts w:hint="eastAsia" w:ascii="宋体" w:hAnsi="宋体" w:eastAsia="宋体" w:cs="宋体"/>
          <w:b/>
          <w:color w:val="000000"/>
        </w:rPr>
      </w:pPr>
    </w:p>
    <w:p w14:paraId="3134890E">
      <w:pPr>
        <w:spacing w:before="156" w:beforeLines="50"/>
        <w:rPr>
          <w:rFonts w:hint="eastAsia" w:ascii="宋体" w:hAnsi="宋体" w:eastAsia="宋体" w:cs="宋体"/>
          <w:b/>
          <w:color w:val="000000"/>
        </w:rPr>
      </w:pPr>
    </w:p>
    <w:p w14:paraId="6FA3905C">
      <w:pPr>
        <w:spacing w:before="156" w:beforeLines="50"/>
        <w:rPr>
          <w:rFonts w:hint="eastAsia" w:ascii="宋体" w:hAnsi="宋体" w:eastAsia="宋体" w:cs="宋体"/>
          <w:b/>
          <w:color w:val="000000"/>
        </w:rPr>
      </w:pPr>
    </w:p>
    <w:p w14:paraId="735757F8">
      <w:pPr>
        <w:spacing w:before="156" w:beforeLines="50"/>
        <w:rPr>
          <w:rFonts w:hint="eastAsia" w:ascii="宋体" w:hAnsi="宋体" w:eastAsia="宋体" w:cs="宋体"/>
          <w:b/>
          <w:color w:val="000000"/>
        </w:rPr>
      </w:pPr>
    </w:p>
    <w:p w14:paraId="1E997B2C">
      <w:pPr>
        <w:spacing w:line="360" w:lineRule="atLeast"/>
        <w:jc w:val="center"/>
        <w:rPr>
          <w:rFonts w:hint="eastAsia" w:ascii="宋体" w:hAnsi="宋体" w:eastAsia="宋体" w:cs="宋体"/>
          <w:b/>
          <w:sz w:val="32"/>
          <w:szCs w:val="32"/>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三）</w:t>
      </w:r>
      <w:r>
        <w:rPr>
          <w:rFonts w:hint="eastAsia" w:ascii="宋体" w:hAnsi="宋体" w:eastAsia="宋体" w:cs="宋体"/>
          <w:b/>
          <w:color w:val="000000"/>
          <w:sz w:val="24"/>
          <w:szCs w:val="32"/>
        </w:rPr>
        <w:t>承诺书</w:t>
      </w:r>
    </w:p>
    <w:p w14:paraId="1B923048">
      <w:pPr>
        <w:pStyle w:val="10"/>
        <w:rPr>
          <w:rFonts w:hint="eastAsia" w:ascii="宋体" w:hAnsi="宋体" w:eastAsia="宋体" w:cs="宋体"/>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4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DB4003D">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6FE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99274D">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，本公司承诺：在参加本项目</w:t>
            </w:r>
            <w:r>
              <w:rPr>
                <w:rFonts w:hint="eastAsia" w:ascii="宋体" w:hAnsi="宋体" w:eastAsia="宋体" w:cs="宋体"/>
                <w:sz w:val="24"/>
                <w:lang w:val="en-US" w:eastAsia="zh-CN"/>
              </w:rPr>
              <w:t>磋商</w:t>
            </w:r>
            <w:r>
              <w:rPr>
                <w:rFonts w:hint="eastAsia" w:ascii="宋体" w:hAnsi="宋体" w:eastAsia="宋体" w:cs="宋体"/>
                <w:sz w:val="24"/>
              </w:rPr>
              <w:t>之前不存在被依法禁止经营行为、财产被接管或冻结的情况，如有隐瞒实情，愿承担一切责任及后果。</w:t>
            </w:r>
          </w:p>
        </w:tc>
      </w:tr>
      <w:tr w14:paraId="23A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42FF5">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49BE58D1">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5B62DDA1">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28D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120C7B">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497BDCB0">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3FAFCCF8">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E03E2EE">
      <w:pPr>
        <w:spacing w:line="360" w:lineRule="atLeast"/>
        <w:rPr>
          <w:rFonts w:hint="eastAsia" w:ascii="宋体" w:hAnsi="宋体" w:eastAsia="宋体" w:cs="宋体"/>
          <w:b/>
          <w:color w:val="000000"/>
          <w:lang w:eastAsia="zh-CN"/>
        </w:rPr>
      </w:pPr>
    </w:p>
    <w:p w14:paraId="1D2EC6A8">
      <w:pPr>
        <w:spacing w:line="360" w:lineRule="atLeast"/>
        <w:jc w:val="center"/>
        <w:rPr>
          <w:rFonts w:hint="eastAsia" w:ascii="宋体" w:hAnsi="宋体" w:eastAsia="宋体" w:cs="宋体"/>
          <w:b/>
          <w:sz w:val="40"/>
          <w:szCs w:val="40"/>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四）</w:t>
      </w:r>
      <w:r>
        <w:rPr>
          <w:rFonts w:hint="eastAsia" w:ascii="宋体" w:hAnsi="宋体" w:eastAsia="宋体" w:cs="宋体"/>
          <w:b/>
          <w:color w:val="000000"/>
          <w:sz w:val="24"/>
          <w:szCs w:val="32"/>
        </w:rPr>
        <w:t>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703310F">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71BB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5AB38">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0632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370F41">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6741BC11">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33613DBC">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95E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93E5927">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6AC432C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5FBA2A51">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3B8E7936">
      <w:pPr>
        <w:spacing w:line="360" w:lineRule="atLeast"/>
        <w:rPr>
          <w:rFonts w:hint="eastAsia" w:ascii="宋体" w:hAnsi="宋体" w:eastAsia="宋体" w:cs="宋体"/>
          <w:b/>
          <w:sz w:val="32"/>
          <w:szCs w:val="32"/>
        </w:rPr>
      </w:pPr>
    </w:p>
    <w:p w14:paraId="2EDAA0DE">
      <w:pPr>
        <w:spacing w:line="360" w:lineRule="atLeast"/>
        <w:jc w:val="center"/>
        <w:rPr>
          <w:rFonts w:hint="eastAsia" w:ascii="宋体" w:hAnsi="宋体" w:eastAsia="宋体" w:cs="宋体"/>
          <w:b/>
          <w:sz w:val="32"/>
          <w:szCs w:val="32"/>
        </w:rPr>
      </w:pPr>
    </w:p>
    <w:p w14:paraId="3D025070">
      <w:pPr>
        <w:jc w:val="center"/>
        <w:rPr>
          <w:rFonts w:hint="eastAsia" w:ascii="宋体" w:hAnsi="宋体" w:eastAsia="宋体" w:cs="宋体"/>
          <w:b/>
          <w:sz w:val="40"/>
          <w:szCs w:val="40"/>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五）</w:t>
      </w:r>
      <w:r>
        <w:rPr>
          <w:rFonts w:hint="eastAsia" w:ascii="宋体" w:hAnsi="宋体" w:eastAsia="宋体" w:cs="宋体"/>
          <w:b/>
          <w:color w:val="000000"/>
          <w:sz w:val="24"/>
          <w:szCs w:val="32"/>
        </w:rPr>
        <w:t>承诺书</w:t>
      </w:r>
    </w:p>
    <w:p w14:paraId="18AC033B">
      <w:pPr>
        <w:pStyle w:val="10"/>
        <w:rPr>
          <w:rFonts w:hint="eastAsia" w:ascii="宋体" w:hAnsi="宋体" w:eastAsia="宋体" w:cs="宋体"/>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B8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4E4C5CA">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2A34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D3ABE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，本公司郑重申告：近三年因</w:t>
            </w:r>
            <w:r>
              <w:rPr>
                <w:rFonts w:hint="eastAsia" w:ascii="宋体" w:hAnsi="宋体" w:cs="宋体"/>
                <w:sz w:val="24"/>
                <w:lang w:val="en-US" w:eastAsia="zh-CN"/>
              </w:rPr>
              <w:t>供货</w:t>
            </w:r>
            <w:r>
              <w:rPr>
                <w:rFonts w:hint="eastAsia" w:ascii="宋体" w:hAnsi="宋体" w:eastAsia="宋体" w:cs="宋体"/>
                <w:sz w:val="24"/>
              </w:rPr>
              <w:t>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p w14:paraId="16344CA5">
            <w:pPr>
              <w:spacing w:line="360" w:lineRule="atLeast"/>
              <w:ind w:firstLine="480" w:firstLineChars="200"/>
              <w:rPr>
                <w:rFonts w:hint="eastAsia" w:ascii="宋体" w:hAnsi="宋体" w:eastAsia="宋体" w:cs="宋体"/>
                <w:sz w:val="24"/>
              </w:rPr>
            </w:pPr>
            <w:r>
              <w:rPr>
                <w:rFonts w:hint="eastAsia" w:ascii="宋体" w:hAnsi="宋体" w:eastAsia="宋体" w:cs="宋体"/>
                <w:sz w:val="24"/>
              </w:rPr>
              <w:t>本公司承诺：本次响应产品为正品行货。</w:t>
            </w:r>
          </w:p>
        </w:tc>
      </w:tr>
      <w:tr w14:paraId="5733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39F66E">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35FE3475">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459505BD">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59EE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664D46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1532E575">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2A2793D5">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3400AA66">
      <w:pPr>
        <w:spacing w:line="360" w:lineRule="atLeast"/>
        <w:rPr>
          <w:rFonts w:hint="eastAsia" w:ascii="宋体" w:hAnsi="宋体" w:eastAsia="宋体" w:cs="宋体"/>
          <w:b/>
          <w:color w:val="000000"/>
          <w:lang w:eastAsia="zh-CN"/>
        </w:rPr>
      </w:pPr>
    </w:p>
    <w:p w14:paraId="4F3AE159">
      <w:pPr>
        <w:spacing w:line="360" w:lineRule="atLeast"/>
        <w:jc w:val="center"/>
        <w:rPr>
          <w:rFonts w:hint="eastAsia" w:ascii="宋体" w:hAnsi="宋体" w:eastAsia="宋体" w:cs="宋体"/>
          <w:b/>
          <w:sz w:val="40"/>
          <w:szCs w:val="40"/>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六）</w:t>
      </w:r>
      <w:r>
        <w:rPr>
          <w:rFonts w:hint="eastAsia" w:ascii="宋体" w:hAnsi="宋体" w:eastAsia="宋体" w:cs="宋体"/>
          <w:b/>
          <w:color w:val="000000"/>
          <w:sz w:val="24"/>
          <w:szCs w:val="32"/>
        </w:rPr>
        <w:t>承诺书</w:t>
      </w:r>
    </w:p>
    <w:p w14:paraId="12C958F2">
      <w:pPr>
        <w:spacing w:line="360" w:lineRule="auto"/>
        <w:ind w:right="480"/>
        <w:rPr>
          <w:rFonts w:hint="eastAsia" w:ascii="宋体" w:hAnsi="宋体" w:eastAsia="宋体" w:cs="宋体"/>
          <w:sz w:val="24"/>
          <w:szCs w:val="28"/>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7F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BD6788E">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1F6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07B7CF">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，本公司承诺：参加本次</w:t>
            </w:r>
            <w:r>
              <w:rPr>
                <w:rFonts w:hint="eastAsia" w:ascii="宋体" w:hAnsi="宋体" w:eastAsia="宋体" w:cs="宋体"/>
                <w:sz w:val="24"/>
                <w:lang w:val="en-US" w:eastAsia="zh-CN"/>
              </w:rPr>
              <w:t>磋商</w:t>
            </w:r>
            <w:r>
              <w:rPr>
                <w:rFonts w:hint="eastAsia" w:ascii="宋体" w:hAnsi="宋体" w:eastAsia="宋体" w:cs="宋体"/>
                <w:sz w:val="24"/>
              </w:rPr>
              <w:t>提交的所有资质证明文件及业绩证明文件是真实的、有效的，如有隐瞒实情，愿承担一切责任及后果。</w:t>
            </w:r>
          </w:p>
        </w:tc>
      </w:tr>
      <w:tr w14:paraId="174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24BA06">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799041FD">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0E03AB58">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BDF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771767D">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1AE74170">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55071F47">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6088D15D">
      <w:pPr>
        <w:spacing w:line="360" w:lineRule="atLeast"/>
        <w:rPr>
          <w:rFonts w:hint="eastAsia" w:ascii="仿宋" w:hAnsi="仿宋" w:eastAsia="仿宋" w:cs="仿宋"/>
          <w:b/>
          <w:sz w:val="32"/>
          <w:szCs w:val="32"/>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w:t>
      </w:r>
      <w:r>
        <w:rPr>
          <w:rFonts w:hint="eastAsia" w:ascii="宋体" w:hAnsi="宋体" w:cs="宋体"/>
          <w:b/>
          <w:sz w:val="32"/>
          <w:szCs w:val="32"/>
          <w:lang w:val="en-US" w:eastAsia="zh-CN"/>
        </w:rPr>
        <w:t>七</w:t>
      </w:r>
      <w:r>
        <w:rPr>
          <w:rFonts w:hint="eastAsia" w:ascii="宋体" w:hAnsi="宋体" w:eastAsia="宋体" w:cs="宋体"/>
          <w:b/>
          <w:sz w:val="32"/>
          <w:szCs w:val="32"/>
        </w:rPr>
        <w:t>）控股管理关系承诺书（格式）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126C9B3C">
      <w:pPr>
        <w:pStyle w:val="31"/>
        <w:numPr>
          <w:ilvl w:val="0"/>
          <w:numId w:val="15"/>
        </w:numPr>
        <w:rPr>
          <w:rFonts w:hint="eastAsia" w:ascii="宋体" w:hAnsi="宋体" w:eastAsia="宋体" w:cs="宋体"/>
        </w:rPr>
      </w:pPr>
      <w:r>
        <w:rPr>
          <w:rFonts w:hint="eastAsia" w:ascii="宋体" w:hAnsi="宋体" w:eastAsia="宋体" w:cs="宋体"/>
        </w:rPr>
        <w:t xml:space="preserve"> 响应文件封袋标识式样</w:t>
      </w:r>
    </w:p>
    <w:p w14:paraId="6E675E60">
      <w:pPr>
        <w:bidi w:val="0"/>
        <w:rPr>
          <w:rFonts w:hint="eastAsia"/>
          <w:lang w:val="en-US" w:eastAsia="zh-CN"/>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GZC2026-CS-065</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甘泉下寺湾中心卫生院康复医学科建设项目医疗设备购置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010D69FF">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GZC2026-CS-065</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甘泉下寺湾中心卫生院康复医学科建设项目医疗设备购置</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3952DC7-7F50-4A2C-899C-0C8900E575B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A82A8F8-10B4-4680-BE23-0330BD738FB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04EB0D5-7929-4743-9027-5FE21F610B5C}"/>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embedRegular r:id="rId4" w:fontKey="{1E6A8202-CA23-4DF7-AC7B-3A43374992B5}"/>
  </w:font>
  <w:font w:name="华文仿宋">
    <w:altName w:val="仿宋"/>
    <w:panose1 w:val="02010600040101010101"/>
    <w:charset w:val="86"/>
    <w:family w:val="auto"/>
    <w:pitch w:val="default"/>
    <w:sig w:usb0="00000000" w:usb1="00000000" w:usb2="00000000" w:usb3="00000000" w:csb0="0004009F" w:csb1="DFD70000"/>
    <w:embedRegular r:id="rId5" w:fontKey="{73DA3416-1B53-497E-ADA1-2E9A465B17BE}"/>
  </w:font>
  <w:font w:name="仿宋">
    <w:panose1 w:val="02010609060101010101"/>
    <w:charset w:val="86"/>
    <w:family w:val="modern"/>
    <w:pitch w:val="default"/>
    <w:sig w:usb0="800002BF" w:usb1="38CF7CFA" w:usb2="00000016" w:usb3="00000000" w:csb0="00040001" w:csb1="00000000"/>
    <w:embedRegular r:id="rId6" w:fontKey="{A48C9E31-02D0-4D54-8667-DC9E12059556}"/>
  </w:font>
  <w:font w:name="Cambria">
    <w:panose1 w:val="02040503050406030204"/>
    <w:charset w:val="00"/>
    <w:family w:val="roman"/>
    <w:pitch w:val="default"/>
    <w:sig w:usb0="E00006FF" w:usb1="420024FF" w:usb2="02000000" w:usb3="00000000" w:csb0="2000019F" w:csb1="00000000"/>
    <w:embedRegular r:id="rId7" w:fontKey="{848B9C82-0556-4450-B538-7811A5A28402}"/>
  </w:font>
  <w:font w:name="微软雅黑">
    <w:panose1 w:val="020B0503020204020204"/>
    <w:charset w:val="86"/>
    <w:family w:val="swiss"/>
    <w:pitch w:val="default"/>
    <w:sig w:usb0="80000287" w:usb1="2ACF3C50" w:usb2="00000016" w:usb3="00000000" w:csb0="0004001F" w:csb1="00000000"/>
    <w:embedRegular r:id="rId8" w:fontKey="{E5072F99-B2A9-4DD4-9AE5-CDEA9170355E}"/>
  </w:font>
  <w:font w:name="等线">
    <w:panose1 w:val="02010600030101010101"/>
    <w:charset w:val="86"/>
    <w:family w:val="auto"/>
    <w:pitch w:val="default"/>
    <w:sig w:usb0="A00002BF" w:usb1="38CF7CFA" w:usb2="00000016" w:usb3="00000000" w:csb0="0004000F" w:csb1="00000000"/>
    <w:embedRegular r:id="rId9" w:fontKey="{AF6C451C-5987-4FBD-AE59-ECDE834D20C7}"/>
  </w:font>
  <w:font w:name="仿宋_GB2312">
    <w:panose1 w:val="02010609030101010101"/>
    <w:charset w:val="86"/>
    <w:family w:val="auto"/>
    <w:pitch w:val="default"/>
    <w:sig w:usb0="00000001" w:usb1="080E0000" w:usb2="00000000" w:usb3="00000000" w:csb0="00040000" w:csb1="00000000"/>
    <w:embedRegular r:id="rId10" w:fontKey="{91A186B8-68D9-4E51-B915-67A69415A2B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甘泉下寺湾中心卫生院康复医学科建设项目医疗设备购置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甘泉下寺湾中心卫生院康复医学科建设项目医疗设备购置</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GZC2026-CS-065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jc w:val="left"/>
    </w:pPr>
    <w:r>
      <w:rPr>
        <w:rFonts w:hint="eastAsia" w:ascii="宋体" w:hAnsi="宋体" w:cs="宋体"/>
        <w:sz w:val="18"/>
        <w:szCs w:val="18"/>
        <w:lang w:eastAsia="zh-CN"/>
      </w:rPr>
      <w:t>甘泉下寺湾中心卫生院康复医学科建设项目医疗设备购置</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GZC2026-CS-065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甘泉下寺湾中心卫生院康复医学科建设项目医疗设备购置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编号：</w:t>
    </w:r>
    <w:r>
      <w:rPr>
        <w:rFonts w:hint="eastAsia" w:ascii="宋体" w:hAnsi="宋体" w:cs="宋体"/>
        <w:lang w:eastAsia="zh-CN"/>
      </w:rPr>
      <w:t>GZC2026-CS-065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D26D4">
    <w:pPr>
      <w:pStyle w:val="13"/>
      <w:pBdr>
        <w:bottom w:val="none" w:color="auto" w:sz="0" w:space="1"/>
      </w:pBdr>
      <w:jc w:val="left"/>
      <w:rPr>
        <w:rFonts w:ascii="Times New Roman" w:hAnsi="Times New Roman" w:eastAsia="宋体" w:cs="Times New Roman"/>
      </w:rPr>
    </w:pPr>
    <w:r>
      <w:rPr>
        <w:rFonts w:hint="eastAsia" w:ascii="宋体" w:hAnsi="宋体" w:cs="宋体"/>
        <w:kern w:val="2"/>
        <w:sz w:val="18"/>
        <w:szCs w:val="18"/>
        <w:lang w:val="en-US" w:eastAsia="zh-CN" w:bidi="ar-SA"/>
      </w:rPr>
      <w:t>甘泉下寺湾中心卫生院康复医学科建设项目医疗设备购置</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GZC2026-CS-065</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甘泉下寺湾中心卫生院康复医学科建设项目医疗设备购置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4447F"/>
    <w:multiLevelType w:val="singleLevel"/>
    <w:tmpl w:val="81C4447F"/>
    <w:lvl w:ilvl="0" w:tentative="0">
      <w:start w:val="1"/>
      <w:numFmt w:val="chineseCounting"/>
      <w:suff w:val="nothing"/>
      <w:lvlText w:val="（%1）"/>
      <w:lvlJc w:val="left"/>
      <w:rPr>
        <w:rFonts w:hint="eastAsia"/>
      </w:rPr>
    </w:lvl>
  </w:abstractNum>
  <w:abstractNum w:abstractNumId="1">
    <w:nsid w:val="8501502F"/>
    <w:multiLevelType w:val="singleLevel"/>
    <w:tmpl w:val="8501502F"/>
    <w:lvl w:ilvl="0" w:tentative="0">
      <w:start w:val="1"/>
      <w:numFmt w:val="decimal"/>
      <w:suff w:val="space"/>
      <w:lvlText w:val="%1."/>
      <w:lvlJc w:val="left"/>
      <w:pPr>
        <w:ind w:left="845" w:hanging="425"/>
      </w:pPr>
      <w:rPr>
        <w:rFonts w:hint="default"/>
      </w:rPr>
    </w:lvl>
  </w:abstractNum>
  <w:abstractNum w:abstractNumId="2">
    <w:nsid w:val="890D2D2C"/>
    <w:multiLevelType w:val="singleLevel"/>
    <w:tmpl w:val="890D2D2C"/>
    <w:lvl w:ilvl="0" w:tentative="0">
      <w:start w:val="1"/>
      <w:numFmt w:val="chineseCounting"/>
      <w:suff w:val="space"/>
      <w:lvlText w:val="第%1章"/>
      <w:lvlJc w:val="left"/>
      <w:rPr>
        <w:rFonts w:hint="eastAsia"/>
      </w:rPr>
    </w:lvl>
  </w:abstractNum>
  <w:abstractNum w:abstractNumId="3">
    <w:nsid w:val="A1B94303"/>
    <w:multiLevelType w:val="singleLevel"/>
    <w:tmpl w:val="A1B94303"/>
    <w:lvl w:ilvl="0" w:tentative="0">
      <w:start w:val="1"/>
      <w:numFmt w:val="chineseCounting"/>
      <w:suff w:val="nothing"/>
      <w:lvlText w:val="%1、"/>
      <w:lvlJc w:val="left"/>
      <w:rPr>
        <w:rFonts w:hint="eastAsia"/>
      </w:rPr>
    </w:lvl>
  </w:abstractNum>
  <w:abstractNum w:abstractNumId="4">
    <w:nsid w:val="A874D0C0"/>
    <w:multiLevelType w:val="singleLevel"/>
    <w:tmpl w:val="A874D0C0"/>
    <w:lvl w:ilvl="0" w:tentative="0">
      <w:start w:val="1"/>
      <w:numFmt w:val="decimal"/>
      <w:suff w:val="nothing"/>
      <w:lvlText w:val="%1、"/>
      <w:lvlJc w:val="left"/>
    </w:lvl>
  </w:abstractNum>
  <w:abstractNum w:abstractNumId="5">
    <w:nsid w:val="BD6EE88B"/>
    <w:multiLevelType w:val="singleLevel"/>
    <w:tmpl w:val="BD6EE88B"/>
    <w:lvl w:ilvl="0" w:tentative="0">
      <w:start w:val="1"/>
      <w:numFmt w:val="chineseCounting"/>
      <w:suff w:val="nothing"/>
      <w:lvlText w:val="%1、"/>
      <w:lvlJc w:val="left"/>
      <w:rPr>
        <w:rFonts w:hint="eastAsia"/>
      </w:rPr>
    </w:lvl>
  </w:abstractNum>
  <w:abstractNum w:abstractNumId="6">
    <w:nsid w:val="1AF67877"/>
    <w:multiLevelType w:val="singleLevel"/>
    <w:tmpl w:val="1AF67877"/>
    <w:lvl w:ilvl="0" w:tentative="0">
      <w:start w:val="2"/>
      <w:numFmt w:val="chineseCounting"/>
      <w:suff w:val="space"/>
      <w:lvlText w:val="第%1部分"/>
      <w:lvlJc w:val="left"/>
      <w:rPr>
        <w:rFonts w:hint="eastAsia"/>
      </w:rPr>
    </w:lvl>
  </w:abstractNum>
  <w:abstractNum w:abstractNumId="7">
    <w:nsid w:val="1F268CAD"/>
    <w:multiLevelType w:val="singleLevel"/>
    <w:tmpl w:val="1F268CAD"/>
    <w:lvl w:ilvl="0" w:tentative="0">
      <w:start w:val="6"/>
      <w:numFmt w:val="decimal"/>
      <w:suff w:val="nothing"/>
      <w:lvlText w:val="%1、"/>
      <w:lvlJc w:val="left"/>
    </w:lvl>
  </w:abstractNum>
  <w:abstractNum w:abstractNumId="8">
    <w:nsid w:val="233230D9"/>
    <w:multiLevelType w:val="singleLevel"/>
    <w:tmpl w:val="233230D9"/>
    <w:lvl w:ilvl="0" w:tentative="0">
      <w:start w:val="1"/>
      <w:numFmt w:val="chineseCounting"/>
      <w:suff w:val="nothing"/>
      <w:lvlText w:val="（%1）"/>
      <w:lvlJc w:val="left"/>
      <w:rPr>
        <w:rFonts w:hint="eastAsia"/>
      </w:rPr>
    </w:lvl>
  </w:abstractNum>
  <w:abstractNum w:abstractNumId="9">
    <w:nsid w:val="2FE6198D"/>
    <w:multiLevelType w:val="singleLevel"/>
    <w:tmpl w:val="2FE6198D"/>
    <w:lvl w:ilvl="0" w:tentative="0">
      <w:start w:val="7"/>
      <w:numFmt w:val="chineseCounting"/>
      <w:suff w:val="space"/>
      <w:lvlText w:val="第%1部分"/>
      <w:lvlJc w:val="left"/>
      <w:rPr>
        <w:rFonts w:hint="eastAsia"/>
      </w:rPr>
    </w:lvl>
  </w:abstractNum>
  <w:abstractNum w:abstractNumId="10">
    <w:nsid w:val="4D6C67F4"/>
    <w:multiLevelType w:val="singleLevel"/>
    <w:tmpl w:val="4D6C67F4"/>
    <w:lvl w:ilvl="0" w:tentative="0">
      <w:start w:val="1"/>
      <w:numFmt w:val="chineseCounting"/>
      <w:suff w:val="nothing"/>
      <w:lvlText w:val="%1、"/>
      <w:lvlJc w:val="left"/>
      <w:rPr>
        <w:rFonts w:hint="eastAsia"/>
      </w:rPr>
    </w:lvl>
  </w:abstractNum>
  <w:abstractNum w:abstractNumId="11">
    <w:nsid w:val="518C8F9E"/>
    <w:multiLevelType w:val="singleLevel"/>
    <w:tmpl w:val="518C8F9E"/>
    <w:lvl w:ilvl="0" w:tentative="0">
      <w:start w:val="3"/>
      <w:numFmt w:val="chineseCounting"/>
      <w:suff w:val="nothing"/>
      <w:lvlText w:val="（%1）"/>
      <w:lvlJc w:val="left"/>
      <w:rPr>
        <w:rFonts w:hint="eastAsia"/>
      </w:rPr>
    </w:lvl>
  </w:abstractNum>
  <w:abstractNum w:abstractNumId="12">
    <w:nsid w:val="5694B7E5"/>
    <w:multiLevelType w:val="singleLevel"/>
    <w:tmpl w:val="5694B7E5"/>
    <w:lvl w:ilvl="0" w:tentative="0">
      <w:start w:val="1"/>
      <w:numFmt w:val="decimal"/>
      <w:suff w:val="nothing"/>
      <w:lvlText w:val="%1、"/>
      <w:lvlJc w:val="left"/>
    </w:lvl>
  </w:abstractNum>
  <w:abstractNum w:abstractNumId="13">
    <w:nsid w:val="5ECB7B5B"/>
    <w:multiLevelType w:val="singleLevel"/>
    <w:tmpl w:val="5ECB7B5B"/>
    <w:lvl w:ilvl="0" w:tentative="0">
      <w:start w:val="2"/>
      <w:numFmt w:val="decimal"/>
      <w:lvlText w:val="%1."/>
      <w:lvlJc w:val="left"/>
      <w:pPr>
        <w:tabs>
          <w:tab w:val="left" w:pos="312"/>
        </w:tabs>
      </w:pPr>
    </w:lvl>
  </w:abstractNum>
  <w:abstractNum w:abstractNumId="14">
    <w:nsid w:val="649A0F24"/>
    <w:multiLevelType w:val="singleLevel"/>
    <w:tmpl w:val="649A0F24"/>
    <w:lvl w:ilvl="0" w:tentative="0">
      <w:start w:val="1"/>
      <w:numFmt w:val="chineseCounting"/>
      <w:suff w:val="nothing"/>
      <w:lvlText w:val="%1、"/>
      <w:lvlJc w:val="left"/>
      <w:rPr>
        <w:rFonts w:hint="eastAsia"/>
      </w:rPr>
    </w:lvl>
  </w:abstractNum>
  <w:num w:numId="1">
    <w:abstractNumId w:val="2"/>
  </w:num>
  <w:num w:numId="2">
    <w:abstractNumId w:val="8"/>
  </w:num>
  <w:num w:numId="3">
    <w:abstractNumId w:val="0"/>
  </w:num>
  <w:num w:numId="4">
    <w:abstractNumId w:val="5"/>
  </w:num>
  <w:num w:numId="5">
    <w:abstractNumId w:val="14"/>
  </w:num>
  <w:num w:numId="6">
    <w:abstractNumId w:val="10"/>
  </w:num>
  <w:num w:numId="7">
    <w:abstractNumId w:val="3"/>
  </w:num>
  <w:num w:numId="8">
    <w:abstractNumId w:val="13"/>
  </w:num>
  <w:num w:numId="9">
    <w:abstractNumId w:val="1"/>
  </w:num>
  <w:num w:numId="10">
    <w:abstractNumId w:val="7"/>
  </w:num>
  <w:num w:numId="11">
    <w:abstractNumId w:val="4"/>
  </w:num>
  <w:num w:numId="12">
    <w:abstractNumId w:val="6"/>
  </w:num>
  <w:num w:numId="13">
    <w:abstractNumId w:val="12"/>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C4352"/>
    <w:rsid w:val="01BE7323"/>
    <w:rsid w:val="01CA3F1A"/>
    <w:rsid w:val="01D408F4"/>
    <w:rsid w:val="01E943A0"/>
    <w:rsid w:val="021B0FB9"/>
    <w:rsid w:val="02443CCC"/>
    <w:rsid w:val="02B0310F"/>
    <w:rsid w:val="02CA61DC"/>
    <w:rsid w:val="02D24770"/>
    <w:rsid w:val="02FD1121"/>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5C5E8E"/>
    <w:rsid w:val="057348A5"/>
    <w:rsid w:val="05BB24F7"/>
    <w:rsid w:val="05E1683E"/>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BD51E39"/>
    <w:rsid w:val="0C167005"/>
    <w:rsid w:val="0C515FBA"/>
    <w:rsid w:val="0CC04897"/>
    <w:rsid w:val="0CCE2B10"/>
    <w:rsid w:val="0CFB767D"/>
    <w:rsid w:val="0D31309F"/>
    <w:rsid w:val="0D4B23B2"/>
    <w:rsid w:val="0D4F776B"/>
    <w:rsid w:val="0DF336A4"/>
    <w:rsid w:val="0E0E5177"/>
    <w:rsid w:val="0E1358E5"/>
    <w:rsid w:val="0F2851B8"/>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E2762C"/>
    <w:rsid w:val="15F335E7"/>
    <w:rsid w:val="163836F0"/>
    <w:rsid w:val="169A5B0F"/>
    <w:rsid w:val="169E17A5"/>
    <w:rsid w:val="16CD5BE6"/>
    <w:rsid w:val="177D585E"/>
    <w:rsid w:val="17AA55B9"/>
    <w:rsid w:val="17E72CD8"/>
    <w:rsid w:val="18200032"/>
    <w:rsid w:val="182F5358"/>
    <w:rsid w:val="18842C1C"/>
    <w:rsid w:val="18AB495E"/>
    <w:rsid w:val="18E15979"/>
    <w:rsid w:val="19197809"/>
    <w:rsid w:val="194F6D87"/>
    <w:rsid w:val="19540F9E"/>
    <w:rsid w:val="19766901"/>
    <w:rsid w:val="19921369"/>
    <w:rsid w:val="19B77C3C"/>
    <w:rsid w:val="19E537AA"/>
    <w:rsid w:val="1A266185"/>
    <w:rsid w:val="1A6C2290"/>
    <w:rsid w:val="1A7867B1"/>
    <w:rsid w:val="1A8101E8"/>
    <w:rsid w:val="1AA650CC"/>
    <w:rsid w:val="1AE8109D"/>
    <w:rsid w:val="1AF71E0D"/>
    <w:rsid w:val="1B3721C8"/>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5F46EB"/>
    <w:rsid w:val="1EB853CE"/>
    <w:rsid w:val="1F1C79C5"/>
    <w:rsid w:val="1FB913FE"/>
    <w:rsid w:val="20515ADA"/>
    <w:rsid w:val="20C95670"/>
    <w:rsid w:val="20E325CD"/>
    <w:rsid w:val="20FD17BE"/>
    <w:rsid w:val="210112AE"/>
    <w:rsid w:val="21582E98"/>
    <w:rsid w:val="21D55048"/>
    <w:rsid w:val="21DC13D3"/>
    <w:rsid w:val="21EE6184"/>
    <w:rsid w:val="222A65E3"/>
    <w:rsid w:val="225D0766"/>
    <w:rsid w:val="244B45EE"/>
    <w:rsid w:val="24BE1264"/>
    <w:rsid w:val="24EE1B49"/>
    <w:rsid w:val="25657932"/>
    <w:rsid w:val="25AF4FA2"/>
    <w:rsid w:val="25BA5ED0"/>
    <w:rsid w:val="25E019B8"/>
    <w:rsid w:val="25F27158"/>
    <w:rsid w:val="262D156E"/>
    <w:rsid w:val="2698212E"/>
    <w:rsid w:val="27084A19"/>
    <w:rsid w:val="270F5DA7"/>
    <w:rsid w:val="274E2D73"/>
    <w:rsid w:val="277275EC"/>
    <w:rsid w:val="27B357E0"/>
    <w:rsid w:val="28046D39"/>
    <w:rsid w:val="282A4BA6"/>
    <w:rsid w:val="28341F69"/>
    <w:rsid w:val="284D302B"/>
    <w:rsid w:val="287560DE"/>
    <w:rsid w:val="299E1E58"/>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1FE5396"/>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613CF"/>
    <w:rsid w:val="351A6043"/>
    <w:rsid w:val="35357321"/>
    <w:rsid w:val="357C00B2"/>
    <w:rsid w:val="359978AF"/>
    <w:rsid w:val="364F4412"/>
    <w:rsid w:val="367774C5"/>
    <w:rsid w:val="369D62DA"/>
    <w:rsid w:val="37222033"/>
    <w:rsid w:val="374B2E2B"/>
    <w:rsid w:val="379841E9"/>
    <w:rsid w:val="37A12A4B"/>
    <w:rsid w:val="38117DAE"/>
    <w:rsid w:val="38AE0C59"/>
    <w:rsid w:val="38B4055C"/>
    <w:rsid w:val="38BD1B07"/>
    <w:rsid w:val="38F10D90"/>
    <w:rsid w:val="38F92413"/>
    <w:rsid w:val="39181B75"/>
    <w:rsid w:val="39627FB8"/>
    <w:rsid w:val="3A8B4605"/>
    <w:rsid w:val="3AA840F1"/>
    <w:rsid w:val="3AE0388B"/>
    <w:rsid w:val="3B196D9D"/>
    <w:rsid w:val="3B241D89"/>
    <w:rsid w:val="3B2C6AD0"/>
    <w:rsid w:val="3B6434E3"/>
    <w:rsid w:val="3B6B3ED8"/>
    <w:rsid w:val="3B77709B"/>
    <w:rsid w:val="3B7A1457"/>
    <w:rsid w:val="3B90705F"/>
    <w:rsid w:val="3C3D6ABB"/>
    <w:rsid w:val="3C8F37BA"/>
    <w:rsid w:val="3CA8662A"/>
    <w:rsid w:val="3CFC47B1"/>
    <w:rsid w:val="3D31661F"/>
    <w:rsid w:val="3D6A7D83"/>
    <w:rsid w:val="3D89645B"/>
    <w:rsid w:val="3DA74B34"/>
    <w:rsid w:val="3E834C59"/>
    <w:rsid w:val="3F4563B2"/>
    <w:rsid w:val="3F516B05"/>
    <w:rsid w:val="3FBC27A4"/>
    <w:rsid w:val="3FC90D91"/>
    <w:rsid w:val="4004626D"/>
    <w:rsid w:val="40077B0C"/>
    <w:rsid w:val="40090E3A"/>
    <w:rsid w:val="401069C0"/>
    <w:rsid w:val="403D352D"/>
    <w:rsid w:val="412A3AB2"/>
    <w:rsid w:val="413C46E7"/>
    <w:rsid w:val="4168282C"/>
    <w:rsid w:val="417E3DFD"/>
    <w:rsid w:val="41CA720D"/>
    <w:rsid w:val="41D81760"/>
    <w:rsid w:val="420C31B7"/>
    <w:rsid w:val="423544BC"/>
    <w:rsid w:val="43252782"/>
    <w:rsid w:val="43903853"/>
    <w:rsid w:val="43B16305"/>
    <w:rsid w:val="43D9356D"/>
    <w:rsid w:val="43E048FB"/>
    <w:rsid w:val="43EE526A"/>
    <w:rsid w:val="44901E7E"/>
    <w:rsid w:val="44B75DD3"/>
    <w:rsid w:val="44F22BD3"/>
    <w:rsid w:val="456B6447"/>
    <w:rsid w:val="467523F0"/>
    <w:rsid w:val="46841F07"/>
    <w:rsid w:val="46E94959"/>
    <w:rsid w:val="471A45C8"/>
    <w:rsid w:val="471C5C4A"/>
    <w:rsid w:val="4787446C"/>
    <w:rsid w:val="47A90A7F"/>
    <w:rsid w:val="47B04F1D"/>
    <w:rsid w:val="47D36DA5"/>
    <w:rsid w:val="47E726FC"/>
    <w:rsid w:val="482374AD"/>
    <w:rsid w:val="4834214E"/>
    <w:rsid w:val="486C2C02"/>
    <w:rsid w:val="48855A71"/>
    <w:rsid w:val="489973C7"/>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C31CF8"/>
    <w:rsid w:val="4BE07B8E"/>
    <w:rsid w:val="4C207F8B"/>
    <w:rsid w:val="4C374B47"/>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1B692F"/>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B959EF"/>
    <w:rsid w:val="58FE78A6"/>
    <w:rsid w:val="59592D2E"/>
    <w:rsid w:val="59617E35"/>
    <w:rsid w:val="59652C19"/>
    <w:rsid w:val="5976568E"/>
    <w:rsid w:val="59945B14"/>
    <w:rsid w:val="5AAB75B9"/>
    <w:rsid w:val="5AAE0E58"/>
    <w:rsid w:val="5AE43107"/>
    <w:rsid w:val="5B7958E6"/>
    <w:rsid w:val="5B81656C"/>
    <w:rsid w:val="5BBB382C"/>
    <w:rsid w:val="5C186ED1"/>
    <w:rsid w:val="5C45759A"/>
    <w:rsid w:val="5C4C6B7A"/>
    <w:rsid w:val="5CC46711"/>
    <w:rsid w:val="5CD050B5"/>
    <w:rsid w:val="5CD10E2D"/>
    <w:rsid w:val="5CFE1FEA"/>
    <w:rsid w:val="5D485594"/>
    <w:rsid w:val="5D6F2B20"/>
    <w:rsid w:val="5D973E25"/>
    <w:rsid w:val="5DB524FD"/>
    <w:rsid w:val="5DBA7B13"/>
    <w:rsid w:val="5E0A45F7"/>
    <w:rsid w:val="5E113BD7"/>
    <w:rsid w:val="5E2A4C99"/>
    <w:rsid w:val="5F447FDD"/>
    <w:rsid w:val="5F4D50E3"/>
    <w:rsid w:val="5F812FDF"/>
    <w:rsid w:val="5F996BDC"/>
    <w:rsid w:val="5FB84439"/>
    <w:rsid w:val="5FC34763"/>
    <w:rsid w:val="5FE07D05"/>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612F0B"/>
    <w:rsid w:val="63750E47"/>
    <w:rsid w:val="637A5D7B"/>
    <w:rsid w:val="63F72216"/>
    <w:rsid w:val="63FC2C34"/>
    <w:rsid w:val="640F01D3"/>
    <w:rsid w:val="64467F5D"/>
    <w:rsid w:val="644A706C"/>
    <w:rsid w:val="646B5EC3"/>
    <w:rsid w:val="65925FE9"/>
    <w:rsid w:val="65BC08CD"/>
    <w:rsid w:val="66342367"/>
    <w:rsid w:val="66B55806"/>
    <w:rsid w:val="66BC6E65"/>
    <w:rsid w:val="670318D0"/>
    <w:rsid w:val="674325B2"/>
    <w:rsid w:val="678478B2"/>
    <w:rsid w:val="67AC3EF2"/>
    <w:rsid w:val="67E06114"/>
    <w:rsid w:val="67EE0D52"/>
    <w:rsid w:val="67EE6D37"/>
    <w:rsid w:val="67FA56DC"/>
    <w:rsid w:val="67FD1A46"/>
    <w:rsid w:val="67FF7197"/>
    <w:rsid w:val="687E00BB"/>
    <w:rsid w:val="688D47A2"/>
    <w:rsid w:val="68F6059A"/>
    <w:rsid w:val="69C6509B"/>
    <w:rsid w:val="69E05F1F"/>
    <w:rsid w:val="69E55B4F"/>
    <w:rsid w:val="69E91EAC"/>
    <w:rsid w:val="6A2C1D99"/>
    <w:rsid w:val="6A38073E"/>
    <w:rsid w:val="6AF02DC7"/>
    <w:rsid w:val="6AFE3735"/>
    <w:rsid w:val="6B2A62D8"/>
    <w:rsid w:val="6B7457A6"/>
    <w:rsid w:val="6B95409A"/>
    <w:rsid w:val="6BC93D43"/>
    <w:rsid w:val="6C192365"/>
    <w:rsid w:val="6C321BD4"/>
    <w:rsid w:val="6C450EF0"/>
    <w:rsid w:val="6C81461E"/>
    <w:rsid w:val="6CF44DF0"/>
    <w:rsid w:val="6D2E1181"/>
    <w:rsid w:val="6D94212F"/>
    <w:rsid w:val="6D9E127C"/>
    <w:rsid w:val="6DAE6227"/>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7F86685"/>
    <w:rsid w:val="784C388E"/>
    <w:rsid w:val="7892370F"/>
    <w:rsid w:val="78B813C8"/>
    <w:rsid w:val="7919798C"/>
    <w:rsid w:val="791F0D7D"/>
    <w:rsid w:val="794964C4"/>
    <w:rsid w:val="79B349F7"/>
    <w:rsid w:val="79BA6AC9"/>
    <w:rsid w:val="7A4F18B8"/>
    <w:rsid w:val="7A8377B3"/>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9A77C9"/>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8"/>
    <w:qFormat/>
    <w:uiPriority w:val="0"/>
    <w:pPr>
      <w:spacing w:before="240" w:after="60"/>
      <w:jc w:val="center"/>
      <w:outlineLvl w:val="0"/>
    </w:pPr>
    <w:rPr>
      <w:rFonts w:ascii="Arial" w:hAnsi="Arial"/>
      <w:b/>
      <w:sz w:val="44"/>
    </w:rPr>
  </w:style>
  <w:style w:type="paragraph" w:styleId="18">
    <w:name w:val="Body Text First Indent"/>
    <w:basedOn w:val="8"/>
    <w:next w:val="1"/>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 w:type="character" w:customStyle="1" w:styleId="45">
    <w:name w:val="font21"/>
    <w:qFormat/>
    <w:uiPriority w:val="0"/>
    <w:rPr>
      <w:rFonts w:hint="eastAsia" w:ascii="宋体" w:hAnsi="宋体" w:eastAsia="宋体" w:cs="宋体"/>
      <w:b/>
      <w:bCs/>
      <w:color w:val="000000"/>
      <w:sz w:val="21"/>
      <w:szCs w:val="21"/>
      <w:u w:val="none"/>
    </w:rPr>
  </w:style>
  <w:style w:type="character" w:customStyle="1" w:styleId="46">
    <w:name w:val="标题 1 Char1"/>
    <w:unhideWhenUsed/>
    <w:qFormat/>
    <w:uiPriority w:val="0"/>
    <w:rPr>
      <w:rFonts w:hint="default" w:ascii="Times New Roman" w:hAnsi="Times New Roman" w:eastAsia="宋体" w:cs="Times New Roman"/>
      <w:b/>
      <w:kern w:val="44"/>
      <w:sz w:val="32"/>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88</Pages>
  <Words>14515</Words>
  <Characters>15301</Characters>
  <Lines>237</Lines>
  <Paragraphs>66</Paragraphs>
  <TotalTime>22</TotalTime>
  <ScaleCrop>false</ScaleCrop>
  <LinksUpToDate>false</LinksUpToDate>
  <CharactersWithSpaces>15494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2026-05-27T07:07:00Z</cp:lastPrinted>
  <dcterms:modified xsi:type="dcterms:W3CDTF">2026-10-12T01:25:04Z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56BEF710738149478B8361CCBCA91D6D_13</vt:lpwstr>
  </property>
  <property fmtid="{D5CDD505-2E9C-101B-9397-08002B2CF9AE}" pid="4" name="KSOTemplateDocerSaveRecord">
    <vt:lpwstr>eyJoZGlkIjoiZTVmNGRjNDcwYTEwZDU2NzRjOThkZWQ4YTViNzk0MWQiLCJ1c2VySWQiOiIzODM4NDg1MjEifQ==</vt:lpwstr>
  </property>
</Properties>
</file>