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版本号：政采-渭南市-2026-02042、DLCG2026-08920260823001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渭南市2026年中央农业防灾减灾资金农作物病虫害防控项目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政采-渭南市-2026-02042、DLCG2026-089</w:t>
      </w:r>
      <w:r>
        <w:br/>
      </w:r>
      <w:r>
        <w:br/>
      </w:r>
      <w:r>
        <w:br/>
      </w:r>
    </w:p>
    <w:p>
      <w:pPr>
        <w:pStyle w:val="null3"/>
        <w:jc w:val="center"/>
        <w:outlineLvl w:val="2"/>
      </w:pPr>
      <w:r>
        <w:rPr>
          <w:rFonts w:ascii="仿宋_GB2312" w:hAnsi="仿宋_GB2312" w:cs="仿宋_GB2312" w:eastAsia="仿宋_GB2312"/>
          <w:sz w:val="28"/>
          <w:b/>
        </w:rPr>
        <w:t>渭南市农业技术推广中心</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渭南市农业技术推广中心</w:t>
      </w:r>
      <w:r>
        <w:rPr>
          <w:rFonts w:ascii="仿宋_GB2312" w:hAnsi="仿宋_GB2312" w:cs="仿宋_GB2312" w:eastAsia="仿宋_GB2312"/>
        </w:rPr>
        <w:t>委托，拟对</w:t>
      </w:r>
      <w:r>
        <w:rPr>
          <w:rFonts w:ascii="仿宋_GB2312" w:hAnsi="仿宋_GB2312" w:cs="仿宋_GB2312" w:eastAsia="仿宋_GB2312"/>
        </w:rPr>
        <w:t>渭南市2026年中央农业防灾减灾资金农作物病虫害防控项目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政采-渭南市-2026-02042、DLCG2026-089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渭南市2026年中央农业防灾减灾资金农作物病虫害防控项目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围绕我市早发、常发、重发区域玉米重大病虫害，以及农区蝗虫等农作物重大病虫疫情，科学采取统防统治、生物防治、应急处置等综合防控措施，筑牢粮食安全防护基础。防控范围全面覆盖农作物常发性病虫害，以及新发现、可能给农业生产造成重大灾害损失的病虫害与植物疫情，确保重发区域病虫疫情得到有效控制;对新发突发重大农业植物疫情及时规范处置，不出现大面积绝收成灾，全力保障全市粮食安全和农业生产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采购包1（渭南市2026年中央农业防灾减灾资金农作物病虫害防控项目）：属于专门面向中小企业采购。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委托书/身份证明：供应商应授权合法的人员参加磋商全过程，其中法定代表人（或负责人）直接参加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3、控股关系：单位负责人为同一人或者存在直接控股、管理关系的不同投标人，不得参加同一合同项下的政府采购活动。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渭南市东风大街60号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0913-2338561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陕西省渭南市临渭区乐天大街碧桂园翡翠公馆北门11栋商铺2层208号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采购包1：392,400.00元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渭南市农业技术推广中心</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知识产权侵权引发的一切法律、赔偿责任均由供应商承担。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按采购文件、项目检查情况等综合指标进行验收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地址：陕西省渭南市临渭区乐天大街碧桂园翡翠公馆北门11栋商铺2层208号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我市早发、常发、重发区域玉米重大病虫害，以及农区蝗虫等农作物重大病虫疫情，科学采取统防统治、生物防治、应急处置等综合防控措施，筑牢粮食安全防护基础。防控范围全面覆盖农作物常发性病虫害，以及新发现、可能给农业生产造成重大灾害损失的病虫害与植物疫情，确保重发区域病虫疫情得到有效控制;对新发突发重大农业植物疫情及时规范处置，不出现大面积绝收成灾，全力保障全市粮食安全和农业生产稳定。</w:t>
      </w:r>
    </w:p>
    <w:p>
      <w:pPr>
        <w:pStyle w:val="null3"/>
      </w:pPr>
      <w:r>
        <w:rPr>
          <w:rFonts w:ascii="仿宋_GB2312" w:hAnsi="仿宋_GB2312" w:cs="仿宋_GB2312" w:eastAsia="仿宋_GB2312"/>
        </w:rPr>
        <w:t>实施内容:根据全市玉米等主要农作物各主产区病虫发生情况、灾害危害程度，玉米大斑病、小斑病、玉米螟、草地贪夜蛾、粘虫、棉铃虫等开展统防统治；对于蝗虫早发、常发、重发区域开展统防统治。建立玉米生物防治示范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392,400.00</w:t>
      </w:r>
    </w:p>
    <w:p>
      <w:pPr>
        <w:pStyle w:val="null3"/>
      </w:pPr>
      <w:r>
        <w:rPr>
          <w:rFonts w:ascii="仿宋_GB2312" w:hAnsi="仿宋_GB2312" w:cs="仿宋_GB2312" w:eastAsia="仿宋_GB2312"/>
        </w:rPr>
        <w:t>采购包最高限价（元）: 392,400.00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粮食作物重大病虫防控</w:t>
            </w:r>
          </w:p>
        </w:tc>
        <w:tc>
          <w:tcPr>
            <w:tcW w:type="dxa" w:w="755"/>
          </w:tcPr>
          <w:p>
            <w:pPr>
              <w:pStyle w:val="null3"/>
              <w:jc w:val="right"/>
            </w:pPr>
            <w:r>
              <w:rPr>
                <w:rFonts w:ascii="仿宋_GB2312" w:hAnsi="仿宋_GB2312" w:cs="仿宋_GB2312" w:eastAsia="仿宋_GB2312"/>
              </w:rPr>
              <w:t>14,600.00</w:t>
            </w:r>
          </w:p>
        </w:tc>
        <w:tc>
          <w:tcPr>
            <w:tcW w:type="dxa" w:w="755"/>
          </w:tcPr>
          <w:p>
            <w:pPr>
              <w:pStyle w:val="null3"/>
              <w:jc w:val="right"/>
            </w:pPr>
            <w:r>
              <w:rPr>
                <w:rFonts w:ascii="仿宋_GB2312" w:hAnsi="仿宋_GB2312" w:cs="仿宋_GB2312" w:eastAsia="仿宋_GB2312"/>
              </w:rPr>
              <w:t>175,200.00</w:t>
            </w:r>
          </w:p>
        </w:tc>
        <w:tc>
          <w:tcPr>
            <w:tcW w:type="dxa" w:w="755"/>
          </w:tcPr>
          <w:p>
            <w:pPr>
              <w:pStyle w:val="null3"/>
            </w:pPr>
            <w:r>
              <w:rPr>
                <w:rFonts w:ascii="仿宋_GB2312" w:hAnsi="仿宋_GB2312" w:cs="仿宋_GB2312" w:eastAsia="仿宋_GB2312"/>
              </w:rPr>
              <w:t>亩</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生物防控</w:t>
            </w:r>
          </w:p>
        </w:tc>
        <w:tc>
          <w:tcPr>
            <w:tcW w:type="dxa" w:w="755"/>
          </w:tcPr>
          <w:p>
            <w:pPr>
              <w:pStyle w:val="null3"/>
              <w:jc w:val="right"/>
            </w:pPr>
            <w:r>
              <w:rPr>
                <w:rFonts w:ascii="仿宋_GB2312" w:hAnsi="仿宋_GB2312" w:cs="仿宋_GB2312" w:eastAsia="仿宋_GB2312"/>
              </w:rPr>
              <w:t>3,400.00</w:t>
            </w:r>
          </w:p>
        </w:tc>
        <w:tc>
          <w:tcPr>
            <w:tcW w:type="dxa" w:w="755"/>
          </w:tcPr>
          <w:p>
            <w:pPr>
              <w:pStyle w:val="null3"/>
              <w:jc w:val="right"/>
            </w:pPr>
            <w:r>
              <w:rPr>
                <w:rFonts w:ascii="仿宋_GB2312" w:hAnsi="仿宋_GB2312" w:cs="仿宋_GB2312" w:eastAsia="仿宋_GB2312"/>
              </w:rPr>
              <w:t>136,000.00</w:t>
            </w:r>
          </w:p>
        </w:tc>
        <w:tc>
          <w:tcPr>
            <w:tcW w:type="dxa" w:w="755"/>
          </w:tcPr>
          <w:p>
            <w:pPr>
              <w:pStyle w:val="null3"/>
            </w:pPr>
            <w:r>
              <w:rPr>
                <w:rFonts w:ascii="仿宋_GB2312" w:hAnsi="仿宋_GB2312" w:cs="仿宋_GB2312" w:eastAsia="仿宋_GB2312"/>
              </w:rPr>
              <w:t>亩</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蝗虫防控</w:t>
            </w:r>
          </w:p>
        </w:tc>
        <w:tc>
          <w:tcPr>
            <w:tcW w:type="dxa" w:w="755"/>
          </w:tcPr>
          <w:p>
            <w:pPr>
              <w:pStyle w:val="null3"/>
              <w:jc w:val="right"/>
            </w:pPr>
            <w:r>
              <w:rPr>
                <w:rFonts w:ascii="仿宋_GB2312" w:hAnsi="仿宋_GB2312" w:cs="仿宋_GB2312" w:eastAsia="仿宋_GB2312"/>
              </w:rPr>
              <w:t>11,600.00</w:t>
            </w:r>
          </w:p>
        </w:tc>
        <w:tc>
          <w:tcPr>
            <w:tcW w:type="dxa" w:w="755"/>
          </w:tcPr>
          <w:p>
            <w:pPr>
              <w:pStyle w:val="null3"/>
              <w:jc w:val="right"/>
            </w:pPr>
            <w:r>
              <w:rPr>
                <w:rFonts w:ascii="仿宋_GB2312" w:hAnsi="仿宋_GB2312" w:cs="仿宋_GB2312" w:eastAsia="仿宋_GB2312"/>
              </w:rPr>
              <w:t>81,200.00</w:t>
            </w:r>
          </w:p>
        </w:tc>
        <w:tc>
          <w:tcPr>
            <w:tcW w:type="dxa" w:w="755"/>
          </w:tcPr>
          <w:p>
            <w:pPr>
              <w:pStyle w:val="null3"/>
            </w:pPr>
            <w:r>
              <w:rPr>
                <w:rFonts w:ascii="仿宋_GB2312" w:hAnsi="仿宋_GB2312" w:cs="仿宋_GB2312" w:eastAsia="仿宋_GB2312"/>
              </w:rPr>
              <w:t>亩</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标的名称：粮食作物重大病虫防控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rPr>
              <w:t>计划面积不少于1.46万亩（实际防治亩数以最终防治亩数为准），在玉米生长关键节点，在粮食主产区开展流行性、迁飞性、暴发性重大病虫害的统防统治试验示范工作。在玉米大喇叭口期至灌浆期，通过植保无人机统一喷施，将杀虫剂、杀菌剂、叶面肥混合一次性喷施，实现“一喷多促”--防虫、促壮苗、粗灌浆、促早熟。</w:t>
            </w:r>
          </w:p>
          <w:tbl>
            <w:tblPr>
              <w:tblBorders>
                <w:top w:val="none" w:color="000000" w:sz="4"/>
                <w:left w:val="none" w:color="000000" w:sz="4"/>
                <w:bottom w:val="none" w:color="000000" w:sz="4"/>
                <w:right w:val="none" w:color="000000" w:sz="4"/>
                <w:insideH w:val="none"/>
                <w:insideV w:val="none"/>
              </w:tblBorders>
            </w:tblPr>
            <w:tblGrid>
              <w:gridCol w:w="1200"/>
              <w:gridCol w:w="1093"/>
              <w:gridCol w:w="1527"/>
            </w:tblGrid>
            <w:tr>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药剂名称</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技术指标、参数</w:t>
                  </w:r>
                </w:p>
              </w:tc>
            </w:tr>
            <w:tr>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防治玉米螟、棉铃虫、黏虫、草地贪夜蛾</w:t>
                  </w:r>
                </w:p>
              </w:tc>
            </w:tr>
            <w:tr>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杀菌剂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防治大斑病、小班病、锈病</w:t>
                  </w:r>
                </w:p>
              </w:tc>
            </w:tr>
            <w:tr>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叶面肥</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补充营养、增强抗逆性、延缓早衰</w:t>
                  </w:r>
                </w:p>
              </w:tc>
            </w:tr>
          </w:tbl>
          <w:p/>
        </w:tc>
      </w:tr>
    </w:tbl>
    <w:p>
      <w:pPr>
        <w:pStyle w:val="null3"/>
      </w:pPr>
      <w:r>
        <w:rPr>
          <w:rFonts w:ascii="仿宋_GB2312" w:hAnsi="仿宋_GB2312" w:cs="仿宋_GB2312" w:eastAsia="仿宋_GB2312"/>
        </w:rPr>
        <w:t>标的名称：生物防控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rPr>
              <w:t>计划面积不少于0.34万亩（实际防治亩数以最终防治亩数为准），在玉米产区建立绿色防控示范区，推广应用生物农药替代化学农药，其中杀虫剂和杀菌剂均须使用生物制剂，配合叶面肥、植物生长调节剂、诱捕器及蓝板黄板，实现减药控害、绿色环保的防控目标。</w:t>
            </w:r>
          </w:p>
          <w:tbl>
            <w:tblPr>
              <w:tblBorders>
                <w:top w:val="none" w:color="000000" w:sz="4"/>
                <w:left w:val="none" w:color="000000" w:sz="4"/>
                <w:bottom w:val="none" w:color="000000" w:sz="4"/>
                <w:right w:val="none" w:color="000000" w:sz="4"/>
                <w:insideH w:val="none"/>
                <w:insideV w:val="none"/>
              </w:tblBorders>
            </w:tblPr>
            <w:tblGrid>
              <w:gridCol w:w="267"/>
              <w:gridCol w:w="551"/>
              <w:gridCol w:w="1295"/>
              <w:gridCol w:w="1702"/>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技术指标、参数</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生物杀虫剂</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胃毒+触杀，专杀鳞翅目害虫幼虫，对人畜无毒，不杀伤天敌</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生物杀菌剂</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竞争占位+分泌抗菌物质，抑制病原菌，诱导植物抗性</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叶面肥</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按农业部登记的推荐剂量。</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补充营养、增强光合作用、提高抗逆能力</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植物生长调节剂</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按农业部登记的推荐剂量。</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调节生长平衡、延缓衰老、促进灌浆</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诱捕器</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性诱剂诱捕器（含3米杆）800套以上</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性信息素诱杀玉米螟、绿盲蝽、甜菜夜蛾等雄虫，降低交配率</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黄蓝板</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可降解板（25×30cm）25000张以上</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物理粘杀小型害虫</w:t>
                  </w:r>
                </w:p>
              </w:tc>
            </w:tr>
          </w:tbl>
          <w:p/>
        </w:tc>
      </w:tr>
    </w:tbl>
    <w:p>
      <w:pPr>
        <w:pStyle w:val="null3"/>
      </w:pPr>
      <w:r>
        <w:rPr>
          <w:rFonts w:ascii="仿宋_GB2312" w:hAnsi="仿宋_GB2312" w:cs="仿宋_GB2312" w:eastAsia="仿宋_GB2312"/>
        </w:rPr>
        <w:t>标的名称：蝗虫防控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rPr>
              <w:t>计划面积不少于1.16万亩（实际防治亩数以最终防治亩数为准），重点在蝗虫易发生区域开展防控试验示范，实现蝗虫的科学、绿色防控。 组织专业化防治队伍利用无人机开展应急防治作业，确保蝗虫"不起飞、不扩散、不成灾"。</w:t>
            </w:r>
          </w:p>
          <w:tbl>
            <w:tblPr>
              <w:tblBorders>
                <w:top w:val="none" w:color="000000" w:sz="4"/>
                <w:left w:val="none" w:color="000000" w:sz="4"/>
                <w:bottom w:val="none" w:color="000000" w:sz="4"/>
                <w:right w:val="none" w:color="000000" w:sz="4"/>
                <w:insideH w:val="none"/>
                <w:insideV w:val="none"/>
              </w:tblBorders>
            </w:tblPr>
            <w:tblGrid>
              <w:gridCol w:w="1199"/>
              <w:gridCol w:w="1094"/>
              <w:gridCol w:w="1529"/>
            </w:tblGrid>
            <w:tr>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技术指标、参数</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生物杀虫剂</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持续控害，适蝗区改造</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1.具体要求: （1）粮食作物重大病虫防控以无人机为主的植保器械，蝗虫防控以植保无人机或风送式远程喷雾机为主的植保器械，作业能力强，制度健全，管理规范； （2）针对玉米中后期病虫和蝗虫发生特点，科学制定防治方案； （3）主要防治对象：主要以防治玉米螟、黏虫、草地贪夜蛾、玉米大斑病等流行性、迁飞性、暴发性重大病虫害和蝗虫为主； （4）农药采购严格执行政府采购程序，所选药剂须具有农药登记证、生产许可证和产品标准证。绿色防控示范区所用杀虫剂、杀菌剂必须为生物制剂，严禁使用化学农药替代。 （5）玉米重大病虫防控及防蝗项目采用植保无人机作业，作业主体须具备相应资质。飞防前制定飞行计划，做好气象条件研判和作业公告；飞防中严格控制飞行高度、速度和喷幅；飞防后及时开展防效调查。 2.成交后，供应商派驻一名项目经理和一名技术负责人，对作业过程中的作业进度、服务质量、作业人员管理进行总协调，确保技术措施的落实，按时参加采购人组织的相关会议和活动，服从采购人的工作制度和工作规范。 3.成交后，供应商向采购人提供项目作业计划和安全责任协议等，其内容包括管理机构的设置、各主要岗位的技术和管理员名单、资质、联系方式及各工种技术工人的安排、项目实施进度安排、技术措施等状况。 4.严格按照项目要求进行作业，作业前按项目要求筹备各项防治器械、材料、工具等，按技术规定进行作业。 5.协助采购人及时组织召开检查验收、防治效果评价和防治竣工验收工作会议。 6.成交供应商向采购人提交施工作业过程性资料和工作总结报告，按相关要求执行。 7.有各类突发事件的应急预案和措施，有明确具体的承诺。 8.供应商所拟派的工作人员，若在服务期间发生任何伤害，采购人概不负责，由供应商自行处理。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按采购文件、项目检查情况等综合指标进行验收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进度款，服务结束后经采购人邀请相关部门验收合格后，达到付款条件起10个工作日内，支付合同总金额的100.0%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合同结算方式为据实结算，合同最终结算价款=成交单价*最终实际服务亩数（结算总金额不超过预算金额）。2.在服务范围内按工作内容和要求制定详细的方案，方案科学、合理、可靠。3.人员配备合理。有针对本项目的专项服务小组，项目负责人、工作人员分工明确（应有具体成员名单，包括姓名、工作职责等）4.供应商所拟派的工作人员，若在服务期间发生任何伤害，采购人概不负责，由供应商自行处理。5.成交供应商在成交结果公告发布后3个工作日内提供叁套纸质投标文件，电子版U盘二个（经编标工具生成的文件直接打印并加盖公章），递交的纸质版文件内容确保与线上电子文件保持一致，不允许修改和补充。 7.供应商应根据《政府采购促进中小企业发展管理办法》、《关于印发中小企业划型标准规定的通知》(工信部联企业〔2011〕300号)要求和采购文件中明确的采购标的所属行业进行企业划型。 8.出具磋商保证金交纳凭证或担保机构出具的保函（未按磋商文件要求提供响应无效）。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响应文件签字和盖章满足磋商文件的要求。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商务应答表.docx 服务内容及服务要求应答表.docx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供应商响应报价未出现选择性报价，未超出最高限价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病虫害防控处置率的达到90%以上，危害损失率控制在5%以内。</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标的清单 报价表 商务应答表.docx 服务内容及服务要求应答表.docx 响应函 服务方案.docx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项目整体认知与防控思路；②粮食作物重大病虫防控专项方案；③生物防控专项方案；④蝗虫防控专项方案；⑤作业面的划分；⑥药剂使用与技术合规保障；⑦进度计划安排及保障措施；⑧针对重点部位、重点区域的作业计划；⑨应急保障措施；⑩灾情防控预案;⑪安全作业措施。 二、评审标准：以上11项，以序号①、②、③、④、⑤、⑥、⑦、⑧、⑩、⑪为项数，内容无缺项且无缺陷的得33分，其中每有一项内容存在缺项扣3分，每项内容中每有一处存在缺陷的扣0.5分，扣完为止，未提供不得分。 三、赋分说明：“缺陷”是指套用其他项目方案内容；未能体现出本项目的特点或与本项目实际需求不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一、评审内容：①服务作业中严格按照国家及行业标准进行作业；②配合采购人进行汇报、验收、必要的外勤配合等工作； ③及时响应本服务中采购人所需的远程指导及协助需求等。 二、评审标准：以上3项，以序号①、②、③为项数，内容无缺项且无缺陷的得6分，其中每有一项内容存在缺项扣2分，每项内容中每有一处存在缺陷的扣0.5分，扣完为止，未提供不得分。 三、赋分说明：“缺陷”是指套用其他项目方案内容；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药剂</w:t>
            </w:r>
          </w:p>
        </w:tc>
        <w:tc>
          <w:tcPr>
            <w:tcW w:type="dxa" w:w="2492"/>
          </w:tcPr>
          <w:p>
            <w:pPr>
              <w:pStyle w:val="null3"/>
            </w:pPr>
            <w:r>
              <w:rPr>
                <w:rFonts w:ascii="仿宋_GB2312" w:hAnsi="仿宋_GB2312" w:cs="仿宋_GB2312" w:eastAsia="仿宋_GB2312"/>
              </w:rPr>
              <w:t>所选药剂符合国家有关标准和规定，提供相关证明材料得4分，不提供不得分。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设备物资保障</w:t>
            </w:r>
          </w:p>
        </w:tc>
        <w:tc>
          <w:tcPr>
            <w:tcW w:type="dxa" w:w="2492"/>
          </w:tcPr>
          <w:p>
            <w:pPr>
              <w:pStyle w:val="null3"/>
            </w:pPr>
            <w:r>
              <w:rPr>
                <w:rFonts w:ascii="仿宋_GB2312" w:hAnsi="仿宋_GB2312" w:cs="仿宋_GB2312" w:eastAsia="仿宋_GB2312"/>
              </w:rPr>
              <w:t>根据本项目内容提供相应的作业设备，①无人机、②病虫害监测设备、③消杀设备等全套作业设备，提供证明材料（不限于检测报告、设备配置图、官网功能截图、彩页、说明书等相关资料）每提供一类设备满足本项目所需并提供证明材料，得3分，满分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①依据本项目服务内容及相关要求，提供项目人员配备清单、人员岗位职责分工；均完整提供得5分，缺少任意一项则本项不得分。 ②团队人员中具备农业病虫害防控相关工作经验的（近三年），提供相关证明材料，得2分，不提供不得分。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投标人可实现2小时内应急响应、快速处置突发病虫疫情及蝗虫灾害，得6分； 投标人可实现4小时内应急响应、快速处置突发病虫疫情及蝗虫灾害，得3分；需提供相关证明材料或承诺。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农作物病虫害防控项目类似业绩，每提供1个有效业绩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