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7"/>
        <w:gridCol w:w="1136"/>
        <w:gridCol w:w="6659"/>
      </w:tblGrid>
      <w:tr w14:paraId="39E2F0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7" w:type="dxa"/>
          </w:tcPr>
          <w:p w14:paraId="488AA0E8">
            <w:pPr>
              <w:pStyle w:val="4"/>
            </w:pPr>
            <w:r>
              <w:rPr>
                <w:rFonts w:ascii="仿宋_GB2312" w:hAnsi="仿宋_GB2312" w:eastAsia="仿宋_GB2312" w:cs="仿宋_GB2312"/>
              </w:rPr>
              <w:t xml:space="preserve"> 序号</w:t>
            </w:r>
          </w:p>
        </w:tc>
        <w:tc>
          <w:tcPr>
            <w:tcW w:w="1136" w:type="dxa"/>
          </w:tcPr>
          <w:p w14:paraId="7CD9BC90">
            <w:pPr>
              <w:pStyle w:val="4"/>
            </w:pPr>
            <w:r>
              <w:rPr>
                <w:rFonts w:ascii="仿宋_GB2312" w:hAnsi="仿宋_GB2312" w:eastAsia="仿宋_GB2312" w:cs="仿宋_GB2312"/>
              </w:rPr>
              <w:t xml:space="preserve"> 参数性质</w:t>
            </w:r>
          </w:p>
        </w:tc>
        <w:tc>
          <w:tcPr>
            <w:tcW w:w="6659" w:type="dxa"/>
          </w:tcPr>
          <w:p w14:paraId="3CF0B7A0">
            <w:pPr>
              <w:pStyle w:val="4"/>
            </w:pPr>
            <w:r>
              <w:rPr>
                <w:rFonts w:ascii="仿宋_GB2312" w:hAnsi="仿宋_GB2312" w:eastAsia="仿宋_GB2312" w:cs="仿宋_GB2312"/>
              </w:rPr>
              <w:t xml:space="preserve"> 技术参数与性能指标</w:t>
            </w:r>
          </w:p>
        </w:tc>
      </w:tr>
      <w:tr w14:paraId="6E5D3C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7" w:type="dxa"/>
          </w:tcPr>
          <w:p w14:paraId="3BBFB76D">
            <w:pPr>
              <w:pStyle w:val="4"/>
            </w:pPr>
            <w:r>
              <w:rPr>
                <w:rFonts w:ascii="仿宋_GB2312" w:hAnsi="仿宋_GB2312" w:eastAsia="仿宋_GB2312" w:cs="仿宋_GB2312"/>
              </w:rPr>
              <w:t>1</w:t>
            </w:r>
          </w:p>
        </w:tc>
        <w:tc>
          <w:tcPr>
            <w:tcW w:w="1136" w:type="dxa"/>
          </w:tcPr>
          <w:p w14:paraId="506B9111"/>
        </w:tc>
        <w:tc>
          <w:tcPr>
            <w:tcW w:w="6659" w:type="dxa"/>
          </w:tcPr>
          <w:p w14:paraId="559F44D4">
            <w:pPr>
              <w:pStyle w:val="4"/>
            </w:pPr>
            <w:r>
              <w:rPr>
                <w:rFonts w:ascii="仿宋_GB2312" w:hAnsi="仿宋_GB2312" w:eastAsia="仿宋_GB2312" w:cs="仿宋_GB2312"/>
              </w:rPr>
              <w:t>技术参数及要求</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0"/>
              <w:gridCol w:w="865"/>
              <w:gridCol w:w="1000"/>
              <w:gridCol w:w="2932"/>
              <w:gridCol w:w="1034"/>
            </w:tblGrid>
            <w:tr w14:paraId="60B08F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82F10B6">
                  <w:pPr>
                    <w:pStyle w:val="4"/>
                    <w:jc w:val="center"/>
                  </w:pPr>
                  <w:r>
                    <w:rPr>
                      <w:rFonts w:ascii="仿宋_GB2312" w:hAnsi="仿宋_GB2312" w:eastAsia="仿宋_GB2312" w:cs="仿宋_GB2312"/>
                      <w:color w:val="000000"/>
                      <w:sz w:val="20"/>
                    </w:rPr>
                    <w:t>序号</w:t>
                  </w:r>
                </w:p>
              </w:tc>
              <w:tc>
                <w:tcPr>
                  <w:tcW w:w="8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993330D">
                  <w:pPr>
                    <w:pStyle w:val="4"/>
                    <w:jc w:val="center"/>
                  </w:pPr>
                  <w:r>
                    <w:rPr>
                      <w:rFonts w:ascii="仿宋_GB2312" w:hAnsi="仿宋_GB2312" w:eastAsia="仿宋_GB2312" w:cs="仿宋_GB2312"/>
                      <w:color w:val="000000"/>
                      <w:sz w:val="20"/>
                    </w:rPr>
                    <w:t>名称</w:t>
                  </w:r>
                </w:p>
              </w:tc>
              <w:tc>
                <w:tcPr>
                  <w:tcW w:w="10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773C6A2">
                  <w:pPr>
                    <w:pStyle w:val="4"/>
                    <w:jc w:val="center"/>
                  </w:pPr>
                  <w:r>
                    <w:rPr>
                      <w:rFonts w:ascii="仿宋_GB2312" w:hAnsi="仿宋_GB2312" w:eastAsia="仿宋_GB2312" w:cs="仿宋_GB2312"/>
                      <w:color w:val="000000"/>
                      <w:sz w:val="20"/>
                    </w:rPr>
                    <w:t>材质</w:t>
                  </w:r>
                </w:p>
              </w:tc>
              <w:tc>
                <w:tcPr>
                  <w:tcW w:w="293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EC2CDB">
                  <w:pPr>
                    <w:pStyle w:val="4"/>
                    <w:jc w:val="center"/>
                  </w:pPr>
                  <w:r>
                    <w:rPr>
                      <w:rFonts w:ascii="仿宋_GB2312" w:hAnsi="仿宋_GB2312" w:eastAsia="仿宋_GB2312" w:cs="仿宋_GB2312"/>
                      <w:color w:val="000000"/>
                      <w:sz w:val="20"/>
                    </w:rPr>
                    <w:t>技术参数及性能（配置）要求</w:t>
                  </w:r>
                </w:p>
              </w:tc>
              <w:tc>
                <w:tcPr>
                  <w:tcW w:w="103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EC971BE">
                  <w:pPr>
                    <w:pStyle w:val="4"/>
                    <w:jc w:val="center"/>
                  </w:pPr>
                  <w:r>
                    <w:rPr>
                      <w:rFonts w:ascii="仿宋_GB2312" w:hAnsi="仿宋_GB2312" w:eastAsia="仿宋_GB2312" w:cs="仿宋_GB2312"/>
                      <w:color w:val="000000"/>
                      <w:sz w:val="20"/>
                    </w:rPr>
                    <w:t>最高限价（元/个）</w:t>
                  </w:r>
                </w:p>
              </w:tc>
            </w:tr>
            <w:tr w14:paraId="6837C3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0EF384">
                  <w:pPr>
                    <w:pStyle w:val="4"/>
                    <w:jc w:val="center"/>
                  </w:pPr>
                  <w:r>
                    <w:rPr>
                      <w:rFonts w:ascii="仿宋_GB2312" w:hAnsi="仿宋_GB2312" w:eastAsia="仿宋_GB2312" w:cs="仿宋_GB2312"/>
                      <w:color w:val="000000"/>
                      <w:sz w:val="20"/>
                    </w:rPr>
                    <w:t>1</w:t>
                  </w:r>
                </w:p>
              </w:tc>
              <w:tc>
                <w:tcPr>
                  <w:tcW w:w="8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4EEB0">
                  <w:pPr>
                    <w:pStyle w:val="4"/>
                    <w:jc w:val="center"/>
                  </w:pPr>
                  <w:r>
                    <w:rPr>
                      <w:rFonts w:ascii="仿宋_GB2312" w:hAnsi="仿宋_GB2312" w:eastAsia="仿宋_GB2312" w:cs="仿宋_GB2312"/>
                      <w:color w:val="000000"/>
                      <w:sz w:val="20"/>
                    </w:rPr>
                    <w:t>精品木质骨灰盒第1款</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C27B96">
                  <w:pPr>
                    <w:pStyle w:val="4"/>
                    <w:jc w:val="center"/>
                  </w:pPr>
                  <w:r>
                    <w:rPr>
                      <w:rFonts w:ascii="仿宋_GB2312" w:hAnsi="仿宋_GB2312" w:eastAsia="仿宋_GB2312" w:cs="仿宋_GB2312"/>
                      <w:color w:val="000000"/>
                      <w:sz w:val="20"/>
                    </w:rPr>
                    <w:t>▲采用木兰或风车木或军刀豆（提供具有CMA标识的第三方检测/检验报告）</w:t>
                  </w:r>
                </w:p>
              </w:tc>
              <w:tc>
                <w:tcPr>
                  <w:tcW w:w="293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9D2530A">
                  <w:pPr>
                    <w:pStyle w:val="4"/>
                  </w:pPr>
                  <w:r>
                    <w:rPr>
                      <w:rFonts w:ascii="仿宋_GB2312" w:hAnsi="仿宋_GB2312" w:eastAsia="仿宋_GB2312" w:cs="仿宋_GB2312"/>
                      <w:color w:val="000000"/>
                      <w:sz w:val="20"/>
                    </w:rPr>
                    <w:t>1、外型尺寸（长×宽×高）：335×235×235（±5mm）；</w:t>
                  </w:r>
                </w:p>
                <w:p w14:paraId="09590703">
                  <w:pPr>
                    <w:pStyle w:val="4"/>
                  </w:pPr>
                  <w:r>
                    <w:rPr>
                      <w:rFonts w:ascii="仿宋_GB2312" w:hAnsi="仿宋_GB2312" w:eastAsia="仿宋_GB2312" w:cs="仿宋_GB2312"/>
                      <w:color w:val="000000"/>
                      <w:sz w:val="20"/>
                    </w:rPr>
                    <w:t>2、内容积≥2×10</w:t>
                  </w:r>
                  <w:r>
                    <w:rPr>
                      <w:rFonts w:ascii="仿宋_GB2312" w:hAnsi="仿宋_GB2312" w:eastAsia="仿宋_GB2312" w:cs="仿宋_GB2312"/>
                      <w:color w:val="000000"/>
                      <w:sz w:val="20"/>
                      <w:vertAlign w:val="superscript"/>
                    </w:rPr>
                    <w:t>6</w:t>
                  </w:r>
                  <w:r>
                    <w:rPr>
                      <w:rFonts w:ascii="仿宋_GB2312" w:hAnsi="仿宋_GB2312" w:eastAsia="仿宋_GB2312" w:cs="仿宋_GB2312"/>
                      <w:color w:val="000000"/>
                      <w:sz w:val="20"/>
                    </w:rPr>
                    <w:t>mm</w:t>
                  </w:r>
                  <w:r>
                    <w:rPr>
                      <w:rFonts w:ascii="仿宋_GB2312" w:hAnsi="仿宋_GB2312" w:eastAsia="仿宋_GB2312" w:cs="仿宋_GB2312"/>
                      <w:color w:val="000000"/>
                      <w:sz w:val="20"/>
                      <w:vertAlign w:val="superscript"/>
                    </w:rPr>
                    <w:t>3</w:t>
                  </w:r>
                  <w:r>
                    <w:rPr>
                      <w:rFonts w:ascii="仿宋_GB2312" w:hAnsi="仿宋_GB2312" w:eastAsia="仿宋_GB2312" w:cs="仿宋_GB2312"/>
                      <w:color w:val="000000"/>
                      <w:sz w:val="20"/>
                    </w:rPr>
                    <w:t>；</w:t>
                  </w:r>
                </w:p>
                <w:p w14:paraId="12E7058E">
                  <w:pPr>
                    <w:pStyle w:val="4"/>
                  </w:pPr>
                  <w:r>
                    <w:rPr>
                      <w:rFonts w:ascii="仿宋_GB2312" w:hAnsi="仿宋_GB2312" w:eastAsia="仿宋_GB2312" w:cs="仿宋_GB2312"/>
                      <w:color w:val="000000"/>
                      <w:sz w:val="20"/>
                    </w:rPr>
                    <w:t>3、在盒体的前部或顶部必须能安装小相片，盒内必须有软黄绸布内衬装饰。</w:t>
                  </w:r>
                </w:p>
                <w:p w14:paraId="7EBF2E49">
                  <w:pPr>
                    <w:pStyle w:val="4"/>
                  </w:pPr>
                  <w:r>
                    <w:rPr>
                      <w:rFonts w:ascii="仿宋_GB2312" w:hAnsi="仿宋_GB2312" w:eastAsia="仿宋_GB2312" w:cs="仿宋_GB2312"/>
                      <w:color w:val="000000"/>
                      <w:sz w:val="20"/>
                    </w:rPr>
                    <w:t>4、采用传统榫卯结构，不得有钉结。</w:t>
                  </w:r>
                </w:p>
                <w:p w14:paraId="07DD67E2">
                  <w:pPr>
                    <w:pStyle w:val="4"/>
                  </w:pPr>
                  <w:r>
                    <w:rPr>
                      <w:rFonts w:ascii="仿宋_GB2312" w:hAnsi="仿宋_GB2312" w:eastAsia="仿宋_GB2312" w:cs="仿宋_GB2312"/>
                      <w:color w:val="000000"/>
                      <w:sz w:val="20"/>
                    </w:rPr>
                    <w:t>5、所有产品要求外观光洁、无裂纹、 破损等、造型精致、色泽一致，雕琢精细、图案美观大方，盖口接缝紧密。</w:t>
                  </w:r>
                </w:p>
                <w:p w14:paraId="02C15E9C">
                  <w:pPr>
                    <w:pStyle w:val="4"/>
                  </w:pPr>
                  <w:r>
                    <w:rPr>
                      <w:rFonts w:ascii="仿宋_GB2312" w:hAnsi="仿宋_GB2312" w:eastAsia="仿宋_GB2312" w:cs="仿宋_GB2312"/>
                      <w:color w:val="000000"/>
                      <w:sz w:val="20"/>
                    </w:rPr>
                    <w:t>6、油漆采用优质环保油漆，颜色均匀，漆质饱满，无皱皮、发粘或漏漆现象。 7、所有产品应符合国标 GB/T 23288-2023《木质骨灰盒通用技术条件》，并提供具有CMA标识的第三方检测/检验报告，且至少包含有害物质限量、含水率、使用性能（1M高度坠落破坏实验）、表面涂层理化性能等检验检测项目。</w:t>
                  </w:r>
                </w:p>
              </w:tc>
              <w:tc>
                <w:tcPr>
                  <w:tcW w:w="1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1FC24">
                  <w:pPr>
                    <w:pStyle w:val="4"/>
                    <w:jc w:val="center"/>
                  </w:pPr>
                  <w:r>
                    <w:rPr>
                      <w:rFonts w:ascii="仿宋_GB2312" w:hAnsi="仿宋_GB2312" w:eastAsia="仿宋_GB2312" w:cs="仿宋_GB2312"/>
                      <w:color w:val="000000"/>
                      <w:sz w:val="20"/>
                    </w:rPr>
                    <w:t>1400</w:t>
                  </w:r>
                </w:p>
              </w:tc>
            </w:tr>
            <w:tr w14:paraId="21A7C5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623352">
                  <w:pPr>
                    <w:pStyle w:val="4"/>
                    <w:jc w:val="center"/>
                  </w:pPr>
                  <w:r>
                    <w:rPr>
                      <w:rFonts w:ascii="仿宋_GB2312" w:hAnsi="仿宋_GB2312" w:eastAsia="仿宋_GB2312" w:cs="仿宋_GB2312"/>
                      <w:color w:val="000000"/>
                      <w:sz w:val="20"/>
                    </w:rPr>
                    <w:t>2</w:t>
                  </w:r>
                </w:p>
              </w:tc>
              <w:tc>
                <w:tcPr>
                  <w:tcW w:w="8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A46DC">
                  <w:pPr>
                    <w:pStyle w:val="4"/>
                    <w:jc w:val="center"/>
                  </w:pPr>
                  <w:r>
                    <w:rPr>
                      <w:rFonts w:ascii="仿宋_GB2312" w:hAnsi="仿宋_GB2312" w:eastAsia="仿宋_GB2312" w:cs="仿宋_GB2312"/>
                      <w:color w:val="000000"/>
                      <w:sz w:val="20"/>
                    </w:rPr>
                    <w:t>精品木质骨灰盒第2款</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3D7BBB">
                  <w:pPr>
                    <w:pStyle w:val="4"/>
                    <w:jc w:val="center"/>
                  </w:pPr>
                  <w:r>
                    <w:rPr>
                      <w:rFonts w:ascii="仿宋_GB2312" w:hAnsi="仿宋_GB2312" w:eastAsia="仿宋_GB2312" w:cs="仿宋_GB2312"/>
                      <w:color w:val="000000"/>
                      <w:sz w:val="20"/>
                    </w:rPr>
                    <w:t>▲奥氏黄檀或阔叶黄檀或巴里黄檀（提供具有CMA标识的第三方检测/检验报告）</w:t>
                  </w:r>
                </w:p>
              </w:tc>
              <w:tc>
                <w:tcPr>
                  <w:tcW w:w="2932" w:type="dxa"/>
                  <w:vMerge w:val="continue"/>
                  <w:tcBorders>
                    <w:top w:val="nil"/>
                    <w:left w:val="nil"/>
                    <w:bottom w:val="single" w:color="000000" w:sz="4" w:space="0"/>
                    <w:right w:val="single" w:color="000000" w:sz="4" w:space="0"/>
                  </w:tcBorders>
                </w:tcPr>
                <w:p w14:paraId="36097310"/>
              </w:tc>
              <w:tc>
                <w:tcPr>
                  <w:tcW w:w="1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334E0F">
                  <w:pPr>
                    <w:pStyle w:val="4"/>
                    <w:jc w:val="center"/>
                  </w:pPr>
                  <w:r>
                    <w:rPr>
                      <w:rFonts w:ascii="仿宋_GB2312" w:hAnsi="仿宋_GB2312" w:eastAsia="仿宋_GB2312" w:cs="仿宋_GB2312"/>
                      <w:color w:val="000000"/>
                      <w:sz w:val="20"/>
                    </w:rPr>
                    <w:t>1500</w:t>
                  </w:r>
                </w:p>
              </w:tc>
            </w:tr>
            <w:tr w14:paraId="6BC3BE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D8B402">
                  <w:pPr>
                    <w:pStyle w:val="4"/>
                    <w:jc w:val="center"/>
                  </w:pPr>
                  <w:r>
                    <w:rPr>
                      <w:rFonts w:ascii="仿宋_GB2312" w:hAnsi="仿宋_GB2312" w:eastAsia="仿宋_GB2312" w:cs="仿宋_GB2312"/>
                      <w:color w:val="000000"/>
                      <w:sz w:val="20"/>
                    </w:rPr>
                    <w:t>3</w:t>
                  </w:r>
                </w:p>
              </w:tc>
              <w:tc>
                <w:tcPr>
                  <w:tcW w:w="8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2981CE">
                  <w:pPr>
                    <w:pStyle w:val="4"/>
                    <w:jc w:val="center"/>
                  </w:pPr>
                  <w:r>
                    <w:rPr>
                      <w:rFonts w:ascii="仿宋_GB2312" w:hAnsi="仿宋_GB2312" w:eastAsia="仿宋_GB2312" w:cs="仿宋_GB2312"/>
                      <w:color w:val="000000"/>
                      <w:sz w:val="20"/>
                    </w:rPr>
                    <w:t>精品木质骨灰盒第3款</w:t>
                  </w:r>
                </w:p>
              </w:tc>
              <w:tc>
                <w:tcPr>
                  <w:tcW w:w="10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F19694">
                  <w:pPr>
                    <w:pStyle w:val="4"/>
                    <w:jc w:val="center"/>
                  </w:pPr>
                  <w:r>
                    <w:rPr>
                      <w:rFonts w:ascii="仿宋_GB2312" w:hAnsi="仿宋_GB2312" w:eastAsia="仿宋_GB2312" w:cs="仿宋_GB2312"/>
                      <w:color w:val="000000"/>
                      <w:sz w:val="20"/>
                    </w:rPr>
                    <w:t>▲大果紫檀或染料紫檀或卢氏黑黄檀（提供具有CMA标识的第三方检测/检验报告）</w:t>
                  </w:r>
                </w:p>
              </w:tc>
              <w:tc>
                <w:tcPr>
                  <w:tcW w:w="2932" w:type="dxa"/>
                  <w:vMerge w:val="continue"/>
                  <w:tcBorders>
                    <w:top w:val="nil"/>
                    <w:left w:val="nil"/>
                    <w:bottom w:val="single" w:color="000000" w:sz="4" w:space="0"/>
                    <w:right w:val="single" w:color="000000" w:sz="4" w:space="0"/>
                  </w:tcBorders>
                </w:tcPr>
                <w:p w14:paraId="665BC486"/>
              </w:tc>
              <w:tc>
                <w:tcPr>
                  <w:tcW w:w="1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0F7BCC">
                  <w:pPr>
                    <w:pStyle w:val="4"/>
                    <w:jc w:val="center"/>
                  </w:pPr>
                  <w:r>
                    <w:rPr>
                      <w:rFonts w:ascii="仿宋_GB2312" w:hAnsi="仿宋_GB2312" w:eastAsia="仿宋_GB2312" w:cs="仿宋_GB2312"/>
                      <w:color w:val="000000"/>
                      <w:sz w:val="20"/>
                    </w:rPr>
                    <w:t>1600</w:t>
                  </w:r>
                </w:p>
              </w:tc>
            </w:tr>
            <w:tr w14:paraId="1BA9E1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0075EF">
                  <w:pPr>
                    <w:pStyle w:val="4"/>
                    <w:jc w:val="center"/>
                  </w:pPr>
                  <w:r>
                    <w:rPr>
                      <w:rFonts w:ascii="仿宋_GB2312" w:hAnsi="仿宋_GB2312" w:eastAsia="仿宋_GB2312" w:cs="仿宋_GB2312"/>
                      <w:color w:val="000000"/>
                      <w:sz w:val="20"/>
                    </w:rPr>
                    <w:t>备注</w:t>
                  </w:r>
                </w:p>
              </w:tc>
              <w:tc>
                <w:tcPr>
                  <w:tcW w:w="5831"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4183D7B4">
                  <w:pPr>
                    <w:pStyle w:val="4"/>
                    <w:jc w:val="left"/>
                  </w:pPr>
                  <w:r>
                    <w:rPr>
                      <w:rFonts w:ascii="仿宋_GB2312" w:hAnsi="仿宋_GB2312" w:eastAsia="仿宋_GB2312" w:cs="仿宋_GB2312"/>
                      <w:color w:val="000000"/>
                      <w:sz w:val="20"/>
                    </w:rPr>
                    <w:t>供应商必须在投标文件中附上所投产品相应款式的彩色图片，并在彩色图片下方注明货物的类别及款式，否则在评审中造成的一切不利后果，由供应商自负。</w:t>
                  </w:r>
                </w:p>
              </w:tc>
            </w:tr>
          </w:tbl>
          <w:p w14:paraId="40E97D71">
            <w:pPr>
              <w:pStyle w:val="4"/>
            </w:pPr>
            <w:r>
              <w:rPr>
                <w:rFonts w:ascii="仿宋_GB2312" w:hAnsi="仿宋_GB2312" w:eastAsia="仿宋_GB2312" w:cs="仿宋_GB2312"/>
              </w:rPr>
              <w:t xml:space="preserve"> </w:t>
            </w:r>
          </w:p>
          <w:p w14:paraId="740C57E2">
            <w:pPr>
              <w:pStyle w:val="4"/>
            </w:pPr>
          </w:p>
        </w:tc>
      </w:tr>
      <w:tr w14:paraId="796E6D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7" w:type="dxa"/>
          </w:tcPr>
          <w:p w14:paraId="7B85310F">
            <w:pPr>
              <w:pStyle w:val="4"/>
            </w:pPr>
            <w:r>
              <w:rPr>
                <w:rFonts w:ascii="仿宋_GB2312" w:hAnsi="仿宋_GB2312" w:eastAsia="仿宋_GB2312" w:cs="仿宋_GB2312"/>
              </w:rPr>
              <w:t>2</w:t>
            </w:r>
          </w:p>
        </w:tc>
        <w:tc>
          <w:tcPr>
            <w:tcW w:w="1136" w:type="dxa"/>
          </w:tcPr>
          <w:p w14:paraId="39805A36">
            <w:pPr>
              <w:pStyle w:val="4"/>
            </w:pPr>
            <w:r>
              <w:rPr>
                <w:rFonts w:ascii="仿宋_GB2312" w:hAnsi="仿宋_GB2312" w:eastAsia="仿宋_GB2312" w:cs="仿宋_GB2312"/>
              </w:rPr>
              <w:t>★</w:t>
            </w:r>
          </w:p>
        </w:tc>
        <w:tc>
          <w:tcPr>
            <w:tcW w:w="6659" w:type="dxa"/>
          </w:tcPr>
          <w:p w14:paraId="4100D0A7">
            <w:pPr>
              <w:pStyle w:val="4"/>
            </w:pPr>
            <w:r>
              <w:rPr>
                <w:rFonts w:ascii="仿宋_GB2312" w:hAnsi="仿宋_GB2312" w:eastAsia="仿宋_GB2312" w:cs="仿宋_GB2312"/>
                <w:sz w:val="18"/>
              </w:rPr>
              <w:t>技术要求：</w:t>
            </w:r>
          </w:p>
          <w:p w14:paraId="6EA463C8">
            <w:pPr>
              <w:pStyle w:val="4"/>
            </w:pPr>
            <w:r>
              <w:rPr>
                <w:rFonts w:ascii="仿宋_GB2312" w:hAnsi="仿宋_GB2312" w:eastAsia="仿宋_GB2312" w:cs="仿宋_GB2312"/>
                <w:sz w:val="18"/>
              </w:rPr>
              <w:t>1、所提供的产品是全新、完整、未使用过的，要求外观光洁、无裂纹、破损等，造型精致、雕琢精细、图案美观大方，盖口及盒体底部平整、盖口接缝紧密。</w:t>
            </w:r>
            <w:r>
              <w:br w:type="textWrapping"/>
            </w:r>
            <w:r>
              <w:rPr>
                <w:rFonts w:ascii="仿宋_GB2312" w:hAnsi="仿宋_GB2312" w:eastAsia="仿宋_GB2312" w:cs="仿宋_GB2312"/>
                <w:sz w:val="18"/>
              </w:rPr>
              <w:t xml:space="preserve"> 2、提供产品有符合国家标准以及本产品的出厂标准的质量检验证明。</w:t>
            </w:r>
            <w:r>
              <w:br w:type="textWrapping"/>
            </w:r>
            <w:r>
              <w:rPr>
                <w:rFonts w:ascii="仿宋_GB2312" w:hAnsi="仿宋_GB2312" w:eastAsia="仿宋_GB2312" w:cs="仿宋_GB2312"/>
                <w:sz w:val="18"/>
              </w:rPr>
              <w:t xml:space="preserve"> 3、所有产品需要提供质量“三包”卡，《产品说明书》内容包括彩色图片、材质、规格、寓意、报价、产品工艺（木材防虫、防变形处理），材质鉴定报告，质量监督检验机构出具的产品合格检验报告。</w:t>
            </w:r>
          </w:p>
          <w:p w14:paraId="5A1F55C1">
            <w:pPr>
              <w:pStyle w:val="4"/>
            </w:pPr>
            <w:r>
              <w:rPr>
                <w:rFonts w:ascii="仿宋_GB2312" w:hAnsi="仿宋_GB2312" w:eastAsia="仿宋_GB2312" w:cs="仿宋_GB2312"/>
                <w:sz w:val="18"/>
              </w:rPr>
              <w:t>注：须提供以上技术要求响应的相关承诺。</w:t>
            </w:r>
          </w:p>
        </w:tc>
      </w:tr>
      <w:tr w14:paraId="097892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7" w:type="dxa"/>
          </w:tcPr>
          <w:p w14:paraId="0F83D7E3">
            <w:pPr>
              <w:pStyle w:val="4"/>
            </w:pPr>
            <w:r>
              <w:rPr>
                <w:rFonts w:ascii="仿宋_GB2312" w:hAnsi="仿宋_GB2312" w:eastAsia="仿宋_GB2312" w:cs="仿宋_GB2312"/>
              </w:rPr>
              <w:t>3</w:t>
            </w:r>
          </w:p>
        </w:tc>
        <w:tc>
          <w:tcPr>
            <w:tcW w:w="1136" w:type="dxa"/>
          </w:tcPr>
          <w:p w14:paraId="740DA410">
            <w:pPr>
              <w:pStyle w:val="4"/>
            </w:pPr>
            <w:r>
              <w:rPr>
                <w:rFonts w:ascii="仿宋_GB2312" w:hAnsi="仿宋_GB2312" w:eastAsia="仿宋_GB2312" w:cs="仿宋_GB2312"/>
              </w:rPr>
              <w:t>★</w:t>
            </w:r>
          </w:p>
        </w:tc>
        <w:tc>
          <w:tcPr>
            <w:tcW w:w="6659" w:type="dxa"/>
          </w:tcPr>
          <w:p w14:paraId="02F2EB16">
            <w:pPr>
              <w:pStyle w:val="4"/>
            </w:pPr>
            <w:r>
              <w:rPr>
                <w:rFonts w:ascii="仿宋_GB2312" w:hAnsi="仿宋_GB2312" w:eastAsia="仿宋_GB2312" w:cs="仿宋_GB2312"/>
                <w:sz w:val="18"/>
              </w:rPr>
              <w:t>服务要求</w:t>
            </w:r>
            <w:r>
              <w:br w:type="textWrapping"/>
            </w:r>
            <w:r>
              <w:rPr>
                <w:rFonts w:ascii="仿宋_GB2312" w:hAnsi="仿宋_GB2312" w:eastAsia="仿宋_GB2312" w:cs="仿宋_GB2312"/>
                <w:sz w:val="18"/>
              </w:rPr>
              <w:t xml:space="preserve"> 1、各品类货物供货要求：</w:t>
            </w:r>
            <w:r>
              <w:br w:type="textWrapping"/>
            </w:r>
            <w:r>
              <w:rPr>
                <w:rFonts w:ascii="仿宋_GB2312" w:hAnsi="仿宋_GB2312" w:eastAsia="仿宋_GB2312" w:cs="仿宋_GB2312"/>
                <w:sz w:val="18"/>
              </w:rPr>
              <w:t xml:space="preserve"> ①、所提供的各类货物均应为无污染、表面无划损、无任何缺陷、隐患并符合各品类货物的各项要求（包括但不限于品种样式、用材、技术指标、工艺、质量等）的产品。</w:t>
            </w:r>
            <w:r>
              <w:br w:type="textWrapping"/>
            </w:r>
            <w:r>
              <w:rPr>
                <w:rFonts w:ascii="仿宋_GB2312" w:hAnsi="仿宋_GB2312" w:eastAsia="仿宋_GB2312" w:cs="仿宋_GB2312"/>
                <w:sz w:val="18"/>
              </w:rPr>
              <w:t xml:space="preserve"> ②、本项目原则上由中标人根据相关品种货物的现场存量自行组织供货。如是属于采购人下达送货任务的，相关的中标人应在接到采购人的送（交）货通知后5日内将采购人要求的货物按质、按样、足额交付至指定的地点。</w:t>
            </w:r>
            <w:r>
              <w:br w:type="textWrapping"/>
            </w:r>
            <w:r>
              <w:rPr>
                <w:rFonts w:ascii="仿宋_GB2312" w:hAnsi="仿宋_GB2312" w:eastAsia="仿宋_GB2312" w:cs="仿宋_GB2312"/>
                <w:sz w:val="18"/>
              </w:rPr>
              <w:t xml:space="preserve"> ③、服从采购人属下工作人员的指挥，在货物交付时，必须按照要求进行叠放并配合采购人做好质量验收和货物进场登记工作。</w:t>
            </w:r>
            <w:r>
              <w:br w:type="textWrapping"/>
            </w:r>
            <w:r>
              <w:rPr>
                <w:rFonts w:ascii="仿宋_GB2312" w:hAnsi="仿宋_GB2312" w:eastAsia="仿宋_GB2312" w:cs="仿宋_GB2312"/>
                <w:sz w:val="18"/>
              </w:rPr>
              <w:t xml:space="preserve"> ④、在本项目执行过程中，采购人可根据社会需求的变动情况对目前的货物样式进行调整或要求中标人开发与本项目所列货物规格、功能相似的产品，各中标人对此应无偿、无条件予以配合，同时各中标人不能以任何借口要求采购人调增相关货物的单价。</w:t>
            </w:r>
            <w:r>
              <w:br w:type="textWrapping"/>
            </w:r>
            <w:r>
              <w:rPr>
                <w:rFonts w:ascii="仿宋_GB2312" w:hAnsi="仿宋_GB2312" w:eastAsia="仿宋_GB2312" w:cs="仿宋_GB2312"/>
                <w:sz w:val="18"/>
              </w:rPr>
              <w:t xml:space="preserve"> ⑤、在本项目执行过程中，采购人可根据业务需要，要求中标人提供其它投标时未进行报价的产品，相关产品的供货价可在不违反国家相关法律、法规的前提下进行商议。</w:t>
            </w:r>
            <w:r>
              <w:br w:type="textWrapping"/>
            </w:r>
            <w:r>
              <w:rPr>
                <w:rFonts w:ascii="仿宋_GB2312" w:hAnsi="仿宋_GB2312" w:eastAsia="仿宋_GB2312" w:cs="仿宋_GB2312"/>
                <w:sz w:val="18"/>
              </w:rPr>
              <w:t xml:space="preserve"> 2、各品类产品存放要求：</w:t>
            </w:r>
            <w:r>
              <w:br w:type="textWrapping"/>
            </w:r>
            <w:r>
              <w:rPr>
                <w:rFonts w:ascii="仿宋_GB2312" w:hAnsi="仿宋_GB2312" w:eastAsia="仿宋_GB2312" w:cs="仿宋_GB2312"/>
                <w:sz w:val="18"/>
              </w:rPr>
              <w:t xml:space="preserve"> ①、本项目所有品种（规格）的货物交货时均应存放在采购人指定的场地（存放场地由采购人免费向各中标人提供）。</w:t>
            </w:r>
            <w:r>
              <w:br w:type="textWrapping"/>
            </w:r>
            <w:r>
              <w:rPr>
                <w:rFonts w:ascii="仿宋_GB2312" w:hAnsi="仿宋_GB2312" w:eastAsia="仿宋_GB2312" w:cs="仿宋_GB2312"/>
                <w:sz w:val="18"/>
              </w:rPr>
              <w:t xml:space="preserve"> ②、中标人应因应场地的实际情况，将所有相关品种、规格的货物进行分类存放，做到货物品种齐全、名称标识清晰，便于选择和区分。</w:t>
            </w:r>
            <w:r>
              <w:br w:type="textWrapping"/>
            </w:r>
            <w:r>
              <w:rPr>
                <w:rFonts w:ascii="仿宋_GB2312" w:hAnsi="仿宋_GB2312" w:eastAsia="仿宋_GB2312" w:cs="仿宋_GB2312"/>
                <w:sz w:val="18"/>
              </w:rPr>
              <w:t xml:space="preserve"> ③、中标人应按采购人的要求，在指定时间卸货在指定仓库，堆码一致，包装标识朝外，不倒置。</w:t>
            </w:r>
            <w:r>
              <w:br w:type="textWrapping"/>
            </w:r>
            <w:r>
              <w:rPr>
                <w:rFonts w:ascii="仿宋_GB2312" w:hAnsi="仿宋_GB2312" w:eastAsia="仿宋_GB2312" w:cs="仿宋_GB2312"/>
                <w:sz w:val="18"/>
              </w:rPr>
              <w:t xml:space="preserve"> ④、中标人应对所提供货物包装好，均应有良好的防湿、防锈、防潮、防雨、防腐及防碰撞的措施，安排专人每周不少于两次对货物进行检查，及时清理附着在货物上的灰尘和更换出现质量问题的货物，以确保货物洁净和防止出现货物质量事件，对此采购人有权进行不定期的检查，并对不符合要求的事项向有关中标人提出整改意见，有关中标人应及时作出有效的响应。</w:t>
            </w:r>
            <w:r>
              <w:br w:type="textWrapping"/>
            </w:r>
            <w:r>
              <w:rPr>
                <w:rFonts w:ascii="仿宋_GB2312" w:hAnsi="仿宋_GB2312" w:eastAsia="仿宋_GB2312" w:cs="仿宋_GB2312"/>
                <w:sz w:val="18"/>
              </w:rPr>
              <w:t xml:space="preserve"> 3、每个中标厂家免费提供不少于50个惠民实木骨灰盒用于困难群众免费使用。</w:t>
            </w:r>
          </w:p>
          <w:p w14:paraId="4C3F863C">
            <w:pPr>
              <w:pStyle w:val="4"/>
            </w:pPr>
            <w:r>
              <w:rPr>
                <w:rFonts w:ascii="仿宋_GB2312" w:hAnsi="仿宋_GB2312" w:eastAsia="仿宋_GB2312" w:cs="仿宋_GB2312"/>
                <w:sz w:val="18"/>
              </w:rPr>
              <w:t>注：须提供以上服务要求响应的相关承诺。</w:t>
            </w:r>
          </w:p>
        </w:tc>
      </w:tr>
    </w:tbl>
    <w:p w14:paraId="2E80731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35C08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2026-08-27T06:08:50Z</dcterms:created>
  <dc:creator>杨光</dc:creator>
  <cp:lastModifiedBy>快乐猫</cp:lastModifiedBy>
  <dcterms:modified xsi:type="dcterms:W3CDTF">2026-08-27T06:09:48Z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eyJoZGlkIjoiM2NmYTlkNmQyOWE5NjNjOWY3Y2ZiMGFkYTc1MDQ4YzciLCJ1c2VySWQiOiIxNTE3ODQyNzU3In0=</vt:lpwstr>
  </property>
  <property fmtid="{D5CDD505-2E9C-101B-9397-08002B2CF9AE}" pid="4" name="ICV">
    <vt:lpwstr>948EBD62924A4A9C9E450A7184A8F5BA_12</vt:lpwstr>
  </property>
</Properties>
</file>