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257AD">
      <w:pPr>
        <w:pStyle w:val="9"/>
        <w:kinsoku/>
        <w:autoSpaceDE/>
        <w:autoSpaceDN/>
        <w:spacing w:line="360" w:lineRule="auto"/>
        <w:ind w:firstLine="3213" w:firstLineChars="800"/>
        <w:jc w:val="both"/>
        <w:rPr>
          <w:rFonts w:ascii="宋体" w:hAnsi="宋体" w:eastAsia="宋体"/>
          <w:b/>
          <w:bCs/>
          <w:color w:val="auto"/>
          <w:sz w:val="40"/>
          <w:szCs w:val="40"/>
          <w:highlight w:val="none"/>
          <w:lang w:eastAsia="zh-CN"/>
        </w:rPr>
      </w:pPr>
      <w:r>
        <w:rPr>
          <w:rFonts w:hint="eastAsia" w:ascii="宋体" w:hAnsi="宋体" w:eastAsia="宋体"/>
          <w:b/>
          <w:bCs/>
          <w:color w:val="auto"/>
          <w:sz w:val="40"/>
          <w:szCs w:val="40"/>
          <w:highlight w:val="none"/>
          <w:lang w:eastAsia="zh-CN"/>
        </w:rPr>
        <w:t>政府采购合同格式</w:t>
      </w:r>
    </w:p>
    <w:p w14:paraId="6D1600FA">
      <w:pPr>
        <w:pStyle w:val="6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cs="宋体"/>
          <w:color w:val="auto"/>
          <w:sz w:val="21"/>
          <w:highlight w:val="none"/>
        </w:rPr>
      </w:pPr>
      <w:r>
        <w:rPr>
          <w:rFonts w:hint="eastAsia" w:cs="宋体"/>
          <w:color w:val="auto"/>
          <w:kern w:val="2"/>
          <w:sz w:val="21"/>
          <w:highlight w:val="none"/>
        </w:rPr>
        <w:t>合同编号：</w:t>
      </w:r>
    </w:p>
    <w:p w14:paraId="709BC534">
      <w:pPr>
        <w:pStyle w:val="6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cs="宋体"/>
          <w:color w:val="auto"/>
          <w:sz w:val="21"/>
          <w:highlight w:val="none"/>
        </w:rPr>
      </w:pPr>
      <w:r>
        <w:rPr>
          <w:rFonts w:hint="eastAsia" w:cs="宋体"/>
          <w:color w:val="auto"/>
          <w:kern w:val="2"/>
          <w:sz w:val="21"/>
          <w:highlight w:val="none"/>
        </w:rPr>
        <w:t>签订地点：</w:t>
      </w:r>
      <w:bookmarkStart w:id="58" w:name="_GoBack"/>
      <w:bookmarkEnd w:id="58"/>
    </w:p>
    <w:p w14:paraId="6F9C9ED6">
      <w:pPr>
        <w:pStyle w:val="6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cs="宋体"/>
          <w:color w:val="auto"/>
          <w:kern w:val="2"/>
          <w:sz w:val="21"/>
          <w:highlight w:val="none"/>
        </w:rPr>
      </w:pPr>
      <w:r>
        <w:rPr>
          <w:rFonts w:hint="eastAsia" w:cs="宋体"/>
          <w:color w:val="auto"/>
          <w:kern w:val="2"/>
          <w:sz w:val="21"/>
          <w:highlight w:val="none"/>
        </w:rPr>
        <w:t>签订时间：</w:t>
      </w:r>
    </w:p>
    <w:p w14:paraId="24435A9F">
      <w:pPr>
        <w:pStyle w:val="6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eastAsia="宋体" w:cs="宋体"/>
          <w:color w:val="auto"/>
          <w:kern w:val="2"/>
          <w:sz w:val="21"/>
          <w:highlight w:val="none"/>
        </w:rPr>
      </w:pPr>
      <w:r>
        <w:rPr>
          <w:rFonts w:hint="eastAsia" w:eastAsia="宋体" w:cs="宋体"/>
          <w:color w:val="auto"/>
          <w:kern w:val="2"/>
          <w:sz w:val="21"/>
          <w:highlight w:val="none"/>
        </w:rPr>
        <w:t>是否专门面向中小企业：是</w:t>
      </w:r>
    </w:p>
    <w:p w14:paraId="753976AC">
      <w:pPr>
        <w:pStyle w:val="6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cs="宋体"/>
          <w:color w:val="auto"/>
          <w:sz w:val="21"/>
          <w:highlight w:val="none"/>
        </w:rPr>
      </w:pPr>
      <w:r>
        <w:rPr>
          <w:rFonts w:hint="eastAsia" w:cs="宋体"/>
          <w:color w:val="auto"/>
          <w:kern w:val="2"/>
          <w:sz w:val="21"/>
          <w:highlight w:val="none"/>
        </w:rPr>
        <w:t>采购人（甲方）：</w:t>
      </w:r>
    </w:p>
    <w:p w14:paraId="6A309429">
      <w:pPr>
        <w:pStyle w:val="6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cs="宋体"/>
          <w:color w:val="auto"/>
          <w:sz w:val="21"/>
          <w:highlight w:val="none"/>
        </w:rPr>
      </w:pPr>
      <w:r>
        <w:rPr>
          <w:rFonts w:hint="eastAsia" w:eastAsia="宋体" w:cs="宋体"/>
          <w:color w:val="auto"/>
          <w:kern w:val="2"/>
          <w:sz w:val="21"/>
          <w:highlight w:val="none"/>
        </w:rPr>
        <w:t>供应商</w:t>
      </w:r>
      <w:r>
        <w:rPr>
          <w:rFonts w:hint="eastAsia" w:cs="宋体"/>
          <w:color w:val="auto"/>
          <w:kern w:val="2"/>
          <w:sz w:val="21"/>
          <w:highlight w:val="none"/>
        </w:rPr>
        <w:t>（乙方）：</w:t>
      </w:r>
    </w:p>
    <w:p w14:paraId="103BBA77">
      <w:pPr>
        <w:pStyle w:val="4"/>
        <w:spacing w:line="360" w:lineRule="auto"/>
        <w:ind w:firstLineChars="200"/>
        <w:rPr>
          <w:rFonts w:ascii="宋体" w:hAnsi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根据《中华人民共和国政府采购法》及实施条例、《中华人民共和国民法典》和甲方</w:t>
      </w:r>
    </w:p>
    <w:p w14:paraId="38828F2A">
      <w:pPr>
        <w:pStyle w:val="4"/>
        <w:spacing w:line="360" w:lineRule="auto"/>
        <w:ind w:firstLine="0"/>
        <w:rPr>
          <w:rFonts w:ascii="宋体" w:hAnsi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（采购项目编号：）的竞争性磋商文件、响应文件等有关规定，为确保甲方采购项目的顺利实施，甲、乙双方在平等自愿原则下签订本合同，并共同遵守如下条款：</w:t>
      </w:r>
    </w:p>
    <w:p w14:paraId="09A18D39">
      <w:pPr>
        <w:spacing w:line="360" w:lineRule="auto"/>
        <w:ind w:left="425"/>
        <w:outlineLvl w:val="1"/>
        <w:rPr>
          <w:rFonts w:ascii="宋体" w:hAnsi="宋体" w:cs="宋体"/>
          <w:b/>
          <w:color w:val="auto"/>
          <w:highlight w:val="none"/>
          <w:lang w:eastAsia="zh-CN"/>
        </w:rPr>
      </w:pPr>
      <w:bookmarkStart w:id="0" w:name="_Toc14987"/>
      <w:bookmarkStart w:id="1" w:name="_Toc18436"/>
      <w:r>
        <w:rPr>
          <w:rFonts w:hint="eastAsia" w:ascii="宋体" w:hAnsi="宋体" w:cs="宋体"/>
          <w:b/>
          <w:color w:val="auto"/>
          <w:highlight w:val="none"/>
          <w:lang w:eastAsia="zh-CN"/>
        </w:rPr>
        <w:t>第一条项目基本情况</w:t>
      </w:r>
      <w:bookmarkEnd w:id="0"/>
      <w:bookmarkEnd w:id="1"/>
    </w:p>
    <w:p w14:paraId="3EDE11CA">
      <w:pPr>
        <w:tabs>
          <w:tab w:val="left" w:pos="6177"/>
        </w:tabs>
        <w:spacing w:beforeLines="50" w:afterLines="50" w:line="360" w:lineRule="auto"/>
        <w:ind w:right="-199" w:rightChars="-95" w:firstLine="420" w:firstLineChars="200"/>
        <w:rPr>
          <w:rFonts w:ascii="宋体" w:hAnsi="宋体" w:cs="宋体"/>
          <w:color w:val="auto"/>
          <w:highlight w:val="none"/>
          <w:lang w:eastAsia="zh-CN"/>
        </w:rPr>
      </w:pPr>
      <w:bookmarkStart w:id="2" w:name="_Toc26832"/>
      <w:bookmarkStart w:id="3" w:name="_Toc19859"/>
      <w:r>
        <w:rPr>
          <w:rFonts w:hint="eastAsia" w:ascii="宋体" w:hAnsi="宋体" w:cs="宋体"/>
          <w:color w:val="auto"/>
          <w:highlight w:val="none"/>
          <w:lang w:eastAsia="zh-CN"/>
        </w:rPr>
        <w:t>本项目为西安市长安区人民法院食堂外包项目，主要满足甲方各部门正式干警及书记员的工作日餐饮需求。</w:t>
      </w:r>
    </w:p>
    <w:p w14:paraId="48F0CEE2">
      <w:pPr>
        <w:spacing w:line="360" w:lineRule="auto"/>
        <w:ind w:left="425"/>
        <w:outlineLvl w:val="1"/>
        <w:rPr>
          <w:rFonts w:ascii="宋体" w:hAnsi="宋体" w:cs="宋体"/>
          <w:b/>
          <w:color w:val="auto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highlight w:val="none"/>
          <w:lang w:eastAsia="zh-CN"/>
        </w:rPr>
        <w:t>第二条服务期限</w:t>
      </w:r>
      <w:bookmarkEnd w:id="2"/>
      <w:bookmarkEnd w:id="3"/>
    </w:p>
    <w:p w14:paraId="7EFD139D">
      <w:pPr>
        <w:keepLines/>
        <w:spacing w:line="360" w:lineRule="auto"/>
        <w:ind w:firstLine="420" w:firstLineChars="200"/>
        <w:rPr>
          <w:rFonts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合同签订之日起至2027年4月30日</w:t>
      </w:r>
    </w:p>
    <w:p w14:paraId="2EA8EAED">
      <w:pPr>
        <w:numPr>
          <w:ilvl w:val="0"/>
          <w:numId w:val="1"/>
        </w:numPr>
        <w:spacing w:line="360" w:lineRule="auto"/>
        <w:ind w:left="425"/>
        <w:outlineLvl w:val="1"/>
        <w:rPr>
          <w:rFonts w:ascii="宋体" w:hAnsi="宋体" w:cs="宋体"/>
          <w:b/>
          <w:color w:val="auto"/>
          <w:highlight w:val="none"/>
        </w:rPr>
      </w:pPr>
      <w:bookmarkStart w:id="4" w:name="_Toc17877"/>
      <w:bookmarkStart w:id="5" w:name="_Toc27717"/>
      <w:r>
        <w:rPr>
          <w:rFonts w:hint="eastAsia" w:ascii="宋体" w:hAnsi="宋体" w:cs="宋体"/>
          <w:b/>
          <w:color w:val="auto"/>
          <w:highlight w:val="none"/>
          <w:lang w:eastAsia="zh-CN"/>
        </w:rPr>
        <w:t xml:space="preserve"> </w:t>
      </w:r>
      <w:r>
        <w:rPr>
          <w:rFonts w:hint="eastAsia" w:ascii="宋体" w:hAnsi="宋体" w:cs="宋体"/>
          <w:b/>
          <w:color w:val="auto"/>
          <w:highlight w:val="none"/>
        </w:rPr>
        <w:t>服务内容与质量标准</w:t>
      </w:r>
      <w:bookmarkEnd w:id="4"/>
      <w:bookmarkEnd w:id="5"/>
      <w:bookmarkStart w:id="6" w:name="_Toc31930"/>
      <w:bookmarkStart w:id="7" w:name="_Toc2937"/>
    </w:p>
    <w:p w14:paraId="7DE124B0">
      <w:pPr>
        <w:spacing w:line="360" w:lineRule="auto"/>
        <w:ind w:left="425"/>
        <w:outlineLvl w:val="1"/>
        <w:rPr>
          <w:rFonts w:ascii="宋体" w:hAnsi="宋体" w:cs="宋体" w:eastAsiaTheme="minorEastAsia"/>
          <w:b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详见招标文件采购需求（附件1）</w:t>
      </w:r>
    </w:p>
    <w:p w14:paraId="36232E07">
      <w:pPr>
        <w:spacing w:line="360" w:lineRule="auto"/>
        <w:ind w:left="425"/>
        <w:outlineLvl w:val="1"/>
        <w:rPr>
          <w:rFonts w:ascii="宋体" w:hAnsi="宋体" w:cs="宋体"/>
          <w:b/>
          <w:color w:val="auto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highlight w:val="none"/>
          <w:lang w:eastAsia="zh-CN"/>
        </w:rPr>
        <w:t>第四条  服务费用及支付方式</w:t>
      </w:r>
      <w:bookmarkEnd w:id="6"/>
      <w:bookmarkEnd w:id="7"/>
    </w:p>
    <w:p w14:paraId="5FE2B0AD">
      <w:pPr>
        <w:spacing w:line="360" w:lineRule="auto"/>
        <w:ind w:firstLine="420" w:firstLineChars="200"/>
        <w:rPr>
          <w:rFonts w:ascii="宋体" w:hAnsi="宋体"/>
          <w:color w:val="auto"/>
          <w:highlight w:val="none"/>
          <w:lang w:eastAsia="zh-CN"/>
        </w:rPr>
      </w:pPr>
      <w:r>
        <w:rPr>
          <w:rFonts w:hint="eastAsia" w:ascii="宋体" w:hAnsi="宋体"/>
          <w:color w:val="auto"/>
          <w:highlight w:val="none"/>
          <w:lang w:eastAsia="zh-CN"/>
        </w:rPr>
        <w:t>1</w:t>
      </w:r>
      <w:r>
        <w:rPr>
          <w:rFonts w:hint="eastAsia" w:ascii="宋体" w:hAnsi="宋体" w:eastAsia="宋体"/>
          <w:color w:val="auto"/>
          <w:highlight w:val="none"/>
          <w:lang w:eastAsia="zh-CN"/>
        </w:rPr>
        <w:t>.</w:t>
      </w:r>
      <w:r>
        <w:rPr>
          <w:rFonts w:hint="eastAsia" w:ascii="宋体" w:hAnsi="宋体"/>
          <w:color w:val="auto"/>
          <w:highlight w:val="none"/>
          <w:lang w:eastAsia="zh-CN"/>
        </w:rPr>
        <w:t>服务费按下列比例支付价款：</w:t>
      </w:r>
    </w:p>
    <w:p w14:paraId="520D7D80">
      <w:pPr>
        <w:pStyle w:val="4"/>
        <w:spacing w:line="360" w:lineRule="auto"/>
        <w:ind w:firstLineChars="200"/>
        <w:rPr>
          <w:rFonts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合同总价：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eastAsia="zh-CN"/>
        </w:rPr>
        <w:t xml:space="preserve"> 1205800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元</w:t>
      </w:r>
    </w:p>
    <w:p w14:paraId="24D866D8">
      <w:pPr>
        <w:pStyle w:val="10"/>
        <w:spacing w:line="360" w:lineRule="auto"/>
        <w:ind w:firstLine="420" w:firstLineChars="200"/>
        <w:rPr>
          <w:rFonts w:hint="default" w:ascii="宋体" w:hAnsi="宋体" w:cs="宋体"/>
          <w:snapToGrid w:val="0"/>
          <w:color w:val="auto"/>
          <w:sz w:val="21"/>
          <w:szCs w:val="21"/>
          <w:highlight w:val="none"/>
        </w:rPr>
      </w:pPr>
      <w:r>
        <w:rPr>
          <w:rFonts w:ascii="宋体" w:hAnsi="宋体" w:cs="宋体"/>
          <w:snapToGrid w:val="0"/>
          <w:color w:val="auto"/>
          <w:sz w:val="21"/>
          <w:szCs w:val="21"/>
          <w:highlight w:val="none"/>
        </w:rPr>
        <w:t>1.预付款，合同签订后，</w:t>
      </w:r>
      <w:r>
        <w:rPr>
          <w:rFonts w:hint="eastAsia" w:ascii="宋体" w:hAnsi="宋体" w:cs="宋体"/>
          <w:snapToGrid w:val="0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ascii="宋体" w:hAnsi="宋体" w:cs="宋体"/>
          <w:snapToGrid w:val="0"/>
          <w:color w:val="auto"/>
          <w:sz w:val="21"/>
          <w:szCs w:val="21"/>
          <w:highlight w:val="none"/>
        </w:rPr>
        <w:t>向</w:t>
      </w:r>
      <w:r>
        <w:rPr>
          <w:rFonts w:hint="eastAsia" w:ascii="宋体" w:hAnsi="宋体" w:cs="宋体"/>
          <w:snapToGrid w:val="0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ascii="宋体" w:hAnsi="宋体" w:cs="宋体"/>
          <w:snapToGrid w:val="0"/>
          <w:color w:val="auto"/>
          <w:sz w:val="21"/>
          <w:szCs w:val="21"/>
          <w:highlight w:val="none"/>
        </w:rPr>
        <w:t>支付2026年5月1日起至2026年6月30日食堂所产生</w:t>
      </w:r>
      <w:r>
        <w:rPr>
          <w:rFonts w:ascii="宋体" w:hAnsi="宋体" w:cs="宋体"/>
          <w:snapToGrid w:val="0"/>
          <w:color w:val="auto"/>
          <w:sz w:val="21"/>
          <w:szCs w:val="21"/>
          <w:highlight w:val="none"/>
        </w:rPr>
        <w:t>的相关费用</w:t>
      </w:r>
      <w:r>
        <w:rPr>
          <w:rFonts w:hint="eastAsia" w:ascii="宋体" w:hAnsi="宋体" w:cs="宋体"/>
          <w:snapToGrid w:val="0"/>
          <w:color w:val="auto"/>
          <w:sz w:val="21"/>
          <w:szCs w:val="21"/>
          <w:highlight w:val="none"/>
        </w:rPr>
        <w:t>（具体结算日期为本项目合同签订日）</w:t>
      </w:r>
      <w:r>
        <w:rPr>
          <w:rFonts w:hint="eastAsia" w:ascii="宋体" w:hAnsi="宋体" w:cs="宋体"/>
          <w:snapToGrid w:val="0"/>
          <w:color w:val="auto"/>
          <w:sz w:val="21"/>
          <w:szCs w:val="21"/>
          <w:highlight w:val="none"/>
          <w:lang w:eastAsia="zh-CN"/>
        </w:rPr>
        <w:t>，</w:t>
      </w:r>
      <w:r>
        <w:rPr>
          <w:rFonts w:ascii="宋体" w:hAnsi="宋体" w:cs="宋体"/>
          <w:snapToGrid w:val="0"/>
          <w:color w:val="auto"/>
          <w:sz w:val="21"/>
          <w:szCs w:val="21"/>
          <w:highlight w:val="none"/>
        </w:rPr>
        <w:t>由供应商向相应单位支付此笔费用；合同签订后10个工作日内，供应商开具正式发票后，达到付款条件起10个工作日内，支付剩余费用的50%；</w:t>
      </w:r>
    </w:p>
    <w:p w14:paraId="0DB0357E">
      <w:pPr>
        <w:pStyle w:val="10"/>
        <w:spacing w:line="360" w:lineRule="auto"/>
        <w:ind w:firstLine="420" w:firstLineChars="200"/>
        <w:rPr>
          <w:rFonts w:hint="default" w:ascii="宋体" w:hAnsi="宋体" w:cs="宋体"/>
          <w:snapToGrid w:val="0"/>
          <w:color w:val="auto"/>
          <w:sz w:val="21"/>
          <w:szCs w:val="21"/>
          <w:highlight w:val="none"/>
        </w:rPr>
      </w:pPr>
      <w:r>
        <w:rPr>
          <w:rFonts w:ascii="宋体" w:hAnsi="宋体" w:cs="宋体"/>
          <w:snapToGrid w:val="0"/>
          <w:color w:val="auto"/>
          <w:sz w:val="21"/>
          <w:szCs w:val="21"/>
          <w:highlight w:val="none"/>
        </w:rPr>
        <w:t>2.进度款，2026年9月20日前，供应商开具正式发票后，达到付款条件起10个工作日内，支付剩余费用的30%</w:t>
      </w:r>
    </w:p>
    <w:p w14:paraId="07AA56E5">
      <w:pPr>
        <w:pStyle w:val="10"/>
        <w:spacing w:line="360" w:lineRule="auto"/>
        <w:ind w:firstLine="420" w:firstLineChars="200"/>
        <w:rPr>
          <w:rFonts w:hint="default" w:ascii="宋体" w:hAnsi="宋体" w:cs="宋体"/>
          <w:snapToGrid w:val="0"/>
          <w:color w:val="auto"/>
          <w:sz w:val="21"/>
          <w:szCs w:val="21"/>
          <w:highlight w:val="none"/>
        </w:rPr>
      </w:pPr>
      <w:r>
        <w:rPr>
          <w:rFonts w:ascii="宋体" w:hAnsi="宋体" w:cs="宋体"/>
          <w:snapToGrid w:val="0"/>
          <w:color w:val="auto"/>
          <w:sz w:val="21"/>
          <w:szCs w:val="21"/>
          <w:highlight w:val="none"/>
        </w:rPr>
        <w:t>3.进度款，2026年12月20日前，供应商开具正式发票后，达到付款条件起10个工作日内，支付合同总金额的20%</w:t>
      </w:r>
    </w:p>
    <w:p w14:paraId="335EFC52">
      <w:pPr>
        <w:pStyle w:val="4"/>
        <w:spacing w:line="360" w:lineRule="auto"/>
        <w:ind w:firstLineChars="200"/>
        <w:rPr>
          <w:rFonts w:ascii="宋体" w:hAnsi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2.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乙方须向甲方出具合法有效的等额完税发票，甲方进行支付结算。</w:t>
      </w:r>
    </w:p>
    <w:p w14:paraId="3E6B2B96">
      <w:pPr>
        <w:spacing w:line="360" w:lineRule="auto"/>
        <w:ind w:firstLine="420" w:firstLineChars="200"/>
        <w:rPr>
          <w:rFonts w:ascii="宋体" w:hAnsi="宋体" w:cs="宋体"/>
          <w:b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3.</w:t>
      </w:r>
      <w:r>
        <w:rPr>
          <w:rFonts w:hint="eastAsia" w:ascii="宋体" w:hAnsi="宋体" w:cs="宋体"/>
          <w:color w:val="auto"/>
          <w:highlight w:val="none"/>
          <w:lang w:eastAsia="zh-CN"/>
        </w:rPr>
        <w:t>结算方式：银行转账。</w:t>
      </w:r>
      <w:bookmarkStart w:id="8" w:name="_Toc5030"/>
      <w:bookmarkStart w:id="9" w:name="_Toc27114"/>
    </w:p>
    <w:p w14:paraId="2E9D44E2">
      <w:pPr>
        <w:spacing w:line="360" w:lineRule="auto"/>
        <w:ind w:left="425"/>
        <w:outlineLvl w:val="1"/>
        <w:rPr>
          <w:rFonts w:ascii="宋体" w:hAnsi="宋体" w:cs="宋体"/>
          <w:b/>
          <w:color w:val="auto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highlight w:val="none"/>
          <w:lang w:eastAsia="zh-CN"/>
        </w:rPr>
        <w:t xml:space="preserve">第五条  </w:t>
      </w:r>
      <w:bookmarkEnd w:id="8"/>
      <w:bookmarkEnd w:id="9"/>
      <w:bookmarkStart w:id="10" w:name="_Toc21111"/>
      <w:bookmarkStart w:id="11" w:name="_Toc16241"/>
      <w:r>
        <w:rPr>
          <w:rFonts w:hint="eastAsia" w:ascii="宋体" w:hAnsi="宋体" w:cs="宋体"/>
          <w:b/>
          <w:color w:val="auto"/>
          <w:highlight w:val="none"/>
          <w:lang w:eastAsia="zh-CN"/>
        </w:rPr>
        <w:t>甲方的权利和义务</w:t>
      </w:r>
      <w:bookmarkEnd w:id="10"/>
      <w:bookmarkEnd w:id="11"/>
    </w:p>
    <w:p w14:paraId="222BB008">
      <w:pPr>
        <w:spacing w:line="360" w:lineRule="auto"/>
        <w:ind w:firstLine="420" w:firstLineChars="200"/>
        <w:rPr>
          <w:rFonts w:ascii="宋体" w:hAnsi="宋体" w:cs="宋体"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1.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7F5EB3DF">
      <w:pPr>
        <w:spacing w:line="360" w:lineRule="auto"/>
        <w:ind w:firstLine="420" w:firstLineChars="200"/>
        <w:rPr>
          <w:rFonts w:ascii="宋体" w:hAnsi="宋体" w:cs="宋体"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2.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甲方有权对乙方提供的服务进行定期考评</w:t>
      </w:r>
      <w:r>
        <w:rPr>
          <w:rFonts w:hint="eastAsia" w:ascii="宋体" w:hAnsi="宋体" w:cs="宋体" w:eastAsiaTheme="minorEastAsia"/>
          <w:bCs/>
          <w:color w:val="auto"/>
          <w:highlight w:val="none"/>
          <w:lang w:eastAsia="zh-CN"/>
        </w:rPr>
        <w:t>，如考评不合格，乙方应限期整改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。</w:t>
      </w:r>
    </w:p>
    <w:p w14:paraId="1E0D124D">
      <w:pPr>
        <w:spacing w:line="360" w:lineRule="auto"/>
        <w:ind w:firstLine="420" w:firstLineChars="200"/>
        <w:rPr>
          <w:rFonts w:ascii="宋体" w:hAnsi="宋体" w:cs="宋体"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3.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负责检查监督乙方管理工作的实施及制度的执行情况。</w:t>
      </w:r>
    </w:p>
    <w:p w14:paraId="0F5F46F8">
      <w:pPr>
        <w:spacing w:line="360" w:lineRule="auto"/>
        <w:ind w:firstLine="420" w:firstLineChars="200"/>
        <w:rPr>
          <w:rFonts w:ascii="宋体" w:hAnsi="宋体" w:cs="宋体"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4.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根据本合同规定，按时向乙方支付应付服务费用。</w:t>
      </w:r>
    </w:p>
    <w:p w14:paraId="52BCD281">
      <w:pPr>
        <w:spacing w:line="360" w:lineRule="auto"/>
        <w:ind w:left="426"/>
        <w:rPr>
          <w:rFonts w:ascii="宋体" w:hAnsi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5.</w:t>
      </w:r>
      <w:r>
        <w:rPr>
          <w:rFonts w:hint="eastAsia" w:ascii="宋体" w:hAnsi="宋体" w:cs="宋体"/>
          <w:color w:val="auto"/>
          <w:highlight w:val="none"/>
          <w:lang w:eastAsia="zh-CN"/>
        </w:rPr>
        <w:t>国家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法律法规</w:t>
      </w:r>
      <w:r>
        <w:rPr>
          <w:rFonts w:hint="eastAsia" w:ascii="宋体" w:hAnsi="宋体" w:cs="宋体"/>
          <w:color w:val="auto"/>
          <w:highlight w:val="none"/>
          <w:lang w:eastAsia="zh-CN"/>
        </w:rPr>
        <w:t>所规定由甲方承担的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其他</w:t>
      </w:r>
      <w:r>
        <w:rPr>
          <w:rFonts w:hint="eastAsia" w:ascii="宋体" w:hAnsi="宋体" w:cs="宋体"/>
          <w:color w:val="auto"/>
          <w:highlight w:val="none"/>
          <w:lang w:eastAsia="zh-CN"/>
        </w:rPr>
        <w:t>责任。</w:t>
      </w:r>
    </w:p>
    <w:p w14:paraId="7AF25B6E">
      <w:pPr>
        <w:spacing w:line="360" w:lineRule="auto"/>
        <w:ind w:left="426"/>
        <w:outlineLvl w:val="1"/>
        <w:rPr>
          <w:rFonts w:ascii="宋体" w:hAnsi="宋体" w:cs="宋体"/>
          <w:b/>
          <w:color w:val="auto"/>
          <w:highlight w:val="none"/>
          <w:lang w:eastAsia="zh-CN"/>
        </w:rPr>
      </w:pPr>
      <w:bookmarkStart w:id="12" w:name="_Toc26670"/>
      <w:bookmarkStart w:id="13" w:name="_Toc2658"/>
      <w:r>
        <w:rPr>
          <w:rFonts w:hint="eastAsia" w:ascii="宋体" w:hAnsi="宋体" w:cs="宋体"/>
          <w:b/>
          <w:color w:val="auto"/>
          <w:highlight w:val="none"/>
          <w:lang w:eastAsia="zh-CN"/>
        </w:rPr>
        <w:t>第六条  乙方的权利和义务</w:t>
      </w:r>
      <w:bookmarkEnd w:id="12"/>
      <w:bookmarkEnd w:id="13"/>
    </w:p>
    <w:p w14:paraId="270B0F9C">
      <w:pPr>
        <w:spacing w:line="360" w:lineRule="auto"/>
        <w:ind w:firstLine="420" w:firstLineChars="200"/>
        <w:rPr>
          <w:rFonts w:ascii="宋体" w:hAnsi="宋体" w:cs="宋体"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1.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对本合同规定的委托服务范围内的项目享有管理权及服务义务。</w:t>
      </w:r>
    </w:p>
    <w:p w14:paraId="10ABF32B">
      <w:pPr>
        <w:spacing w:line="360" w:lineRule="auto"/>
        <w:ind w:firstLine="420" w:firstLineChars="200"/>
        <w:rPr>
          <w:rFonts w:ascii="宋体" w:hAnsi="宋体" w:cs="宋体"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2.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及时向甲方通告本项目服务范围内有关服务的重大事项，及时配合处理投诉。</w:t>
      </w:r>
    </w:p>
    <w:p w14:paraId="6C0E5862">
      <w:pPr>
        <w:spacing w:line="360" w:lineRule="auto"/>
        <w:ind w:firstLine="420" w:firstLineChars="200"/>
        <w:rPr>
          <w:rFonts w:ascii="宋体" w:hAnsi="宋体" w:cs="宋体"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3.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接受项目行业管理部门及政府有关部门的指导，接受甲方的监督。</w:t>
      </w:r>
    </w:p>
    <w:p w14:paraId="12215A67">
      <w:pPr>
        <w:spacing w:line="360" w:lineRule="auto"/>
        <w:ind w:firstLine="420" w:firstLineChars="200"/>
        <w:rPr>
          <w:rFonts w:ascii="宋体" w:hAnsi="宋体" w:cs="宋体"/>
          <w:bCs/>
          <w:color w:val="auto"/>
          <w:highlight w:val="none"/>
          <w:lang w:eastAsia="zh-CN"/>
        </w:rPr>
      </w:pPr>
      <w:r>
        <w:rPr>
          <w:rFonts w:hint="eastAsia" w:ascii="宋体" w:hAnsi="宋体" w:cs="宋体" w:eastAsiaTheme="minorEastAsia"/>
          <w:bCs/>
          <w:color w:val="auto"/>
          <w:highlight w:val="none"/>
          <w:lang w:eastAsia="zh-CN"/>
        </w:rPr>
        <w:t>4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.乙方不得再以任何方式转包分包本项目。</w:t>
      </w:r>
    </w:p>
    <w:p w14:paraId="22EE03B1">
      <w:pPr>
        <w:spacing w:line="360" w:lineRule="auto"/>
        <w:ind w:firstLine="420" w:firstLineChars="200"/>
        <w:rPr>
          <w:rFonts w:ascii="宋体" w:hAnsi="宋体" w:cs="宋体"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5.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国家</w:t>
      </w:r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法律法规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所规定由乙方承担的</w:t>
      </w:r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其他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责任。</w:t>
      </w:r>
    </w:p>
    <w:p w14:paraId="394AC4FA">
      <w:pPr>
        <w:spacing w:line="360" w:lineRule="auto"/>
        <w:ind w:left="426"/>
        <w:outlineLvl w:val="1"/>
        <w:rPr>
          <w:rFonts w:ascii="宋体" w:hAnsi="宋体" w:cs="宋体"/>
          <w:b/>
          <w:color w:val="auto"/>
          <w:highlight w:val="none"/>
          <w:lang w:eastAsia="zh-CN"/>
        </w:rPr>
      </w:pPr>
      <w:bookmarkStart w:id="14" w:name="_Toc26010"/>
      <w:bookmarkStart w:id="15" w:name="_Toc8685"/>
      <w:r>
        <w:rPr>
          <w:rFonts w:hint="eastAsia" w:ascii="宋体" w:hAnsi="宋体" w:cs="宋体"/>
          <w:b/>
          <w:color w:val="auto"/>
          <w:highlight w:val="none"/>
          <w:lang w:eastAsia="zh-CN"/>
        </w:rPr>
        <w:t>第七条  违约责任</w:t>
      </w:r>
      <w:bookmarkEnd w:id="14"/>
      <w:bookmarkEnd w:id="15"/>
    </w:p>
    <w:p w14:paraId="67A600BC">
      <w:pPr>
        <w:spacing w:line="360" w:lineRule="auto"/>
        <w:ind w:firstLine="420" w:firstLineChars="200"/>
        <w:rPr>
          <w:rFonts w:ascii="宋体" w:hAnsi="宋体" w:cs="宋体"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highlight w:val="none"/>
          <w:lang w:eastAsia="zh-CN"/>
        </w:rPr>
        <w:t>1.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甲乙双方必须遵守本合同并执行合同中的各项规定，保证本合同的正常履行。</w:t>
      </w:r>
    </w:p>
    <w:p w14:paraId="0C708F23">
      <w:pPr>
        <w:kinsoku/>
        <w:spacing w:line="360" w:lineRule="auto"/>
        <w:ind w:firstLine="476" w:firstLineChars="200"/>
        <w:outlineLvl w:val="3"/>
        <w:rPr>
          <w:rFonts w:ascii="宋体" w:hAnsi="宋体" w:eastAsia="宋体" w:cs="宋体"/>
          <w:color w:val="auto"/>
          <w:spacing w:val="1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4"/>
          <w:highlight w:val="none"/>
          <w:lang w:eastAsia="zh-CN"/>
        </w:rPr>
        <w:t>2.如甲方就餐人员反馈餐品味道、服务态度等情况超出2次的，每出现1次，扣除乙方500元违约金。</w:t>
      </w:r>
    </w:p>
    <w:p w14:paraId="70C51465">
      <w:pPr>
        <w:kinsoku/>
        <w:spacing w:line="360" w:lineRule="auto"/>
        <w:ind w:firstLine="476" w:firstLineChars="200"/>
        <w:outlineLvl w:val="3"/>
        <w:rPr>
          <w:rFonts w:ascii="宋体" w:hAnsi="宋体" w:eastAsia="宋体" w:cs="宋体"/>
          <w:color w:val="auto"/>
          <w:spacing w:val="1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4"/>
          <w:highlight w:val="none"/>
          <w:lang w:eastAsia="zh-CN"/>
        </w:rPr>
        <w:t>3.如因乙方原因导致甲方就餐人员出现食物中毒、呕吐等问题，乙方应承担全部责任，并扣除合同总额5%的违约金。</w:t>
      </w:r>
    </w:p>
    <w:p w14:paraId="4BEA7878">
      <w:pPr>
        <w:kinsoku/>
        <w:spacing w:line="360" w:lineRule="auto"/>
        <w:ind w:firstLine="476" w:firstLineChars="200"/>
        <w:outlineLvl w:val="3"/>
        <w:rPr>
          <w:rFonts w:ascii="宋体" w:hAnsi="宋体" w:cs="宋体"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4"/>
          <w:highlight w:val="none"/>
          <w:lang w:eastAsia="zh-CN"/>
        </w:rPr>
        <w:t>4.如因乙方工作人员在履行职务过程中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20388E44">
      <w:pPr>
        <w:spacing w:line="360" w:lineRule="auto"/>
        <w:ind w:left="426"/>
        <w:outlineLvl w:val="1"/>
        <w:rPr>
          <w:rFonts w:ascii="宋体" w:hAnsi="宋体" w:cs="宋体"/>
          <w:color w:val="auto"/>
          <w:highlight w:val="none"/>
          <w:lang w:eastAsia="zh-CN"/>
        </w:rPr>
      </w:pPr>
      <w:bookmarkStart w:id="16" w:name="_Toc9754"/>
      <w:bookmarkStart w:id="17" w:name="_Toc27160"/>
      <w:r>
        <w:rPr>
          <w:rFonts w:hint="eastAsia" w:ascii="宋体" w:hAnsi="宋体" w:cs="宋体"/>
          <w:b/>
          <w:color w:val="auto"/>
          <w:highlight w:val="none"/>
          <w:lang w:eastAsia="zh-CN"/>
        </w:rPr>
        <w:t xml:space="preserve">第八条  </w:t>
      </w:r>
      <w:bookmarkEnd w:id="16"/>
      <w:bookmarkEnd w:id="17"/>
      <w:bookmarkStart w:id="18" w:name="_Toc16158"/>
      <w:bookmarkStart w:id="19" w:name="_Toc6977"/>
      <w:bookmarkStart w:id="20" w:name="_Toc239233919"/>
      <w:bookmarkStart w:id="21" w:name="_Toc185395254"/>
      <w:bookmarkStart w:id="22" w:name="_Toc241833908"/>
      <w:bookmarkStart w:id="23" w:name="_Toc225670756"/>
      <w:bookmarkStart w:id="24" w:name="_Toc238984980"/>
      <w:bookmarkStart w:id="25" w:name="_Toc225654649"/>
      <w:bookmarkStart w:id="26" w:name="_Toc211854454"/>
      <w:bookmarkStart w:id="27" w:name="_Toc251768867"/>
      <w:bookmarkStart w:id="28" w:name="_Toc232492933"/>
      <w:bookmarkStart w:id="29" w:name="_Toc212019599"/>
      <w:bookmarkStart w:id="30" w:name="_Toc225244857"/>
      <w:bookmarkStart w:id="31" w:name="_Toc211911353"/>
      <w:bookmarkStart w:id="32" w:name="_Toc247334846"/>
      <w:bookmarkStart w:id="33" w:name="_Toc239568423"/>
      <w:bookmarkStart w:id="34" w:name="_Toc237145411"/>
      <w:bookmarkStart w:id="35" w:name="_Toc286993792"/>
      <w:r>
        <w:rPr>
          <w:rFonts w:hint="eastAsia" w:ascii="宋体" w:hAnsi="宋体" w:cs="宋体"/>
          <w:b/>
          <w:color w:val="auto"/>
          <w:highlight w:val="none"/>
          <w:lang w:eastAsia="zh-CN"/>
        </w:rPr>
        <w:t>合同的变更和终止</w:t>
      </w:r>
      <w:bookmarkEnd w:id="18"/>
      <w:bookmarkEnd w:id="19"/>
    </w:p>
    <w:p w14:paraId="2057A321">
      <w:pPr>
        <w:spacing w:line="360" w:lineRule="auto"/>
        <w:ind w:firstLine="420" w:firstLineChars="200"/>
        <w:rPr>
          <w:rFonts w:ascii="宋体" w:hAnsi="宋体" w:cs="宋体"/>
          <w:color w:val="auto"/>
          <w:highlight w:val="none"/>
          <w:lang w:eastAsia="zh-CN"/>
        </w:rPr>
      </w:pPr>
      <w:r>
        <w:rPr>
          <w:rFonts w:hint="eastAsia" w:ascii="宋体" w:hAnsi="宋体" w:cs="宋体"/>
          <w:color w:val="auto"/>
          <w:highlight w:val="none"/>
          <w:lang w:eastAsia="zh-CN"/>
        </w:rPr>
        <w:t>当服务期限内实际应支付合同金额等于采购预算，本合同可提前终止。</w:t>
      </w:r>
    </w:p>
    <w:p w14:paraId="1F7DEEAA">
      <w:pPr>
        <w:spacing w:line="360" w:lineRule="auto"/>
        <w:ind w:left="426"/>
        <w:outlineLvl w:val="1"/>
        <w:rPr>
          <w:rFonts w:ascii="宋体" w:hAnsi="宋体" w:cs="宋体"/>
          <w:b/>
          <w:color w:val="auto"/>
          <w:highlight w:val="none"/>
          <w:lang w:eastAsia="zh-CN"/>
        </w:rPr>
      </w:pPr>
      <w:bookmarkStart w:id="36" w:name="_Toc13579"/>
      <w:bookmarkStart w:id="37" w:name="_Toc27050"/>
      <w:r>
        <w:rPr>
          <w:rFonts w:hint="eastAsia" w:ascii="宋体" w:hAnsi="宋体" w:cs="宋体"/>
          <w:b/>
          <w:color w:val="auto"/>
          <w:highlight w:val="none"/>
          <w:lang w:eastAsia="zh-CN"/>
        </w:rPr>
        <w:t>第九条  解决合同纠纷的方式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E282038">
      <w:pPr>
        <w:pStyle w:val="9"/>
        <w:spacing w:line="360" w:lineRule="auto"/>
        <w:ind w:firstLine="420"/>
        <w:rPr>
          <w:rFonts w:ascii="宋体" w:hAnsi="宋体"/>
          <w:color w:val="auto"/>
          <w:sz w:val="21"/>
          <w:highlight w:val="none"/>
          <w:lang w:eastAsia="zh-CN"/>
        </w:rPr>
      </w:pPr>
      <w:r>
        <w:rPr>
          <w:rFonts w:hint="eastAsia" w:ascii="宋体" w:hAnsi="宋体" w:eastAsia="宋体"/>
          <w:color w:val="auto"/>
          <w:sz w:val="21"/>
          <w:highlight w:val="none"/>
          <w:lang w:eastAsia="zh-CN"/>
        </w:rPr>
        <w:t>1.</w:t>
      </w:r>
      <w:r>
        <w:rPr>
          <w:rFonts w:hint="eastAsia" w:ascii="宋体" w:hAnsi="宋体"/>
          <w:color w:val="auto"/>
          <w:sz w:val="21"/>
          <w:highlight w:val="none"/>
          <w:lang w:eastAsia="zh-CN"/>
        </w:rPr>
        <w:t>在执行本合同中发生的或与本合同有关的争端，双方应通过友好协商解决，经协商在天内不能达成协议时，则采取以下第</w:t>
      </w:r>
      <w:r>
        <w:rPr>
          <w:rFonts w:hint="eastAsia" w:ascii="宋体" w:hAnsi="宋体"/>
          <w:color w:val="auto"/>
          <w:sz w:val="21"/>
          <w:highlight w:val="none"/>
          <w:u w:val="single"/>
          <w:lang w:eastAsia="zh-CN"/>
        </w:rPr>
        <w:t>_ 1</w:t>
      </w:r>
      <w:r>
        <w:rPr>
          <w:rFonts w:hint="eastAsia" w:ascii="宋体" w:hAnsi="宋体"/>
          <w:color w:val="auto"/>
          <w:sz w:val="21"/>
          <w:highlight w:val="none"/>
          <w:lang w:eastAsia="zh-CN"/>
        </w:rPr>
        <w:t>种方式解决争议：</w:t>
      </w:r>
    </w:p>
    <w:p w14:paraId="5D4D3DEA">
      <w:pPr>
        <w:pStyle w:val="9"/>
        <w:spacing w:line="360" w:lineRule="auto"/>
        <w:ind w:firstLine="420"/>
        <w:rPr>
          <w:rFonts w:ascii="宋体" w:hAnsi="宋体"/>
          <w:color w:val="auto"/>
          <w:sz w:val="21"/>
          <w:highlight w:val="none"/>
          <w:lang w:eastAsia="zh-CN"/>
        </w:rPr>
      </w:pPr>
      <w:r>
        <w:rPr>
          <w:rFonts w:hint="eastAsia" w:ascii="宋体" w:hAnsi="宋体"/>
          <w:color w:val="auto"/>
          <w:sz w:val="21"/>
          <w:highlight w:val="none"/>
          <w:lang w:eastAsia="zh-CN"/>
        </w:rPr>
        <w:t>（1）向甲方上级法院或跨区域同级有管辖权的人民法院提起诉讼；</w:t>
      </w:r>
    </w:p>
    <w:p w14:paraId="44924CBF">
      <w:pPr>
        <w:pStyle w:val="9"/>
        <w:spacing w:line="360" w:lineRule="auto"/>
        <w:ind w:firstLine="420"/>
        <w:rPr>
          <w:rFonts w:ascii="宋体" w:hAnsi="宋体"/>
          <w:color w:val="auto"/>
          <w:sz w:val="21"/>
          <w:highlight w:val="none"/>
          <w:lang w:eastAsia="zh-CN"/>
        </w:rPr>
      </w:pPr>
      <w:r>
        <w:rPr>
          <w:rFonts w:hint="eastAsia" w:ascii="宋体" w:hAnsi="宋体"/>
          <w:color w:val="auto"/>
          <w:sz w:val="21"/>
          <w:highlight w:val="none"/>
          <w:lang w:eastAsia="zh-CN"/>
        </w:rPr>
        <w:t>（2）向</w:t>
      </w:r>
      <w:r>
        <w:rPr>
          <w:rFonts w:hint="eastAsia" w:ascii="宋体" w:hAnsi="宋体"/>
          <w:color w:val="auto"/>
          <w:sz w:val="21"/>
          <w:highlight w:val="none"/>
          <w:u w:val="single"/>
          <w:lang w:eastAsia="zh-CN"/>
        </w:rPr>
        <w:t>西安</w:t>
      </w:r>
      <w:r>
        <w:rPr>
          <w:rFonts w:hint="eastAsia" w:ascii="宋体" w:hAnsi="宋体"/>
          <w:color w:val="auto"/>
          <w:sz w:val="21"/>
          <w:highlight w:val="none"/>
          <w:lang w:eastAsia="zh-CN"/>
        </w:rPr>
        <w:t>仲裁委员会按其仲裁规则申请仲裁。</w:t>
      </w:r>
    </w:p>
    <w:p w14:paraId="7688BD55">
      <w:pPr>
        <w:tabs>
          <w:tab w:val="left" w:pos="0"/>
        </w:tabs>
        <w:spacing w:line="360" w:lineRule="auto"/>
        <w:ind w:firstLine="420" w:firstLineChars="200"/>
        <w:rPr>
          <w:rFonts w:ascii="宋体" w:hAnsi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2.</w:t>
      </w:r>
      <w:r>
        <w:rPr>
          <w:rFonts w:hint="eastAsia" w:ascii="宋体" w:hAnsi="宋体" w:cs="宋体"/>
          <w:color w:val="auto"/>
          <w:highlight w:val="none"/>
          <w:lang w:eastAsia="zh-CN"/>
        </w:rPr>
        <w:t>在仲裁期间，本合同应继续履行。</w:t>
      </w:r>
    </w:p>
    <w:p w14:paraId="105A2D42">
      <w:pPr>
        <w:spacing w:line="360" w:lineRule="auto"/>
        <w:ind w:left="426"/>
        <w:outlineLvl w:val="1"/>
        <w:rPr>
          <w:rFonts w:ascii="宋体" w:hAnsi="宋体" w:cs="宋体"/>
          <w:b/>
          <w:color w:val="auto"/>
          <w:highlight w:val="none"/>
          <w:lang w:eastAsia="zh-CN"/>
        </w:rPr>
      </w:pPr>
      <w:bookmarkStart w:id="38" w:name="_Toc286993793"/>
      <w:bookmarkStart w:id="39" w:name="_Toc185395255"/>
      <w:bookmarkStart w:id="40" w:name="_Toc225244858"/>
      <w:bookmarkStart w:id="41" w:name="_Toc211854455"/>
      <w:bookmarkStart w:id="42" w:name="_Toc211911354"/>
      <w:bookmarkStart w:id="43" w:name="_Toc225670757"/>
      <w:bookmarkStart w:id="44" w:name="_Toc225654650"/>
      <w:bookmarkStart w:id="45" w:name="_Toc241833909"/>
      <w:bookmarkStart w:id="46" w:name="_Toc238984981"/>
      <w:bookmarkStart w:id="47" w:name="_Toc239568424"/>
      <w:bookmarkStart w:id="48" w:name="_Toc239233920"/>
      <w:bookmarkStart w:id="49" w:name="_Toc237145412"/>
      <w:bookmarkStart w:id="50" w:name="_Toc283019219"/>
      <w:bookmarkStart w:id="51" w:name="_Toc247334847"/>
      <w:bookmarkStart w:id="52" w:name="_Toc232492934"/>
      <w:bookmarkStart w:id="53" w:name="_Toc212019600"/>
      <w:bookmarkStart w:id="54" w:name="_Toc282696231"/>
      <w:bookmarkStart w:id="55" w:name="_Toc251768868"/>
      <w:bookmarkStart w:id="56" w:name="_Toc25695"/>
      <w:bookmarkStart w:id="57" w:name="_Toc5794"/>
      <w:r>
        <w:rPr>
          <w:rFonts w:hint="eastAsia" w:ascii="宋体" w:hAnsi="宋体" w:cs="宋体"/>
          <w:b/>
          <w:color w:val="auto"/>
          <w:highlight w:val="none"/>
          <w:lang w:eastAsia="zh-CN"/>
        </w:rPr>
        <w:t>第十条  合同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rPr>
          <w:rFonts w:hint="eastAsia" w:ascii="宋体" w:hAnsi="宋体" w:cs="宋体"/>
          <w:b/>
          <w:color w:val="auto"/>
          <w:highlight w:val="none"/>
          <w:lang w:eastAsia="zh-CN"/>
        </w:rPr>
        <w:t>生效及其他</w:t>
      </w:r>
      <w:bookmarkEnd w:id="56"/>
      <w:bookmarkEnd w:id="57"/>
    </w:p>
    <w:p w14:paraId="06B49AD1">
      <w:pPr>
        <w:pStyle w:val="11"/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合同经双方法定代表人（单位负责人）或授权委托代理人签名并加盖单位公章后生效。</w:t>
      </w:r>
    </w:p>
    <w:p w14:paraId="045D99C4">
      <w:pPr>
        <w:pStyle w:val="11"/>
        <w:spacing w:line="360" w:lineRule="auto"/>
        <w:rPr>
          <w:rFonts w:ascii="宋体" w:hAnsi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本合同一式陆份，自双方签章之日起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生效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。甲方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eastAsia="zh-CN"/>
        </w:rPr>
        <w:t>贰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份，乙方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eastAsia="zh-CN"/>
        </w:rPr>
        <w:t>贰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份，具有同等法律效力。</w:t>
      </w:r>
    </w:p>
    <w:p w14:paraId="17A10800">
      <w:pPr>
        <w:spacing w:line="360" w:lineRule="auto"/>
        <w:ind w:firstLine="420" w:firstLineChars="200"/>
        <w:rPr>
          <w:rFonts w:ascii="宋体" w:hAnsi="宋体" w:cs="宋体"/>
          <w:color w:val="auto"/>
          <w:highlight w:val="none"/>
          <w:lang w:eastAsia="zh-CN"/>
        </w:rPr>
      </w:pPr>
    </w:p>
    <w:p w14:paraId="1403E887">
      <w:pPr>
        <w:spacing w:line="360" w:lineRule="auto"/>
        <w:rPr>
          <w:rFonts w:ascii="宋体" w:hAnsi="宋体" w:cs="宋体"/>
          <w:color w:val="auto"/>
          <w:highlight w:val="none"/>
          <w:lang w:eastAsia="zh-CN"/>
        </w:rPr>
      </w:pPr>
    </w:p>
    <w:p w14:paraId="7FCBC449">
      <w:pPr>
        <w:spacing w:line="360" w:lineRule="auto"/>
        <w:rPr>
          <w:rFonts w:ascii="宋体" w:hAnsi="宋体" w:cs="宋体"/>
          <w:color w:val="auto"/>
          <w:highlight w:val="none"/>
          <w:lang w:eastAsia="zh-CN"/>
        </w:rPr>
      </w:pPr>
      <w:r>
        <w:rPr>
          <w:rFonts w:hint="eastAsia" w:ascii="宋体" w:hAnsi="宋体" w:cs="宋体"/>
          <w:color w:val="auto"/>
          <w:highlight w:val="none"/>
          <w:lang w:eastAsia="zh-CN"/>
        </w:rPr>
        <w:t>甲方（盖章）：                           乙方（盖章）：</w:t>
      </w:r>
    </w:p>
    <w:p w14:paraId="25424425">
      <w:pPr>
        <w:spacing w:line="360" w:lineRule="auto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 xml:space="preserve">法定代表人（委托代理人）：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             </w:t>
      </w:r>
      <w:r>
        <w:rPr>
          <w:rFonts w:hint="eastAsia" w:ascii="宋体" w:hAnsi="宋体" w:cs="宋体"/>
          <w:color w:val="auto"/>
          <w:highlight w:val="none"/>
        </w:rPr>
        <w:t xml:space="preserve"> 法定代表人（委托代理人）：</w:t>
      </w:r>
    </w:p>
    <w:p w14:paraId="31B9011F">
      <w:pPr>
        <w:spacing w:line="360" w:lineRule="auto"/>
        <w:rPr>
          <w:rFonts w:ascii="宋体" w:hAnsi="宋体" w:cs="宋体"/>
          <w:color w:val="auto"/>
          <w:highlight w:val="none"/>
          <w:lang w:eastAsia="zh-CN"/>
        </w:rPr>
      </w:pPr>
      <w:r>
        <w:rPr>
          <w:rFonts w:hint="eastAsia" w:ascii="宋体" w:hAnsi="宋体" w:cs="宋体"/>
          <w:color w:val="auto"/>
          <w:highlight w:val="none"/>
          <w:lang w:eastAsia="zh-CN"/>
        </w:rPr>
        <w:t xml:space="preserve">地址：                               </w:t>
      </w:r>
      <w:r>
        <w:rPr>
          <w:rFonts w:hint="eastAsia" w:ascii="宋体" w:hAnsi="宋体" w:cs="宋体"/>
          <w:color w:val="auto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highlight w:val="none"/>
          <w:lang w:eastAsia="zh-CN"/>
        </w:rPr>
        <w:t>地址：</w:t>
      </w:r>
    </w:p>
    <w:p w14:paraId="3765C38F">
      <w:pPr>
        <w:spacing w:line="360" w:lineRule="auto"/>
        <w:rPr>
          <w:rFonts w:ascii="宋体" w:hAnsi="宋体" w:cs="宋体"/>
          <w:color w:val="auto"/>
          <w:highlight w:val="none"/>
          <w:lang w:eastAsia="zh-CN"/>
        </w:rPr>
      </w:pPr>
      <w:r>
        <w:rPr>
          <w:rFonts w:hint="eastAsia" w:ascii="宋体" w:hAnsi="宋体" w:cs="宋体"/>
          <w:color w:val="auto"/>
          <w:highlight w:val="none"/>
          <w:lang w:eastAsia="zh-CN"/>
        </w:rPr>
        <w:t>开户银行：                               开户银行：</w:t>
      </w:r>
    </w:p>
    <w:p w14:paraId="55C9F359">
      <w:pPr>
        <w:pStyle w:val="9"/>
        <w:spacing w:line="360" w:lineRule="auto"/>
        <w:ind w:firstLine="0" w:firstLineChars="0"/>
        <w:rPr>
          <w:rFonts w:ascii="宋体" w:hAnsi="宋体"/>
          <w:color w:val="auto"/>
          <w:sz w:val="21"/>
          <w:highlight w:val="none"/>
          <w:lang w:eastAsia="zh-CN"/>
        </w:rPr>
      </w:pPr>
      <w:r>
        <w:rPr>
          <w:rFonts w:hint="eastAsia" w:ascii="宋体" w:hAnsi="宋体" w:eastAsia="宋体"/>
          <w:color w:val="auto"/>
          <w:sz w:val="21"/>
          <w:highlight w:val="none"/>
          <w:lang w:eastAsia="zh-CN"/>
        </w:rPr>
        <w:t>银行账号</w:t>
      </w:r>
      <w:r>
        <w:rPr>
          <w:rFonts w:hint="eastAsia" w:ascii="宋体" w:hAnsi="宋体"/>
          <w:color w:val="auto"/>
          <w:sz w:val="21"/>
          <w:highlight w:val="none"/>
          <w:lang w:eastAsia="zh-CN"/>
        </w:rPr>
        <w:t xml:space="preserve">：                               </w:t>
      </w:r>
      <w:r>
        <w:rPr>
          <w:rFonts w:hint="eastAsia" w:ascii="宋体" w:hAnsi="宋体" w:eastAsia="宋体"/>
          <w:color w:val="auto"/>
          <w:sz w:val="21"/>
          <w:highlight w:val="none"/>
          <w:lang w:eastAsia="zh-CN"/>
        </w:rPr>
        <w:t>银行账号</w:t>
      </w:r>
      <w:r>
        <w:rPr>
          <w:rFonts w:hint="eastAsia" w:ascii="宋体" w:hAnsi="宋体"/>
          <w:color w:val="auto"/>
          <w:sz w:val="21"/>
          <w:highlight w:val="none"/>
          <w:lang w:eastAsia="zh-CN"/>
        </w:rPr>
        <w:t>：</w:t>
      </w:r>
    </w:p>
    <w:p w14:paraId="75DC2BCD">
      <w:pPr>
        <w:spacing w:line="360" w:lineRule="auto"/>
        <w:rPr>
          <w:rFonts w:ascii="宋体" w:hAnsi="宋体" w:cs="宋体"/>
          <w:color w:val="auto"/>
          <w:highlight w:val="none"/>
          <w:lang w:eastAsia="zh-CN"/>
        </w:rPr>
      </w:pPr>
      <w:r>
        <w:rPr>
          <w:rFonts w:hint="eastAsia" w:ascii="宋体" w:hAnsi="宋体" w:cs="宋体"/>
          <w:color w:val="auto"/>
          <w:highlight w:val="none"/>
          <w:lang w:eastAsia="zh-CN"/>
        </w:rPr>
        <w:t>电    话：                               电    话：</w:t>
      </w:r>
    </w:p>
    <w:p w14:paraId="19ABDF7D">
      <w:pPr>
        <w:spacing w:line="360" w:lineRule="auto"/>
        <w:rPr>
          <w:rFonts w:ascii="宋体" w:hAnsi="宋体" w:cs="宋体"/>
          <w:color w:val="auto"/>
          <w:highlight w:val="none"/>
          <w:lang w:eastAsia="zh-CN"/>
        </w:rPr>
      </w:pPr>
      <w:r>
        <w:rPr>
          <w:rFonts w:hint="eastAsia" w:ascii="宋体" w:hAnsi="宋体" w:cs="宋体"/>
          <w:color w:val="auto"/>
          <w:highlight w:val="none"/>
          <w:lang w:eastAsia="zh-CN"/>
        </w:rPr>
        <w:t>传    真：                               传    真：</w:t>
      </w:r>
    </w:p>
    <w:p w14:paraId="6905E9E7">
      <w:pPr>
        <w:spacing w:line="360" w:lineRule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highlight w:val="none"/>
          <w:lang w:eastAsia="zh-CN"/>
        </w:rPr>
        <w:t>签约日期：    年    月   日              签约日期：    年    月   日</w:t>
      </w:r>
    </w:p>
    <w:p w14:paraId="5E16AC85">
      <w:pPr>
        <w:rPr>
          <w:color w:val="auto"/>
          <w:highlight w:val="none"/>
        </w:rPr>
      </w:pPr>
    </w:p>
    <w:sectPr>
      <w:footerReference r:id="rId3" w:type="default"/>
      <w:pgSz w:w="11900" w:h="16840"/>
      <w:pgMar w:top="1440" w:right="1080" w:bottom="1440" w:left="1080" w:header="850" w:footer="96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D2A63"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7B77B7B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e6kzJT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B77B7B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AC15764"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tVl6sj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C15764"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117366"/>
    <w:multiLevelType w:val="singleLevel"/>
    <w:tmpl w:val="9D117366"/>
    <w:lvl w:ilvl="0" w:tentative="0">
      <w:start w:val="3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8B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szCs w:val="24"/>
    </w:rPr>
  </w:style>
  <w:style w:type="paragraph" w:styleId="3">
    <w:name w:val="Body Text"/>
    <w:basedOn w:val="1"/>
    <w:semiHidden/>
    <w:qFormat/>
    <w:uiPriority w:val="0"/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</w:pPr>
    <w:rPr>
      <w:rFonts w:cs="Times New Roman"/>
      <w:sz w:val="24"/>
      <w:lang w:eastAsia="zh-CN"/>
    </w:rPr>
  </w:style>
  <w:style w:type="paragraph" w:customStyle="1" w:styleId="9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10">
    <w:name w:val="null3"/>
    <w:qFormat/>
    <w:uiPriority w:val="0"/>
    <w:rPr>
      <w:rFonts w:hint="eastAsia" w:ascii="Calibri" w:hAnsi="Calibri" w:eastAsia="宋体" w:cs="Times New Roman"/>
      <w:lang w:val="en-US" w:eastAsia="zh-CN" w:bidi="ar-SA"/>
    </w:rPr>
  </w:style>
  <w:style w:type="paragraph" w:styleId="11">
    <w:name w:val="List Paragraph"/>
    <w:basedOn w:val="1"/>
    <w:qFormat/>
    <w:uiPriority w:val="0"/>
    <w:pPr>
      <w:ind w:firstLine="420" w:firstLineChars="20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2026-06-05T14:50:51Z</dcterms:created>
  <dc:creator>LX</dc:creator>
  <cp:lastModifiedBy>Lenovo</cp:lastModifiedBy>
  <dcterms:modified xsi:type="dcterms:W3CDTF">2026-06-05T14:51:39Z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eyJoZGlkIjoiZjFhMjllM2U1MDBhZGU3NjVlNmFlNWU2YjFmZTUwZDQiLCJ1c2VySWQiOiI0NDgyMTE1NDUifQ==</vt:lpwstr>
  </property>
  <property fmtid="{D5CDD505-2E9C-101B-9397-08002B2CF9AE}" pid="4" name="ICV">
    <vt:lpwstr>D07ED63BCFC5464DBA6D9940C856E0BC_12</vt:lpwstr>
  </property>
</Properties>
</file>