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版本号：HCRZB-202603020260730001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渭南市华州区金惠小学等三所学校运动场改造提升项目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HCRZB-2026030</w:t>
      </w:r>
      <w:r>
        <w:br/>
      </w:r>
      <w:r>
        <w:br/>
      </w:r>
      <w:r>
        <w:br/>
      </w:r>
    </w:p>
    <w:p>
      <w:pPr>
        <w:pStyle w:val="null3"/>
        <w:jc w:val="center"/>
        <w:outlineLvl w:val="2"/>
      </w:pPr>
      <w:r>
        <w:rPr>
          <w:rFonts w:ascii="仿宋_GB2312" w:hAnsi="仿宋_GB2312" w:cs="仿宋_GB2312" w:eastAsia="仿宋_GB2312"/>
          <w:sz w:val="28"/>
          <w:b/>
        </w:rPr>
        <w:t>渭南市华州区教育科学技术局</w:t>
      </w:r>
    </w:p>
    <w:p>
      <w:pPr>
        <w:pStyle w:val="null3"/>
        <w:jc w:val="center"/>
        <w:outlineLvl w:val="2"/>
      </w:pPr>
      <w:r>
        <w:rPr>
          <w:rFonts w:ascii="仿宋_GB2312" w:hAnsi="仿宋_GB2312" w:cs="仿宋_GB2312" w:eastAsia="仿宋_GB2312"/>
          <w:sz w:val="28"/>
          <w:b/>
        </w:rPr>
        <w:t>陕西华程锐建设项目管理有限公司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陕西华程锐建设项目管理有限公司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渭南市华州区教育科学技术局</w:t>
      </w:r>
      <w:r>
        <w:rPr>
          <w:rFonts w:ascii="仿宋_GB2312" w:hAnsi="仿宋_GB2312" w:cs="仿宋_GB2312" w:eastAsia="仿宋_GB2312"/>
        </w:rPr>
        <w:t>委托，拟对</w:t>
      </w:r>
      <w:r>
        <w:rPr>
          <w:rFonts w:ascii="仿宋_GB2312" w:hAnsi="仿宋_GB2312" w:cs="仿宋_GB2312" w:eastAsia="仿宋_GB2312"/>
        </w:rPr>
        <w:t>渭南市华州区金惠小学等三所学校运动场改造提升项目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HCRZB-2026030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渭南市华州区金惠小学等三所学校运动场改造提升项目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华州区金惠小学等三所学校运动场改造提升项目位于渭南市华州区南街小学、华州区西关小学、华州区金惠小学三所学校校内，主要建设内容包含原地面清理后，新做塑胶地面、硅PU球场及人造草坪，地面破除后硬化，地面拉毛后硬化，建设40矩形盖板排水沟等内容，项目改造总面积12262.7平方米。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采购包1（渭南市华州区金惠小学等三所学校运动场改造提升项目）：属于专门面向中小企业采购。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1、资质要求：具备建设行政主管部门颁发的建筑工程施工总承包三级及以上（含三级）资质，并具有有效的安全生产许可证</w:t>
      </w:r>
    </w:p>
    <w:p>
      <w:pPr>
        <w:pStyle w:val="null3"/>
      </w:pPr>
      <w:r>
        <w:rPr>
          <w:rFonts w:ascii="仿宋_GB2312" w:hAnsi="仿宋_GB2312" w:cs="仿宋_GB2312" w:eastAsia="仿宋_GB2312"/>
        </w:rPr>
        <w:t>2、拟派项目负责人资质及专业要求：拟派项目经理具有建筑工程专业二级及以上注册建造师证书及有效的安全生产考核合格证（B证），且无在建项目（提供无在建承诺）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渭南市华州区教育科学技术局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渭南市华州区教育科学技术局经办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0913—4711529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陕西华程锐建设项目管理有限公司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陕西省西安市高新区丈八街办锦业一路10号中投国际A座1903室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叶佳铭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029-81116828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采购包1：2,355,104.29元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渭南市华州区教育科学技术局</w:t>
      </w:r>
      <w:r>
        <w:rPr>
          <w:rFonts w:ascii="仿宋_GB2312" w:hAnsi="仿宋_GB2312" w:cs="仿宋_GB2312" w:eastAsia="仿宋_GB2312"/>
        </w:rPr>
        <w:t>和</w:t>
      </w:r>
      <w:r>
        <w:rPr>
          <w:rFonts w:ascii="仿宋_GB2312" w:hAnsi="仿宋_GB2312" w:cs="仿宋_GB2312" w:eastAsia="仿宋_GB2312"/>
        </w:rPr>
        <w:t>陕西华程锐建设项目管理有限公司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渭南市华州区教育科学技术局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陕西华程锐建设项目管理有限公司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渭南市华州区教育科学技术局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陕西华程锐建设项目管理有限公司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按照竟争性磋商文件及成交供应商竞争性磋商响应文件进行履约验收。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联系人：叶佳铭</w:t>
      </w:r>
    </w:p>
    <w:p>
      <w:pPr>
        <w:pStyle w:val="null3"/>
      </w:pPr>
      <w:r>
        <w:rPr>
          <w:rFonts w:ascii="仿宋_GB2312" w:hAnsi="仿宋_GB2312" w:cs="仿宋_GB2312" w:eastAsia="仿宋_GB2312"/>
        </w:rPr>
        <w:t>联系电话：029-81116828</w:t>
      </w:r>
    </w:p>
    <w:p>
      <w:pPr>
        <w:pStyle w:val="null3"/>
      </w:pPr>
      <w:r>
        <w:rPr>
          <w:rFonts w:ascii="仿宋_GB2312" w:hAnsi="仿宋_GB2312" w:cs="仿宋_GB2312" w:eastAsia="仿宋_GB2312"/>
        </w:rPr>
        <w:t>地址：陕西省西安市高新区丈八街办锦业一路10号中投国际A座1903室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2,355,104.29</w:t>
      </w:r>
    </w:p>
    <w:p>
      <w:pPr>
        <w:pStyle w:val="null3"/>
      </w:pPr>
      <w:r>
        <w:rPr>
          <w:rFonts w:ascii="仿宋_GB2312" w:hAnsi="仿宋_GB2312" w:cs="仿宋_GB2312" w:eastAsia="仿宋_GB2312"/>
        </w:rPr>
        <w:t>采购包最高限价（元）: 2,355,104.29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渭南市华州区金惠小学等三所学校运动场改造提升项目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2,355,104.29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标的名称：渭南市华州区金惠小学等三所学校运动场改造提升项目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一、质量要求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质量标准：符合国家以及配套的相关工程质量验收规范的合格等级，并达到采购人质量要求和交付使用标准。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质量保修期：符合《建设工程质量管理条例》等相关法律法规。</w:t>
            </w:r>
          </w:p>
          <w:p>
            <w:pPr>
              <w:pStyle w:val="null3"/>
              <w:jc w:val="both"/>
            </w:pPr>
            <w:r>
              <w:rPr>
                <w:rFonts w:ascii="仿宋_GB2312" w:hAnsi="仿宋_GB2312" w:cs="仿宋_GB2312" w:eastAsia="仿宋_GB2312"/>
                <w:sz w:val="21"/>
              </w:rPr>
              <w:t>二、项目实施要求及质量保证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、供应商必须具备相应的资质，不得转包、分包。确需分包时须征得采购人同意。否则将终止合同并按政府采购有关规定进行处理。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、供应商根据工程实际情况编制施工方案，制定工期进度安排表。供应商不得因为资金问题擅自停工。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、供应商在本工程中的项目负责人（项目经理），要求技术水平高、组织能力强、有丰富的工程业绩和实践经验，懂管理、善于协调。施工队伍稳定，保证整个工程顺利完工。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、施工过程中，严格遵守建设单位的各种管理规定及规章制度，做到文明施工。发生工伤及意外事故由施工单位负责。</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、所有进场材料需携带合格证等质量证明文件。由甲方现场代表对所进场材料予以验收并确认。</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、所有施工人员需统一着装统一单位标识，严禁随意通行。</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、施工方未经采购人同意，不得擅自更换本工程在招标投标文件中指定的项目施工负责人（项目经理）及施工队伍。</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、工程质量保修期符合相关法律法规及行业规范。施工单位的售后服务要完善、可靠、及时，并派遣相关技术人员配合采购人检查、维修。</w:t>
            </w:r>
          </w:p>
          <w:p>
            <w:pPr>
              <w:pStyle w:val="null3"/>
              <w:jc w:val="both"/>
            </w:pPr>
            <w:r>
              <w:rPr>
                <w:rFonts w:ascii="仿宋_GB2312" w:hAnsi="仿宋_GB2312" w:cs="仿宋_GB2312" w:eastAsia="仿宋_GB2312"/>
                <w:sz w:val="21"/>
              </w:rPr>
              <w:t>三、工程量清单见附件</w:t>
            </w:r>
          </w:p>
          <w:p>
            <w:pPr>
              <w:pStyle w:val="null3"/>
              <w:jc w:val="both"/>
            </w:pPr>
            <w:r>
              <w:rPr>
                <w:rFonts w:ascii="仿宋_GB2312" w:hAnsi="仿宋_GB2312" w:cs="仿宋_GB2312" w:eastAsia="仿宋_GB2312"/>
                <w:sz w:val="21"/>
              </w:rPr>
              <w:t>四、工程量清单说明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工程量清单是根据竞争性磋商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、本工程量清单应与竞争性磋商文件中的供应商须知、通用合同条款、专用合同条款和要求及图纸等一起阅读和理解。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、本工程量清单仅是磋商报价的共同基础，实际工程计量和工程价款的支付应遵循合同条款的约定有关规定。</w:t>
            </w:r>
          </w:p>
          <w:p>
            <w:pPr>
              <w:pStyle w:val="null3"/>
              <w:jc w:val="both"/>
            </w:pPr>
            <w:r>
              <w:rPr>
                <w:rFonts w:ascii="仿宋_GB2312" w:hAnsi="仿宋_GB2312" w:cs="仿宋_GB2312" w:eastAsia="仿宋_GB2312"/>
                <w:sz w:val="21"/>
              </w:rPr>
              <w:t>五、报价要求：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、工程量清单中的每一子目须填入单价或价格，且只允许有一个报价。</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、工程量清单成交价的单价或金额，应包括所需的人工费、材料和施工机具使用费和企业管理费、利润以及一定范围内的风险费用等。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、工程量清单中供应商没有填入单价或价格的子目，其费用视为已分摊在工程量清单中其他相关子目的单价或价格之中。</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、供应商必须响应工程量清单、施工规范要求、质量要求。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、本工程因在单位内部施工，应综合考虑施工期间的机械噪音，灰尘污染等处理，以及由此产生的措施费、降效费、协调等相关费用，计入本次磋商报价。</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、供应商应将不可竞争的费用按照规定计取。</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、供应商磋商报价时应充分考虑政策性调整、建材市场风险进行报价。供应商的磋商报价中应包含完成清单范围内的一切工作内容所需的显在和隐含的一切费用，未列项目，视为已包含在其它项目中。</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 xml:space="preserve">、磋商报价要求：供应商所报磋商总报价不得超出本采购包最高限价（人民币： </w:t>
            </w:r>
            <w:r>
              <w:rPr>
                <w:rFonts w:ascii="仿宋_GB2312" w:hAnsi="仿宋_GB2312" w:cs="仿宋_GB2312" w:eastAsia="仿宋_GB2312"/>
                <w:sz w:val="21"/>
              </w:rPr>
              <w:t>2,355,104.29</w:t>
            </w:r>
            <w:r>
              <w:rPr>
                <w:rFonts w:ascii="仿宋_GB2312" w:hAnsi="仿宋_GB2312" w:cs="仿宋_GB2312" w:eastAsia="仿宋_GB2312"/>
                <w:sz w:val="21"/>
              </w:rPr>
              <w:t>元，大写：贰佰叁拾伍万伍仟壹佰零肆元贰角玖分）。</w:t>
            </w:r>
          </w:p>
          <w:p>
            <w:pPr>
              <w:pStyle w:val="null3"/>
              <w:jc w:val="both"/>
            </w:pPr>
            <w:r>
              <w:rPr>
                <w:rFonts w:ascii="仿宋_GB2312" w:hAnsi="仿宋_GB2312" w:cs="仿宋_GB2312" w:eastAsia="仿宋_GB2312"/>
                <w:sz w:val="21"/>
              </w:rPr>
              <w:t>六、其他要求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、工期：自合同签订之日起一年。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、保修期：自工程竣工验收合格之日起</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、工程量清单计价软件使用“广联达云计价平台</w:t>
            </w:r>
            <w:r>
              <w:rPr>
                <w:rFonts w:ascii="仿宋_GB2312" w:hAnsi="仿宋_GB2312" w:cs="仿宋_GB2312" w:eastAsia="仿宋_GB2312"/>
                <w:sz w:val="21"/>
              </w:rPr>
              <w:t>GCCP7.0-7.5000.23.3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、供应商要考虑施工过程中的质量风险，由于自身原因发生的质量事故不仅要承担本次事故的所有处理费用，还应当承担采购人全部的损失费。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符合国家相关工程管理规定及行业标准。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满足国家现行有关设计规范、规程和地方法规、标准。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磋商一次，磋商后供应商根据磋商内容在规定时间通过交易系统递交磋商响应函，逾期未递交的视为自动放弃竞争。2、项目地点：渭南市华州区南街小学、华州区西关小学、华州区金惠小学三所学校校内。3、付款：工程完工并验收合格后，达到付款条件起30个工作日内，支付合同总额的80%，通过审计后，达到付款条件起30个工作日内，支付合同总额的17%，保修期满后，达到付款条件起30个工作日内，支付合同总额的3%。4、本项目采用两轮报价，响应文件中的报价为首次报价，磋商后的报价为最终报价。5、成交供应商需提供线上平台导出的签章版的响应文件（响应文件正本壹份、副本贰份、电子版(U盘)壹份（包含内容：电子版报价书(最终已标价工程量清单GBQ格式、PDF格式））。纸质响应文件应与线上电子响应文件保持一致。6、供应商务必在开标截止时间前30分钟内，通过项目电子化交易系统进行签到，如未进行签到，产生的一切后果由供应商自行承担。 7、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8、本项目采购标的对应的中小企业划分标准所属行业为建筑业。本项目专门面向中小企业采购。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具有独立承担民事责任能力的法人、其他组织或自然人，提供供应商合法注册的法人或者其他组织的营业执照等证明文件、自然人的身份证明。2、税收缴纳证明：提供2026年1月1日至今任意一个月已缴纳的纳税证明或完税证明（包含增值税、企业所得税、营业税至少一种）；（依法免税的投标人应提供相关文件证明）。3.社会保障资金缴纳证明：提供2026年1月1日至今任意一个月的社保缴费凭据或社保机构开具的社会保险参保缴费情况证明；（依法不需要缴纳社会保障资金的投标人应提供相关证明）。4、具有履行本合同所必需的设备和专业技术能力的说明及承诺：提供具有履行本合同所必需的设备和专业技术能力的说明及承诺；（格式自拟，加盖供应商公章）。5、参加政府采购活动前三年内在经营活动中没有重大违法记录的书面声明：提供参加政府采购活动前三年内在经营活动中没有重大违法记录的书面声明。（格式自拟，加盖供应商公章）。6、法定代表人或负责人参与磋商时需提供法定代表人或负责人资格证明书（附法定代表人或负责人身份证复印件）；被授权人参与磋商时，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成立时间至磋商时间不足一年的可提供成立后任意时段的资产负债表）或磋商前六个月内其基本账户银行出具的资信证明（附开户许可证或基本账户证明）或政府采购信用担保机构出具的磋商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具备建设行政主管部门颁发的建筑工程施工总承包三级及以上（含三级）资质，并具有有效的安全生产许可证</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拟派项目经理具有建筑工程专业二级及以上注册建造师证书及有效的安全生产考核合格证（B证），且无在建项目（提供无在建承诺）</w:t>
            </w:r>
          </w:p>
        </w:tc>
        <w:tc>
          <w:tcPr>
            <w:tcW w:type="dxa" w:w="1661"/>
          </w:tcPr>
          <w:p>
            <w:pPr>
              <w:pStyle w:val="null3"/>
            </w:pPr>
            <w:r>
              <w:rPr>
                <w:rFonts w:ascii="仿宋_GB2312" w:hAnsi="仿宋_GB2312" w:cs="仿宋_GB2312" w:eastAsia="仿宋_GB2312"/>
              </w:rPr>
              <w:t>响应函 主要人员简历表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供应商名称应与营业执照、资质证书、安全生产许可证及获取磋商文件时相一致</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供应商承诺书.pdf 强制优先采购产品承诺函 响应文件封面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技术方案.pdf 报价函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磋商响应文件的计量单位、报价货币及签字盖章</w:t>
            </w:r>
          </w:p>
        </w:tc>
        <w:tc>
          <w:tcPr>
            <w:tcW w:type="dxa" w:w="3322"/>
          </w:tcPr>
          <w:p>
            <w:pPr>
              <w:pStyle w:val="null3"/>
            </w:pPr>
            <w:r>
              <w:rPr>
                <w:rFonts w:ascii="仿宋_GB2312" w:hAnsi="仿宋_GB2312" w:cs="仿宋_GB2312" w:eastAsia="仿宋_GB2312"/>
              </w:rPr>
              <w:t>磋商响应文件的计量单位、报价货币及签字盖章</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供应商承诺书.pdf 强制优先采购产品承诺函 响应文件封面 项目管理机构组成表 残疾人福利性单位声明函 报价函 标的清单 供应商类似项目业绩一览表 响应函 主要人员简历表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已标价工程量清单 技术方案.pdf 中小企业声明函 技术服务合同条款及其他商务要求应答表 供应商承诺书.pdf 强制优先采购产品承诺函 响应文件封面 项目管理机构组成表 残疾人福利性单位声明函 报价函 标的清单 供应商类似项目业绩一览表 响应函 主要人员简历表 资格证明文件.pdf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及进度安排;②施工方法；③重点难点工程分析及解决措施；④影响正常施工外在因素分析及对应预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3分，每有一个评审内容缺项扣1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3分，每有一个评审内容缺项扣1.5分，每有一项评审内容存在缺陷，扣1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项目管理机构及岗位职责</w:t>
            </w:r>
          </w:p>
        </w:tc>
        <w:tc>
          <w:tcPr>
            <w:tcW w:type="dxa" w:w="2492"/>
          </w:tcPr>
          <w:p>
            <w:pPr>
              <w:pStyle w:val="null3"/>
            </w:pPr>
            <w:r>
              <w:rPr>
                <w:rFonts w:ascii="仿宋_GB2312" w:hAnsi="仿宋_GB2312" w:cs="仿宋_GB2312" w:eastAsia="仿宋_GB2312"/>
              </w:rPr>
              <w:t>一、评审内容：①项目管理机构图；②岗位安排及职责；③人员管理制度；④相应的人员协调措施。 二、评审标准： 以上内容专门针对本项目且阐述明晰、全面、合理得4 分，每缺一项内容扣1分，若上述内容存在缺陷，每存在1处缺陷扣0.5分，扣完为止。未提供不得分。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2021年1月1日至今承担过类似项目业绩，每有一项业绩得2分，最多得10分，未按要求的不得分。 注：1、业绩证明材料以中标通知书或合同的复印件或扫描件并加盖供应商公章为准。2、合同主体须为供应商本企业。3、未提供或不符合要求不得分。弄虚作假者取消其成交资格。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和保证措施；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内容至少包括①自然灾害应急措施：遇到极端天气、火灾、防汛、地震等突发事件的应急措施②安全事故应急措施：高空坠落伤害应急措施、触电应急措施、人员伤亡应急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详见附件：供应商承诺书.pdf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