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版本号：RH采字【20260611】号20260617001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周至县人民法院食堂包厨（含食材）项目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RH采字【20260611】号</w:t>
      </w:r>
      <w:r>
        <w:br/>
      </w:r>
      <w:r>
        <w:br/>
      </w:r>
      <w:r>
        <w:br/>
      </w:r>
    </w:p>
    <w:p>
      <w:pPr>
        <w:pStyle w:val="null3"/>
        <w:jc w:val="center"/>
        <w:outlineLvl w:val="2"/>
      </w:pPr>
      <w:r>
        <w:rPr>
          <w:rFonts w:ascii="仿宋_GB2312" w:hAnsi="仿宋_GB2312" w:cs="仿宋_GB2312" w:eastAsia="仿宋_GB2312"/>
          <w:sz w:val="28"/>
          <w:b/>
        </w:rPr>
        <w:t>周至县人民法院[165]</w:t>
      </w:r>
    </w:p>
    <w:p>
      <w:pPr>
        <w:pStyle w:val="null3"/>
        <w:jc w:val="center"/>
        <w:outlineLvl w:val="2"/>
      </w:pPr>
      <w:r>
        <w:rPr>
          <w:rFonts w:ascii="仿宋_GB2312" w:hAnsi="仿宋_GB2312" w:cs="仿宋_GB2312" w:eastAsia="仿宋_GB2312"/>
          <w:sz w:val="28"/>
          <w:b/>
        </w:rPr>
        <w:t>瑞恒项目管理有限公司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瑞恒项目管理有限公司</w:t>
      </w:r>
      <w:r>
        <w:rPr>
          <w:rFonts w:ascii="仿宋_GB2312" w:hAnsi="仿宋_GB2312" w:cs="仿宋_GB2312" w:eastAsia="仿宋_GB2312"/>
        </w:rPr>
        <w:t>（以下简称“代理机构”）受</w:t>
      </w:r>
      <w:r>
        <w:rPr>
          <w:rFonts w:ascii="仿宋_GB2312" w:hAnsi="仿宋_GB2312" w:cs="仿宋_GB2312" w:eastAsia="仿宋_GB2312"/>
        </w:rPr>
        <w:t>周至县人民法院[165]</w:t>
      </w:r>
      <w:r>
        <w:rPr>
          <w:rFonts w:ascii="仿宋_GB2312" w:hAnsi="仿宋_GB2312" w:cs="仿宋_GB2312" w:eastAsia="仿宋_GB2312"/>
        </w:rPr>
        <w:t>委托，拟对</w:t>
      </w:r>
      <w:r>
        <w:rPr>
          <w:rFonts w:ascii="仿宋_GB2312" w:hAnsi="仿宋_GB2312" w:cs="仿宋_GB2312" w:eastAsia="仿宋_GB2312"/>
        </w:rPr>
        <w:t>周至县人民法院食堂包厨（含食材）项目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RH采字【20260611】号</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周至县人民法院食堂包厨（含食材）项目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为采购人提供包厨（含食材）服务。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采购包1（周至县人民法院食堂包厨（含食材）项目）：属于专门面向中小企业采购。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报告证明：1）提供2024或2025年度经会计师事务所审计并通过注册会计师行业统一监管平台备案赋码的财务审计报告（包括：资产负债表、利润表、现金流量表、所有者权益变动表及其附注；成立时间至提交响应文件截止时间不足一年的可提供成立后任意时段的资产负债表）； 2）磋商前六个月内基本存款账户开户银行出具的资信证明及基本存款账户开户许可证（基本存款账户信息）； 3）信用担保机构出具的投标担保函。（上述三种方式，任选其一）</w:t>
      </w:r>
    </w:p>
    <w:p>
      <w:pPr>
        <w:pStyle w:val="null3"/>
      </w:pPr>
      <w:r>
        <w:rPr>
          <w:rFonts w:ascii="仿宋_GB2312" w:hAnsi="仿宋_GB2312" w:cs="仿宋_GB2312" w:eastAsia="仿宋_GB2312"/>
        </w:rPr>
        <w:t>3、税收缴纳证明：提供响应文件提交截止时间一年内至少一个月的相关凭据（时间以税款所属日期为准），凭据应有税务机关或代收机关的公章或业务专用章。依法免税或无须缴纳税款的供应商，应提供相关证明文件。</w:t>
      </w:r>
    </w:p>
    <w:p>
      <w:pPr>
        <w:pStyle w:val="null3"/>
      </w:pPr>
      <w:r>
        <w:rPr>
          <w:rFonts w:ascii="仿宋_GB2312" w:hAnsi="仿宋_GB2312" w:cs="仿宋_GB2312" w:eastAsia="仿宋_GB2312"/>
        </w:rPr>
        <w:t>4、社会保障资金缴纳证明：提供响应文件提交截止时间一年内至少一个月的社会保障资金缴存单据或社保机构开具的社会保险参保缴费情况证明，依法不需要缴纳社会保障资金的单位应提供相关证明材料。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5、特定资格：供应商应具备有效的食品经营许可证。</w:t>
      </w:r>
    </w:p>
    <w:p>
      <w:pPr>
        <w:pStyle w:val="null3"/>
      </w:pPr>
      <w:r>
        <w:rPr>
          <w:rFonts w:ascii="仿宋_GB2312" w:hAnsi="仿宋_GB2312" w:cs="仿宋_GB2312" w:eastAsia="仿宋_GB2312"/>
        </w:rPr>
        <w:t>6、无重大违法记录声明：参加本次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7、设备、技术能力书面声明：提供具有履行合同所必需的设备和专业技术能力书面承诺函。</w:t>
      </w:r>
    </w:p>
    <w:p>
      <w:pPr>
        <w:pStyle w:val="null3"/>
      </w:pPr>
      <w:r>
        <w:rPr>
          <w:rFonts w:ascii="仿宋_GB2312" w:hAnsi="仿宋_GB2312" w:cs="仿宋_GB2312" w:eastAsia="仿宋_GB2312"/>
        </w:rPr>
        <w:t>8、企业关系关联书面声明：单位负责人为同一人或者存在直接控股、管理关系的不同供应商，不得参加同一合同项下的政府采购活动。</w:t>
      </w:r>
    </w:p>
    <w:p>
      <w:pPr>
        <w:pStyle w:val="null3"/>
      </w:pPr>
      <w:r>
        <w:rPr>
          <w:rFonts w:ascii="仿宋_GB2312" w:hAnsi="仿宋_GB2312" w:cs="仿宋_GB2312" w:eastAsia="仿宋_GB2312"/>
        </w:rPr>
        <w:t>9、非联合体声明：提供非联合体声明函。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周至县人民法院[165]</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陕西省西安市周至县新区南环路西段北侧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宋赓</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029-8781080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瑞恒项目管理有限公司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陕西省西安市雁塔区陕西省西安市曲江新区雁翔路3269号旺座曲江D座30层3001号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石雨鑫、刘 菲、刘 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18092403087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采购包1：801,500.00元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不涉及</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不涉及</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不涉及</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以成交通知书确定的成交金额作为招标代理服务费的计算基数。招标代理服务费参考国家计委颁发的《招标代理服务收费管理暂行办法》(计价格[2002]1980号)文件规定的标准下浮30%计取。2.代理费不足5000元时按5000元收取。3.代理服务费缴纳及账户信息： （转账汇款时请注明“RH采字【20260611】号”） 开户名称：瑞恒项目管理有限公司 开户行：工行西安城南科技支行 账 号：3700024819200044620</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周至县人民法院[165]</w:t>
      </w:r>
      <w:r>
        <w:rPr>
          <w:rFonts w:ascii="仿宋_GB2312" w:hAnsi="仿宋_GB2312" w:cs="仿宋_GB2312" w:eastAsia="仿宋_GB2312"/>
        </w:rPr>
        <w:t>和</w:t>
      </w:r>
      <w:r>
        <w:rPr>
          <w:rFonts w:ascii="仿宋_GB2312" w:hAnsi="仿宋_GB2312" w:cs="仿宋_GB2312" w:eastAsia="仿宋_GB2312"/>
        </w:rPr>
        <w:t>瑞恒项目管理有限公司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周至县人民法院[165]</w:t>
      </w:r>
      <w:r>
        <w:rPr>
          <w:rFonts w:ascii="仿宋_GB2312" w:hAnsi="仿宋_GB2312" w:cs="仿宋_GB2312" w:eastAsia="仿宋_GB2312"/>
        </w:rPr>
        <w:t>负责解释。除上述磋商文件内容，其他内容由</w:t>
      </w:r>
      <w:r>
        <w:rPr>
          <w:rFonts w:ascii="仿宋_GB2312" w:hAnsi="仿宋_GB2312" w:cs="仿宋_GB2312" w:eastAsia="仿宋_GB2312"/>
        </w:rPr>
        <w:t>瑞恒项目管理有限公司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周至县人民法院[165]</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瑞恒项目管理有限公司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不涉及</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按照磋商文件、响应文件及合同约定进行验收。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瑞恒项目管理有限公司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瑞恒项目管理有限公司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瑞恒项目管理有限公司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联系人：刘菲、刘轩</w:t>
      </w:r>
    </w:p>
    <w:p>
      <w:pPr>
        <w:pStyle w:val="null3"/>
      </w:pPr>
      <w:r>
        <w:rPr>
          <w:rFonts w:ascii="仿宋_GB2312" w:hAnsi="仿宋_GB2312" w:cs="仿宋_GB2312" w:eastAsia="仿宋_GB2312"/>
        </w:rPr>
        <w:t>联系电话：18092403087</w:t>
      </w:r>
    </w:p>
    <w:p>
      <w:pPr>
        <w:pStyle w:val="null3"/>
      </w:pPr>
      <w:r>
        <w:rPr>
          <w:rFonts w:ascii="仿宋_GB2312" w:hAnsi="仿宋_GB2312" w:cs="仿宋_GB2312" w:eastAsia="仿宋_GB2312"/>
        </w:rPr>
        <w:t>地址：陕西省西安市曲江新区雁翔路3269号旺座曲江D座30层3001号</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为采购人提供包厨（含食材）服务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801,500.00</w:t>
      </w:r>
    </w:p>
    <w:p>
      <w:pPr>
        <w:pStyle w:val="null3"/>
      </w:pPr>
      <w:r>
        <w:rPr>
          <w:rFonts w:ascii="仿宋_GB2312" w:hAnsi="仿宋_GB2312" w:cs="仿宋_GB2312" w:eastAsia="仿宋_GB2312"/>
        </w:rPr>
        <w:t>采购包最高限价（元）: 801,500.00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1项</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801,500.00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餐饮业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标的名称：1项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一、服务内容</w:t>
            </w:r>
          </w:p>
          <w:p>
            <w:pPr>
              <w:pStyle w:val="null3"/>
              <w:ind w:firstLine="210"/>
              <w:jc w:val="both"/>
            </w:pPr>
            <w:r>
              <w:rPr>
                <w:rFonts w:ascii="仿宋_GB2312" w:hAnsi="仿宋_GB2312" w:cs="仿宋_GB2312" w:eastAsia="仿宋_GB2312"/>
                <w:sz w:val="21"/>
              </w:rPr>
              <w:t>1</w:t>
            </w:r>
            <w:r>
              <w:rPr>
                <w:rFonts w:ascii="仿宋_GB2312" w:hAnsi="仿宋_GB2312" w:cs="仿宋_GB2312" w:eastAsia="仿宋_GB2312"/>
                <w:sz w:val="21"/>
              </w:rPr>
              <w:t>、服务商合理安排机关员工餐、制定科学食谱。采购人全程监管；</w:t>
            </w:r>
          </w:p>
          <w:p>
            <w:pPr>
              <w:pStyle w:val="null3"/>
              <w:ind w:firstLine="210"/>
              <w:jc w:val="both"/>
            </w:pPr>
            <w:r>
              <w:rPr>
                <w:rFonts w:ascii="仿宋_GB2312" w:hAnsi="仿宋_GB2312" w:cs="仿宋_GB2312" w:eastAsia="仿宋_GB2312"/>
                <w:sz w:val="21"/>
              </w:rPr>
              <w:t>2</w:t>
            </w:r>
            <w:r>
              <w:rPr>
                <w:rFonts w:ascii="仿宋_GB2312" w:hAnsi="仿宋_GB2312" w:cs="仿宋_GB2312" w:eastAsia="仿宋_GB2312"/>
                <w:sz w:val="21"/>
              </w:rPr>
              <w:t>、餐饮区内公共区域的通道、地面、楼梯、墙壁、走廊、玻璃、餐具、取样盒、消防设施等的清洁、保洁、消毒工作；</w:t>
            </w:r>
          </w:p>
          <w:p>
            <w:pPr>
              <w:pStyle w:val="null3"/>
              <w:ind w:firstLine="210"/>
              <w:jc w:val="both"/>
            </w:pPr>
            <w:r>
              <w:rPr>
                <w:rFonts w:ascii="仿宋_GB2312" w:hAnsi="仿宋_GB2312" w:cs="仿宋_GB2312" w:eastAsia="仿宋_GB2312"/>
                <w:sz w:val="21"/>
              </w:rPr>
              <w:t>3</w:t>
            </w:r>
            <w:r>
              <w:rPr>
                <w:rFonts w:ascii="仿宋_GB2312" w:hAnsi="仿宋_GB2312" w:cs="仿宋_GB2312" w:eastAsia="仿宋_GB2312"/>
                <w:sz w:val="21"/>
              </w:rPr>
              <w:t>、餐厨垃圾清倒至指定区域。</w:t>
            </w:r>
          </w:p>
          <w:p>
            <w:pPr>
              <w:pStyle w:val="null3"/>
              <w:jc w:val="both"/>
            </w:pPr>
            <w:r>
              <w:rPr>
                <w:rFonts w:ascii="仿宋_GB2312" w:hAnsi="仿宋_GB2312" w:cs="仿宋_GB2312" w:eastAsia="仿宋_GB2312"/>
                <w:sz w:val="21"/>
                <w:b/>
              </w:rPr>
              <w:t>二、人员要求</w:t>
            </w:r>
          </w:p>
          <w:p>
            <w:pPr>
              <w:pStyle w:val="null3"/>
              <w:jc w:val="both"/>
            </w:pPr>
            <w:r>
              <w:rPr>
                <w:rFonts w:ascii="仿宋_GB2312" w:hAnsi="仿宋_GB2312" w:cs="仿宋_GB2312" w:eastAsia="仿宋_GB2312"/>
                <w:sz w:val="21"/>
              </w:rPr>
              <w:t>（一）人员管理要求</w:t>
            </w:r>
          </w:p>
          <w:p>
            <w:pPr>
              <w:pStyle w:val="null3"/>
              <w:ind w:firstLine="210"/>
              <w:jc w:val="both"/>
            </w:pPr>
            <w:r>
              <w:rPr>
                <w:rFonts w:ascii="仿宋_GB2312" w:hAnsi="仿宋_GB2312" w:cs="仿宋_GB2312" w:eastAsia="仿宋_GB2312"/>
                <w:sz w:val="21"/>
              </w:rPr>
              <w:t>1</w:t>
            </w:r>
            <w:r>
              <w:rPr>
                <w:rFonts w:ascii="仿宋_GB2312" w:hAnsi="仿宋_GB2312" w:cs="仿宋_GB2312" w:eastAsia="仿宋_GB2312"/>
                <w:sz w:val="21"/>
              </w:rPr>
              <w:t>、成交服务商必须依法合规与员工签订劳动合同、建立员工个人档案（个人信息及培训档案），并向采购人报备；</w:t>
            </w:r>
          </w:p>
          <w:p>
            <w:pPr>
              <w:pStyle w:val="null3"/>
              <w:ind w:firstLine="210"/>
              <w:jc w:val="both"/>
            </w:pPr>
            <w:r>
              <w:rPr>
                <w:rFonts w:ascii="仿宋_GB2312" w:hAnsi="仿宋_GB2312" w:cs="仿宋_GB2312" w:eastAsia="仿宋_GB2312"/>
                <w:sz w:val="21"/>
              </w:rPr>
              <w:t>2</w:t>
            </w:r>
            <w:r>
              <w:rPr>
                <w:rFonts w:ascii="仿宋_GB2312" w:hAnsi="仿宋_GB2312" w:cs="仿宋_GB2312" w:eastAsia="仿宋_GB2312"/>
                <w:sz w:val="21"/>
              </w:rPr>
              <w:t>、所有服务人员必须思想端正，有吃苦耐劳精神，身体健康、五官端正，熟悉采购人相关管理制度。</w:t>
            </w:r>
          </w:p>
          <w:p>
            <w:pPr>
              <w:pStyle w:val="null3"/>
              <w:jc w:val="both"/>
            </w:pPr>
            <w:r>
              <w:rPr>
                <w:rFonts w:ascii="仿宋_GB2312" w:hAnsi="仿宋_GB2312" w:cs="仿宋_GB2312" w:eastAsia="仿宋_GB2312"/>
                <w:sz w:val="21"/>
              </w:rPr>
              <w:t>（二）岗位设置及要求</w:t>
            </w:r>
          </w:p>
          <w:tbl>
            <w:tblPr>
              <w:tblBorders>
                <w:top w:val="none" w:color="000000" w:sz="4"/>
                <w:left w:val="none" w:color="000000" w:sz="4"/>
                <w:bottom w:val="none" w:color="000000" w:sz="4"/>
                <w:right w:val="none" w:color="000000" w:sz="4"/>
                <w:insideH w:val="none"/>
                <w:insideV w:val="none"/>
              </w:tblBorders>
            </w:tblPr>
            <w:tblGrid>
              <w:gridCol w:w="310"/>
              <w:gridCol w:w="276"/>
              <w:gridCol w:w="1478"/>
              <w:gridCol w:w="489"/>
            </w:tblGrid>
            <w:tr>
              <w:tc>
                <w:tcPr>
                  <w:tcW w:type="dxa" w:w="586"/>
                  <w:gridSpan w:val="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岗位名称</w:t>
                  </w:r>
                </w:p>
              </w:tc>
              <w:tc>
                <w:tcPr>
                  <w:tcW w:type="dxa" w:w="147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人员资质要求</w:t>
                  </w:r>
                </w:p>
              </w:tc>
              <w:tc>
                <w:tcPr>
                  <w:tcW w:type="dxa" w:w="48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岗位数量</w:t>
                  </w:r>
                </w:p>
              </w:tc>
            </w:tr>
            <w:tr>
              <w:tc>
                <w:tcPr>
                  <w:tcW w:type="dxa" w:w="3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餐饮</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管理员</w:t>
                  </w:r>
                </w:p>
              </w:tc>
              <w:tc>
                <w:tcPr>
                  <w:tcW w:type="dxa" w:w="14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rPr>
                    <w:t>要求持有“食品安全员”证，45岁以下，3年以上餐厅管理经验</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人</w:t>
                  </w:r>
                </w:p>
              </w:tc>
            </w:tr>
            <w:tr>
              <w:tc>
                <w:tcPr>
                  <w:tcW w:type="dxa" w:w="310"/>
                  <w:vMerge/>
                  <w:tcBorders>
                    <w:top w:val="none" w:color="000000" w:sz="4"/>
                    <w:left w:val="single" w:color="000000" w:sz="4"/>
                    <w:bottom w:val="single" w:color="000000" w:sz="4"/>
                    <w:right w:val="single" w:color="000000" w:sz="4"/>
                  </w:tcBorders>
                </w:tcP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厨师</w:t>
                  </w:r>
                </w:p>
              </w:tc>
              <w:tc>
                <w:tcPr>
                  <w:tcW w:type="dxa" w:w="14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持有“中式烹调师证”“健康证”；有一定的厨房管理能力。从业经验3年以上。年龄不超过国家法定退休年龄。</w:t>
                  </w:r>
                </w:p>
                <w:p>
                  <w:pPr>
                    <w:pStyle w:val="null3"/>
                  </w:pPr>
                  <w:r>
                    <w:rPr>
                      <w:rFonts w:ascii="仿宋_GB2312" w:hAnsi="仿宋_GB2312" w:cs="仿宋_GB2312" w:eastAsia="仿宋_GB2312"/>
                      <w:sz w:val="21"/>
                    </w:rPr>
                    <w:t>应具备当地菜（小吃）、陕菜（小吃）、川菜等特色风味厨艺。</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人</w:t>
                  </w:r>
                </w:p>
              </w:tc>
            </w:tr>
            <w:tr>
              <w:tc>
                <w:tcPr>
                  <w:tcW w:type="dxa" w:w="310"/>
                  <w:vMerge/>
                  <w:tcBorders>
                    <w:top w:val="none" w:color="000000" w:sz="4"/>
                    <w:left w:val="single" w:color="000000" w:sz="4"/>
                    <w:bottom w:val="single" w:color="000000" w:sz="4"/>
                    <w:right w:val="single" w:color="000000" w:sz="4"/>
                  </w:tcBorders>
                </w:tcP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面点师</w:t>
                  </w:r>
                </w:p>
              </w:tc>
              <w:tc>
                <w:tcPr>
                  <w:tcW w:type="dxa" w:w="14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从业经验3年以上。年龄不超过国家法定退休年龄。</w:t>
                  </w:r>
                </w:p>
                <w:p>
                  <w:pPr>
                    <w:pStyle w:val="null3"/>
                  </w:pPr>
                  <w:r>
                    <w:rPr>
                      <w:rFonts w:ascii="仿宋_GB2312" w:hAnsi="仿宋_GB2312" w:cs="仿宋_GB2312" w:eastAsia="仿宋_GB2312"/>
                      <w:sz w:val="21"/>
                    </w:rPr>
                    <w:t>会陕西小吃及各种面点的制作。</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人</w:t>
                  </w:r>
                </w:p>
              </w:tc>
            </w:tr>
            <w:tr>
              <w:tc>
                <w:tcPr>
                  <w:tcW w:type="dxa" w:w="310"/>
                  <w:vMerge/>
                  <w:tcBorders>
                    <w:top w:val="none" w:color="000000" w:sz="4"/>
                    <w:left w:val="single" w:color="000000" w:sz="4"/>
                    <w:bottom w:val="single" w:color="000000" w:sz="4"/>
                    <w:right w:val="single" w:color="000000" w:sz="4"/>
                  </w:tcBorders>
                </w:tcP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帮厨</w:t>
                  </w:r>
                </w:p>
              </w:tc>
              <w:tc>
                <w:tcPr>
                  <w:tcW w:type="dxa" w:w="14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持有“健康证”；</w:t>
                  </w:r>
                </w:p>
                <w:p>
                  <w:pPr>
                    <w:pStyle w:val="null3"/>
                  </w:pPr>
                  <w:r>
                    <w:rPr>
                      <w:rFonts w:ascii="仿宋_GB2312" w:hAnsi="仿宋_GB2312" w:cs="仿宋_GB2312" w:eastAsia="仿宋_GB2312"/>
                      <w:sz w:val="21"/>
                    </w:rPr>
                    <w:t>年龄不超过国家法定退休年龄。</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5</w:t>
                  </w:r>
                  <w:r>
                    <w:rPr>
                      <w:rFonts w:ascii="仿宋_GB2312" w:hAnsi="仿宋_GB2312" w:cs="仿宋_GB2312" w:eastAsia="仿宋_GB2312"/>
                      <w:sz w:val="21"/>
                    </w:rPr>
                    <w:t>人</w:t>
                  </w:r>
                </w:p>
              </w:tc>
            </w:tr>
            <w:tr>
              <w:tc>
                <w:tcPr>
                  <w:tcW w:type="dxa" w:w="2064"/>
                  <w:gridSpan w:val="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人数</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8</w:t>
                  </w:r>
                  <w:r>
                    <w:rPr>
                      <w:rFonts w:ascii="仿宋_GB2312" w:hAnsi="仿宋_GB2312" w:cs="仿宋_GB2312" w:eastAsia="仿宋_GB2312"/>
                      <w:sz w:val="21"/>
                    </w:rPr>
                    <w:t>人</w:t>
                  </w:r>
                </w:p>
              </w:tc>
            </w:tr>
          </w:tbl>
          <w:p>
            <w:pPr>
              <w:pStyle w:val="null3"/>
              <w:jc w:val="both"/>
            </w:pPr>
            <w:r>
              <w:rPr>
                <w:rFonts w:ascii="仿宋_GB2312" w:hAnsi="仿宋_GB2312" w:cs="仿宋_GB2312" w:eastAsia="仿宋_GB2312"/>
                <w:sz w:val="21"/>
                <w:b/>
              </w:rPr>
              <w:t>三、服务要求</w:t>
            </w:r>
          </w:p>
          <w:p>
            <w:pPr>
              <w:pStyle w:val="null3"/>
              <w:jc w:val="both"/>
            </w:pPr>
            <w:r>
              <w:rPr>
                <w:rFonts w:ascii="仿宋_GB2312" w:hAnsi="仿宋_GB2312" w:cs="仿宋_GB2312" w:eastAsia="仿宋_GB2312"/>
                <w:sz w:val="21"/>
              </w:rPr>
              <w:t>（一）总体要求</w:t>
            </w:r>
          </w:p>
          <w:p>
            <w:pPr>
              <w:pStyle w:val="null3"/>
              <w:ind w:firstLine="210"/>
              <w:jc w:val="both"/>
            </w:pPr>
            <w:r>
              <w:rPr>
                <w:rFonts w:ascii="仿宋_GB2312" w:hAnsi="仿宋_GB2312" w:cs="仿宋_GB2312" w:eastAsia="仿宋_GB2312"/>
                <w:sz w:val="21"/>
              </w:rPr>
              <w:t>1</w:t>
            </w:r>
            <w:r>
              <w:rPr>
                <w:rFonts w:ascii="仿宋_GB2312" w:hAnsi="仿宋_GB2312" w:cs="仿宋_GB2312" w:eastAsia="仿宋_GB2312"/>
                <w:sz w:val="21"/>
              </w:rPr>
              <w:t>、保密性：要求物业工作人员必须具备良好的政治素质，通过严格审核和培训，定期开展思想政治和保密教育工作的培训。</w:t>
            </w:r>
          </w:p>
          <w:p>
            <w:pPr>
              <w:pStyle w:val="null3"/>
              <w:ind w:firstLine="210"/>
              <w:jc w:val="both"/>
            </w:pPr>
            <w:r>
              <w:rPr>
                <w:rFonts w:ascii="仿宋_GB2312" w:hAnsi="仿宋_GB2312" w:cs="仿宋_GB2312" w:eastAsia="仿宋_GB2312"/>
                <w:sz w:val="21"/>
              </w:rPr>
              <w:t>2</w:t>
            </w:r>
            <w:r>
              <w:rPr>
                <w:rFonts w:ascii="仿宋_GB2312" w:hAnsi="仿宋_GB2312" w:cs="仿宋_GB2312" w:eastAsia="仿宋_GB2312"/>
                <w:sz w:val="21"/>
              </w:rPr>
              <w:t>、安全性：服务公司工作人员应主动接受审核、检查，并周密做好防火、防盗、防爆、防破坏、防事故工作，确保安全。</w:t>
            </w:r>
          </w:p>
          <w:p>
            <w:pPr>
              <w:pStyle w:val="null3"/>
              <w:ind w:firstLine="210"/>
              <w:jc w:val="both"/>
            </w:pPr>
            <w:r>
              <w:rPr>
                <w:rFonts w:ascii="仿宋_GB2312" w:hAnsi="仿宋_GB2312" w:cs="仿宋_GB2312" w:eastAsia="仿宋_GB2312"/>
                <w:sz w:val="21"/>
              </w:rPr>
              <w:t>3</w:t>
            </w:r>
            <w:r>
              <w:rPr>
                <w:rFonts w:ascii="仿宋_GB2312" w:hAnsi="仿宋_GB2312" w:cs="仿宋_GB2312" w:eastAsia="仿宋_GB2312"/>
                <w:sz w:val="21"/>
              </w:rPr>
              <w:t>、规范化和标准化服务：工作人员要求身体健康、统一着装，普通话标准，做到举止大方，谈吐文雅，服务标准规范。</w:t>
            </w:r>
          </w:p>
          <w:p>
            <w:pPr>
              <w:pStyle w:val="null3"/>
              <w:jc w:val="both"/>
            </w:pPr>
            <w:r>
              <w:rPr>
                <w:rFonts w:ascii="仿宋_GB2312" w:hAnsi="仿宋_GB2312" w:cs="仿宋_GB2312" w:eastAsia="仿宋_GB2312"/>
                <w:sz w:val="21"/>
              </w:rPr>
              <w:t>（二）餐饮服务</w:t>
            </w:r>
          </w:p>
          <w:p>
            <w:pPr>
              <w:pStyle w:val="null3"/>
              <w:ind w:firstLine="210"/>
              <w:jc w:val="both"/>
            </w:pPr>
            <w:r>
              <w:rPr>
                <w:rFonts w:ascii="仿宋_GB2312" w:hAnsi="仿宋_GB2312" w:cs="仿宋_GB2312" w:eastAsia="仿宋_GB2312"/>
                <w:sz w:val="21"/>
              </w:rPr>
              <w:t>1</w:t>
            </w:r>
            <w:r>
              <w:rPr>
                <w:rFonts w:ascii="仿宋_GB2312" w:hAnsi="仿宋_GB2312" w:cs="仿宋_GB2312" w:eastAsia="仿宋_GB2312"/>
                <w:sz w:val="21"/>
              </w:rPr>
              <w:t>、餐厨场地、设备、厨具餐具，水电气费用由采购人提供，餐饮公司应节约使用。餐厅劳务服务、食材费及耗材费均包含在合同总价中，餐饮服务由服务公司自主经营，自负盈亏。</w:t>
            </w:r>
          </w:p>
          <w:p>
            <w:pPr>
              <w:pStyle w:val="null3"/>
              <w:ind w:firstLine="210"/>
              <w:jc w:val="both"/>
            </w:pPr>
            <w:r>
              <w:rPr>
                <w:rFonts w:ascii="仿宋_GB2312" w:hAnsi="仿宋_GB2312" w:cs="仿宋_GB2312" w:eastAsia="仿宋_GB2312"/>
                <w:sz w:val="21"/>
              </w:rPr>
              <w:t>2</w:t>
            </w:r>
            <w:r>
              <w:rPr>
                <w:rFonts w:ascii="仿宋_GB2312" w:hAnsi="仿宋_GB2312" w:cs="仿宋_GB2312" w:eastAsia="仿宋_GB2312"/>
                <w:sz w:val="21"/>
              </w:rPr>
              <w:t>、餐饮标准：</w:t>
            </w:r>
          </w:p>
          <w:p>
            <w:pPr>
              <w:pStyle w:val="null3"/>
              <w:ind w:firstLine="420"/>
              <w:jc w:val="both"/>
            </w:pPr>
            <w:r>
              <w:rPr>
                <w:rFonts w:ascii="仿宋_GB2312" w:hAnsi="仿宋_GB2312" w:cs="仿宋_GB2312" w:eastAsia="仿宋_GB2312"/>
                <w:sz w:val="21"/>
              </w:rPr>
              <w:t>（1）早餐：自助餐（要求菜品不低于4种，稀饭不少于2种，主食应多样变化，每日提供鸡蛋）。定期提供牛奶、酸奶。</w:t>
            </w:r>
          </w:p>
          <w:p>
            <w:pPr>
              <w:pStyle w:val="null3"/>
              <w:ind w:firstLine="420"/>
              <w:jc w:val="both"/>
            </w:pPr>
            <w:r>
              <w:rPr>
                <w:rFonts w:ascii="仿宋_GB2312" w:hAnsi="仿宋_GB2312" w:cs="仿宋_GB2312" w:eastAsia="仿宋_GB2312"/>
                <w:sz w:val="21"/>
              </w:rPr>
              <w:t>（2）午餐：自助餐形式，每日提供两荤两素菜品，并且配套一样面食（要求扯面、干拌面、炸酱面等）；周三陕西小吃，花样由服务商自行安排，采购人确认后执行，如需更改，必须经过采购人同意，方可变更。</w:t>
            </w:r>
          </w:p>
          <w:p>
            <w:pPr>
              <w:pStyle w:val="null3"/>
              <w:jc w:val="both"/>
            </w:pPr>
            <w:r>
              <w:rPr>
                <w:rFonts w:ascii="仿宋_GB2312" w:hAnsi="仿宋_GB2312" w:cs="仿宋_GB2312" w:eastAsia="仿宋_GB2312"/>
                <w:sz w:val="21"/>
                <w:b/>
              </w:rPr>
              <w:t>四、商务要求</w:t>
            </w:r>
          </w:p>
          <w:p>
            <w:pPr>
              <w:pStyle w:val="null3"/>
              <w:ind w:firstLine="210"/>
              <w:jc w:val="both"/>
            </w:pPr>
            <w:r>
              <w:rPr>
                <w:rFonts w:ascii="仿宋_GB2312" w:hAnsi="仿宋_GB2312" w:cs="仿宋_GB2312" w:eastAsia="仿宋_GB2312"/>
                <w:sz w:val="21"/>
              </w:rPr>
              <w:t>（一）服务期：12个月，以双方签订合同时约定的起止时间为准。</w:t>
            </w:r>
          </w:p>
          <w:p>
            <w:pPr>
              <w:pStyle w:val="null3"/>
              <w:ind w:firstLine="210"/>
              <w:jc w:val="both"/>
            </w:pPr>
            <w:r>
              <w:rPr>
                <w:rFonts w:ascii="仿宋_GB2312" w:hAnsi="仿宋_GB2312" w:cs="仿宋_GB2312" w:eastAsia="仿宋_GB2312"/>
                <w:sz w:val="21"/>
              </w:rPr>
              <w:t>（二）服务费按月结算。服务费已包含管理人员和服务人员的人工费（工资、社保、福利等）、节假日加班费、员工培训费、办公经费、员工食宿费、清洁材料、工具、劳保及人身意外保险费、设备设施维护费、企业法定利润、财务费用、管理费用和税金等完成本项目所需的一切费用。其中，人员的工资、社保、福利等必须符合国家及省、市相关法律法规所规定的标准要求。</w:t>
            </w:r>
          </w:p>
          <w:p>
            <w:pPr>
              <w:pStyle w:val="null3"/>
              <w:ind w:firstLine="210"/>
              <w:jc w:val="both"/>
            </w:pPr>
            <w:r>
              <w:rPr>
                <w:rFonts w:ascii="仿宋_GB2312" w:hAnsi="仿宋_GB2312" w:cs="仿宋_GB2312" w:eastAsia="仿宋_GB2312"/>
              </w:rPr>
              <w:t xml:space="preserve"> </w:t>
            </w:r>
          </w:p>
          <w:p>
            <w:pPr>
              <w:pStyle w:val="null3"/>
              <w:ind w:firstLine="210"/>
              <w:jc w:val="both"/>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满足采购需求及采购人要求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满足采购需求及采购人要求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12个月（具体服务起止日期可随合同签订时间相应顺延）</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符合《陕西省财政厅关于进一步加强政府采购履约验收管理有关事项的通知》（陕财办采函【2025】19号）及采购人的相关规定。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进度款，服务费按月结算，达到付款条件起15个工作日内，支付合同总金额的100.0%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1.按《民法典》等相关法律法规中的相关条款执行。 2.未按合同要求达到国家标准要求，由供应商负责整改，并承担相关费用，由此引起一切经济损失及政治影响由供应商承担。</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合格供应商少于3家的处理：3.4.1.1评审过程中，若出现合格供应商只有2家时，符合《政府采购竞争性磋商采购方式管理暂行办法》第3条第4项情形的，或者本项目为政府购买服务指导性目录中的，可以继续进行；只有1家时，采购人应依法重新组织采购活动。 3.4.1.2评审过程中，除符合第3.4.1.1条条款规定情形外，若出现合格供应商少于3家时，采购人应依法重新组织采购活动。 3.4.2本项目需要落实的政府采购政策：（1）财政部、工业和信息化部关于印发《政府采购促进中小企业发展管理办法》的通知-财库〔2020〕46号；（2）关于进一步加大政府采购支持中小企业力度的通知-财库〔2022〕19号；（3）财政部 司法部关于政府采购支持监狱企业发展有关问题的通知-财库〔2014〕68号；（4）财政部 民政部 中国残疾人联合会关于促进残疾人就业政府采购政策的通知-财库〔2017〕141号；（5）关于调整优化节能产品、环境标志产品政府采购执行机制的通知-财库〔2019〕9号；（6）财政部生态 环境部关于印发环境标志产品政府采购品目清单的通知-财库〔2019〕18号；（7）财政 部发展改革委关于印发节能产品政府采购品目清单的通知-财库〔2019〕19号；（8）财政部 农业农村部 国家乡村振兴局关于运用政府采购政策支持乡村产业振兴的通知-财库〔2021〕19 号；（9）财政部、农业农村部、国家乡村振兴局、中华全国供销合作总社关于印发《关于深入开展政府采购脱贫地区农副产品工作推进乡村产业振兴的实施意见》的通知-财库〔2021〕20号；（10）陕西省财政厅关于落实政府采购支持中小企业政策有关事项的通知-陕财办采函〔2022〕10 号；（11）陕西省财政厅关于进一步加强政府绿色采购有关问题的通知-陕财办采〔2021〕29号；（12）陕西省财政厅关于印发《陕西省中小企业政府采购信用融资办法》-陕财办采〔2018〕23号（13）陕西省财政厅关于加快推进我省中小企业政府采购信用融资工作的通知-陕财办采〔2020〕15号；（14）陕西省财政厅 中国人民银行西安分行关于深入推进政府采购信用融资业务的通知-陕财办采〔2023〕5号。（15）国务院办公厅关于在政府采购中实施本国产品标准及相关政策的通知国办发〔2025〕34号；（16）如有最新颁布的政府采购政策，按最新的文件执行。 3.4.3参与本项目采购的供应商应通过陕西省政府采购综合管理平台的项目电子化交易系统在线实施响应、磋商、报价等操作，磋商响应时无需供应商现场提供纸质响应文件，但在中标（成交）后中标（成交）供应商在领取中标（成交）通知书时需提供纸质响应文件叁套，纸质响应文件应通过专用制作软件直接打印，确保与项目电子化交易系统中的电子响应文件保持一致，不允许修改和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财务报告证明</w:t>
            </w:r>
          </w:p>
        </w:tc>
        <w:tc>
          <w:tcPr>
            <w:tcW w:type="dxa" w:w="3322"/>
          </w:tcPr>
          <w:p>
            <w:pPr>
              <w:pStyle w:val="null3"/>
            </w:pPr>
            <w:r>
              <w:rPr>
                <w:rFonts w:ascii="仿宋_GB2312" w:hAnsi="仿宋_GB2312" w:cs="仿宋_GB2312" w:eastAsia="仿宋_GB2312"/>
              </w:rPr>
              <w:t>1）提供2024或2025年度经会计师事务所审计并通过注册会计师行业统一监管平台备案赋码的财务审计报告（包括：资产负债表、利润表、现金流量表、所有者权益变动表及其附注；成立时间至提交响应文件截止时间不足一年的可提供成立后任意时段的资产负债表）； 2）磋商前六个月内基本存款账户开户银行出具的资信证明及基本存款账户开户许可证（基本存款账户信息）； 3）信用担保机构出具的投标担保函。（上述三种方式，任选其一）</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提供响应文件提交截止时间一年内至少一个月的相关凭据（时间以税款所属日期为准），凭据应有税务机关或代收机关的公章或业务专用章。依法免税或无须缴纳税款的供应商，应提供相关证明文件。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提供响应文件提交截止时间一年内至少一个月的社会保障资金缴存单据或社保机构开具的社会保险参保缴费情况证明，依法不需要缴纳社会保障资金的单位应提供相关证明材料。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特定资格</w:t>
            </w:r>
          </w:p>
        </w:tc>
        <w:tc>
          <w:tcPr>
            <w:tcW w:type="dxa" w:w="3322"/>
          </w:tcPr>
          <w:p>
            <w:pPr>
              <w:pStyle w:val="null3"/>
            </w:pPr>
            <w:r>
              <w:rPr>
                <w:rFonts w:ascii="仿宋_GB2312" w:hAnsi="仿宋_GB2312" w:cs="仿宋_GB2312" w:eastAsia="仿宋_GB2312"/>
              </w:rPr>
              <w:t>供应商应具备有效的食品经营许可证。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设备、技术能力书面声明</w:t>
            </w:r>
          </w:p>
        </w:tc>
        <w:tc>
          <w:tcPr>
            <w:tcW w:type="dxa" w:w="3322"/>
          </w:tcPr>
          <w:p>
            <w:pPr>
              <w:pStyle w:val="null3"/>
            </w:pPr>
            <w:r>
              <w:rPr>
                <w:rFonts w:ascii="仿宋_GB2312" w:hAnsi="仿宋_GB2312" w:cs="仿宋_GB2312" w:eastAsia="仿宋_GB2312"/>
              </w:rPr>
              <w:t>提供具有履行合同所必需的设备和专业技术能力书面承诺函。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企业关系关联书面声明</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提供非联合体声明函。</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法定代表人身份证明书/授权委托书</w:t>
            </w:r>
          </w:p>
        </w:tc>
        <w:tc>
          <w:tcPr>
            <w:tcW w:type="dxa" w:w="3322"/>
          </w:tcPr>
          <w:p>
            <w:pPr>
              <w:pStyle w:val="null3"/>
            </w:pPr>
            <w:r>
              <w:rPr>
                <w:rFonts w:ascii="仿宋_GB2312" w:hAnsi="仿宋_GB2312" w:cs="仿宋_GB2312" w:eastAsia="仿宋_GB2312"/>
              </w:rPr>
              <w:t>法定代表人（负责人）参加磋商的，须出具法定代表人（负责人）身份证明书及身份证正反两面扫描件或护照资料页扫描件；法定代表人（负责人）授权委托代理人参加磋商的，须出具法定代表人（负责人）授权委托书及委托代理人身份证正反两面扫描件或护照资料页扫描件。</w:t>
            </w:r>
          </w:p>
        </w:tc>
        <w:tc>
          <w:tcPr>
            <w:tcW w:type="dxa" w:w="1661"/>
          </w:tcPr>
          <w:p>
            <w:pPr>
              <w:pStyle w:val="null3"/>
            </w:pPr>
            <w:r>
              <w:rPr>
                <w:rFonts w:ascii="仿宋_GB2312" w:hAnsi="仿宋_GB2312" w:cs="仿宋_GB2312" w:eastAsia="仿宋_GB2312"/>
              </w:rPr>
              <w:t>法定代表人身份证明书及授权委托书</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至少以下三处的项目名称、项目编号、合同包（未分合同包的除外）与本项目完全一致： （1）响应文件封面 （2）响应函 （3）法定代表人（负责人）委托授权书</w:t>
            </w:r>
          </w:p>
        </w:tc>
        <w:tc>
          <w:tcPr>
            <w:tcW w:type="dxa" w:w="1661"/>
          </w:tcPr>
          <w:p>
            <w:pPr>
              <w:pStyle w:val="null3"/>
            </w:pPr>
            <w:r>
              <w:rPr>
                <w:rFonts w:ascii="仿宋_GB2312" w:hAnsi="仿宋_GB2312" w:cs="仿宋_GB2312" w:eastAsia="仿宋_GB2312"/>
              </w:rPr>
              <w:t>响应文件封面 法定代表人身份证明书及授权委托书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响应文件组成</w:t>
            </w:r>
          </w:p>
        </w:tc>
        <w:tc>
          <w:tcPr>
            <w:tcW w:type="dxa" w:w="3322"/>
          </w:tcPr>
          <w:p>
            <w:pPr>
              <w:pStyle w:val="null3"/>
            </w:pPr>
            <w:r>
              <w:rPr>
                <w:rFonts w:ascii="仿宋_GB2312" w:hAnsi="仿宋_GB2312" w:cs="仿宋_GB2312" w:eastAsia="仿宋_GB2312"/>
              </w:rPr>
              <w:t>响应文件完整且编排有序，响应内容基本完整，无重大错漏；</w:t>
            </w:r>
          </w:p>
        </w:tc>
        <w:tc>
          <w:tcPr>
            <w:tcW w:type="dxa" w:w="1661"/>
          </w:tcPr>
          <w:p>
            <w:pPr>
              <w:pStyle w:val="null3"/>
            </w:pPr>
            <w:r>
              <w:rPr>
                <w:rFonts w:ascii="仿宋_GB2312" w:hAnsi="仿宋_GB2312" w:cs="仿宋_GB2312" w:eastAsia="仿宋_GB2312"/>
              </w:rPr>
              <w:t>响应文件封面 法定代表人身份证明书及授权委托书 技术要求偏离表 中小企业声明函 残疾人福利性单位声明函 商务应答表 服务方案 标的清单 供应商应提交的相关资格证明材料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同时满足以下条款：（1）货币单位符合磋商文件要求（2）未超出采购预算或最高限价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磋商有效期满足磋商文件的要求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合同及其它条款</w:t>
            </w:r>
          </w:p>
        </w:tc>
        <w:tc>
          <w:tcPr>
            <w:tcW w:type="dxa" w:w="3322"/>
          </w:tcPr>
          <w:p>
            <w:pPr>
              <w:pStyle w:val="null3"/>
            </w:pPr>
            <w:r>
              <w:rPr>
                <w:rFonts w:ascii="仿宋_GB2312" w:hAnsi="仿宋_GB2312" w:cs="仿宋_GB2312" w:eastAsia="仿宋_GB2312"/>
              </w:rPr>
              <w:t>完全理解并响应磋商文件合同及其它条款的要求，且未含有采购人不能接受的附加条件的。</w:t>
            </w:r>
          </w:p>
        </w:tc>
        <w:tc>
          <w:tcPr>
            <w:tcW w:type="dxa" w:w="1661"/>
          </w:tcPr>
          <w:p>
            <w:pPr>
              <w:pStyle w:val="null3"/>
            </w:pPr>
            <w:r>
              <w:rPr>
                <w:rFonts w:ascii="仿宋_GB2312" w:hAnsi="仿宋_GB2312" w:cs="仿宋_GB2312" w:eastAsia="仿宋_GB2312"/>
              </w:rPr>
              <w:t>技术要求偏离表 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符合法律、法规和竞争性磋商中规定的其他实质性要求</w:t>
            </w:r>
          </w:p>
        </w:tc>
        <w:tc>
          <w:tcPr>
            <w:tcW w:type="dxa" w:w="3322"/>
          </w:tcPr>
          <w:p>
            <w:pPr>
              <w:pStyle w:val="null3"/>
            </w:pPr>
            <w:r>
              <w:rPr>
                <w:rFonts w:ascii="仿宋_GB2312" w:hAnsi="仿宋_GB2312" w:cs="仿宋_GB2312" w:eastAsia="仿宋_GB2312"/>
              </w:rPr>
              <w:t>是否符合法律、法规和竞争性磋商文件中规定的其他实质性要求</w:t>
            </w:r>
          </w:p>
        </w:tc>
        <w:tc>
          <w:tcPr>
            <w:tcW w:type="dxa" w:w="1661"/>
          </w:tcPr>
          <w:p>
            <w:pPr>
              <w:pStyle w:val="null3"/>
            </w:pPr>
            <w:r>
              <w:rPr>
                <w:rFonts w:ascii="仿宋_GB2312" w:hAnsi="仿宋_GB2312" w:cs="仿宋_GB2312" w:eastAsia="仿宋_GB2312"/>
              </w:rPr>
              <w:t>技术要求偏离表 商务应答表 服务方案</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详细评审84.00分</w:t>
            </w:r>
          </w:p>
          <w:p>
            <w:pPr>
              <w:pStyle w:val="null3"/>
            </w:pPr>
            <w:r>
              <w:rPr>
                <w:rFonts w:ascii="仿宋_GB2312" w:hAnsi="仿宋_GB2312" w:cs="仿宋_GB2312" w:eastAsia="仿宋_GB2312"/>
              </w:rPr>
              <w:t>报价得分16.00分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服务措施及流程</w:t>
            </w:r>
          </w:p>
        </w:tc>
        <w:tc>
          <w:tcPr>
            <w:tcW w:type="dxa" w:w="2492"/>
          </w:tcPr>
          <w:p>
            <w:pPr>
              <w:pStyle w:val="null3"/>
            </w:pPr>
            <w:r>
              <w:rPr>
                <w:rFonts w:ascii="仿宋_GB2312" w:hAnsi="仿宋_GB2312" w:cs="仿宋_GB2312" w:eastAsia="仿宋_GB2312"/>
              </w:rPr>
              <w:t>一、评审内容 根据供应商针对本项目的管理服务措施，具有规范的管理服务流程，（包含但不限于：①管理架构；②工作流程；③自检制度；④消毒管理方案；⑤卫生管理；⑥应急预案），按其响应程度进行综合赋分。 二、评审标准 完整性：方案须全面，对评审内容中的各项要求有详细描述及说明； 可实施性：切合本项目实际情况，实施步骤清晰、合理； 针对性：方案能够紧扣项目实际情况，内容科学合理。 三、赋分标准 1、供应商制定的方案对项目要求理解准确，内容齐全、结构完整、表述准确、条理清晰得18.0分，评审内容每缺失一项，扣3.0分。 2、根据评审标准对供应商方案进行评审，每项评审内容有一处存在缺陷的扣1.0分。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食品安全管理方案</w:t>
            </w:r>
          </w:p>
        </w:tc>
        <w:tc>
          <w:tcPr>
            <w:tcW w:type="dxa" w:w="2492"/>
          </w:tcPr>
          <w:p>
            <w:pPr>
              <w:pStyle w:val="null3"/>
            </w:pPr>
            <w:r>
              <w:rPr>
                <w:rFonts w:ascii="仿宋_GB2312" w:hAnsi="仿宋_GB2312" w:cs="仿宋_GB2312" w:eastAsia="仿宋_GB2312"/>
              </w:rPr>
              <w:t>一、评审内容 根据供应商提供的食品安全管理方案（包括但不限于①食品质量控制；②食品安全与卫生；③食材贮存计划；）等方面，按其响应程度进行综合赋分。 二、评审标准 完整性：方案须全面，对评审内容中的各项要求有详细描述及说明； 可实施性：切合本项目实际情况，实施步骤清晰、合理； 针对性：方案能够紧扣项目实际情况，内容科学合理。 三、赋分标准 1、供应商制定的方案对项目要求理解准确，内容齐全、结构完整、表述准确、条理清晰得9.0分，评审内容每缺失一项，扣3.0分。 2、根据评审标准对供应商方案进行评审，每项评审内容有一处存在缺陷的扣1.0分。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配餐方案</w:t>
            </w:r>
          </w:p>
        </w:tc>
        <w:tc>
          <w:tcPr>
            <w:tcW w:type="dxa" w:w="2492"/>
          </w:tcPr>
          <w:p>
            <w:pPr>
              <w:pStyle w:val="null3"/>
            </w:pPr>
            <w:r>
              <w:rPr>
                <w:rFonts w:ascii="仿宋_GB2312" w:hAnsi="仿宋_GB2312" w:cs="仿宋_GB2312" w:eastAsia="仿宋_GB2312"/>
              </w:rPr>
              <w:t>一、评审内容 针对本项目提供以两周为周期的配餐方案，（包括但不限于①菜肴品种；②膳食搭配营养），按其响应程度进行综合赋分。 二、评审标准 完整性：方案须全面，对评审内容中的各项要求有详细描述及说明； 可实施性：切合本项目实际情况，实施步骤清晰、合理； 针对性：方案能够紧扣项目实际情况，内容科学合理。 三、赋分标准 1、供应商制定的方案对项目要求理解准确，内容齐全、结构完整、表述准确、条理清晰得6.0分，评审内容每缺失一项，扣3.0分。 2、根据评审标准对供应商方案进行评审，每项评审内容有一处存在缺陷的扣1.0分。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成本控制方案</w:t>
            </w:r>
          </w:p>
        </w:tc>
        <w:tc>
          <w:tcPr>
            <w:tcW w:type="dxa" w:w="2492"/>
          </w:tcPr>
          <w:p>
            <w:pPr>
              <w:pStyle w:val="null3"/>
            </w:pPr>
            <w:r>
              <w:rPr>
                <w:rFonts w:ascii="仿宋_GB2312" w:hAnsi="仿宋_GB2312" w:cs="仿宋_GB2312" w:eastAsia="仿宋_GB2312"/>
              </w:rPr>
              <w:t>一、评审内容 供应商提供合理的成本控制方案（包括但不限于①问题分析；②具体措施；③最终目标）等方面，按其响应程度进行综合赋分。 二、评审标准 完整性：方案须全面，对评审内容中的各项要求有详细描述及说明； 可实施性：切合本项目实际情况，实施步骤清晰、合理； 针对性：方案能够紧扣项目实际情况，内容科学合理。 三、赋分标准 1、供应商制定的方案对项目要求理解准确，内容齐全、结构完整、表述准确、条理清晰得6.0分，评审内容每缺失一项，扣2.0分。 2、根据评审标准对供应商方案进行评审，每项评审内容有一处存在缺陷的扣0.7分。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1、拟派负责人具备2年及以上餐厅管理经验（提供社保、以往合同佐证），得5.0分；缺任一材料不得分。 2、拟派服务团队中人员具有： ①厨师具有中式烹调师证书，且从业经验3年以上（以证书颁发时间计算），得3.0分； ②具有面点师证书等相关证书的，得3.0分； ③具有食品安全员证书的，得3.0分； 需提供人员证书扫描件，未提供不得分。 3、拟派人员必须具有健康证书，若未提供或提供不全，本项不得分。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食品安全</w:t>
            </w:r>
          </w:p>
        </w:tc>
        <w:tc>
          <w:tcPr>
            <w:tcW w:type="dxa" w:w="2492"/>
          </w:tcPr>
          <w:p>
            <w:pPr>
              <w:pStyle w:val="null3"/>
            </w:pPr>
            <w:r>
              <w:rPr>
                <w:rFonts w:ascii="仿宋_GB2312" w:hAnsi="仿宋_GB2312" w:cs="仿宋_GB2312" w:eastAsia="仿宋_GB2312"/>
              </w:rPr>
              <w:t>1、供应商出具近3年无市场监管部门食品安全处罚记录承诺得3.0分，无承诺或存在处罚记录得0分。 2、供应商出具近3年无食品安全事故承诺得3.0分，无承诺或存在安全事故得0分。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供应商提供自2023年1月1日以来（以合同签订时间为准）类似项目业绩，每提供1份合同得4.0分，最高得20.0分。注：以合同签订时间为准，并扫描件，未提供不得分。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用户评价</w:t>
            </w:r>
          </w:p>
        </w:tc>
        <w:tc>
          <w:tcPr>
            <w:tcW w:type="dxa" w:w="2492"/>
          </w:tcPr>
          <w:p>
            <w:pPr>
              <w:pStyle w:val="null3"/>
            </w:pPr>
            <w:r>
              <w:rPr>
                <w:rFonts w:ascii="仿宋_GB2312" w:hAnsi="仿宋_GB2312" w:cs="仿宋_GB2312" w:eastAsia="仿宋_GB2312"/>
              </w:rPr>
              <w:t>供应商提供不同单位出具的客户满意度评价，每提供1份得1.0分，最高得5.0分。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即满足磋商文件要求且最后报价最低的供应商的价格为磋商基准价，其价格分为满分。其他供应商的价格分统一按照下列公式计算：磋商报价得分=（磋商基准价/最后磋商报价）×16%×100。</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详见附件：法定代表人身份证明书及授权委托书</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详见附件：技术要求偏离表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