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32CC0">
      <w:pPr>
        <w:jc w:val="center"/>
        <w:rPr>
          <w:rFonts w:hint="eastAsia" w:ascii="宋体" w:hAnsi="宋体" w:eastAsia="宋体" w:cs="宋体"/>
          <w:b/>
          <w:bCs/>
          <w:color w:val="auto"/>
          <w:kern w:val="44"/>
          <w:sz w:val="40"/>
          <w:szCs w:val="40"/>
          <w:lang w:val="en-US" w:eastAsia="zh-CN"/>
        </w:rPr>
      </w:pPr>
      <w:r>
        <w:rPr>
          <w:rFonts w:hint="eastAsia" w:ascii="宋体" w:hAnsi="宋体" w:eastAsia="宋体" w:cs="宋体"/>
          <w:b/>
          <w:bCs/>
          <w:color w:val="auto"/>
          <w:kern w:val="44"/>
          <w:sz w:val="40"/>
          <w:szCs w:val="40"/>
          <w:lang w:val="en-US" w:eastAsia="zh-CN"/>
        </w:rPr>
        <w:t>府谷县136家工业固废渣场林草地占用数据调查分析技术服务费</w:t>
      </w:r>
      <w:r>
        <w:rPr>
          <w:rFonts w:hint="eastAsia" w:ascii="宋体" w:hAnsi="宋体" w:eastAsia="宋体" w:cs="宋体"/>
          <w:b/>
          <w:bCs/>
          <w:color w:val="auto"/>
          <w:kern w:val="44"/>
          <w:sz w:val="40"/>
          <w:szCs w:val="40"/>
          <w:lang w:eastAsia="zh-CN"/>
        </w:rPr>
        <w:t>需求计划</w:t>
      </w:r>
    </w:p>
    <w:p w14:paraId="3574C116">
      <w:pPr>
        <w:rPr>
          <w:rFonts w:hint="eastAsia" w:ascii="宋体" w:hAnsi="宋体" w:eastAsia="宋体" w:cs="宋体"/>
          <w:b/>
          <w:bCs/>
          <w:color w:val="auto"/>
          <w:sz w:val="28"/>
          <w:szCs w:val="28"/>
          <w:lang w:val="en-US" w:eastAsia="zh-CN"/>
        </w:rPr>
      </w:pPr>
    </w:p>
    <w:p w14:paraId="71350101">
      <w:pPr>
        <w:numPr>
          <w:ilvl w:val="0"/>
          <w:numId w:val="1"/>
        </w:numPr>
        <w:rPr>
          <w:rFonts w:hint="eastAsia" w:ascii="宋体" w:hAnsi="宋体" w:eastAsia="宋体" w:cs="宋体"/>
          <w:color w:val="auto"/>
          <w:sz w:val="28"/>
          <w:szCs w:val="28"/>
          <w:lang w:val="en-US" w:eastAsia="zh-CN"/>
        </w:rPr>
      </w:pPr>
      <w:r>
        <w:rPr>
          <w:rFonts w:hint="eastAsia" w:ascii="宋体" w:hAnsi="宋体" w:eastAsia="宋体" w:cs="宋体"/>
          <w:b/>
          <w:bCs/>
          <w:color w:val="auto"/>
          <w:sz w:val="28"/>
          <w:szCs w:val="28"/>
          <w:lang w:val="en-US" w:eastAsia="zh-CN"/>
        </w:rPr>
        <w:t>项目名称：</w:t>
      </w:r>
      <w:r>
        <w:rPr>
          <w:rFonts w:hint="eastAsia" w:ascii="宋体" w:hAnsi="宋体" w:eastAsia="宋体" w:cs="宋体"/>
          <w:color w:val="auto"/>
          <w:sz w:val="28"/>
          <w:szCs w:val="28"/>
          <w:lang w:val="en-US" w:eastAsia="zh-CN"/>
        </w:rPr>
        <w:t>府谷县136家工业固废渣场林草地占用数据调查分析技术服务费</w:t>
      </w:r>
    </w:p>
    <w:p w14:paraId="10BE56F2">
      <w:pPr>
        <w:numPr>
          <w:ilvl w:val="0"/>
          <w:numId w:val="1"/>
        </w:numPr>
        <w:rPr>
          <w:rFonts w:hint="eastAsia" w:ascii="宋体" w:hAnsi="宋体" w:eastAsia="宋体" w:cs="宋体"/>
          <w:color w:val="auto"/>
          <w:sz w:val="28"/>
          <w:szCs w:val="28"/>
          <w:lang w:val="en-US" w:eastAsia="zh-CN"/>
        </w:rPr>
      </w:pPr>
      <w:r>
        <w:rPr>
          <w:rFonts w:hint="eastAsia" w:ascii="宋体" w:hAnsi="宋体" w:eastAsia="宋体" w:cs="宋体"/>
          <w:b/>
          <w:bCs/>
          <w:color w:val="auto"/>
          <w:sz w:val="28"/>
          <w:szCs w:val="28"/>
          <w:lang w:val="en-US" w:eastAsia="zh-CN"/>
        </w:rPr>
        <w:t>项目预算、资金构成和采购方式：</w:t>
      </w:r>
    </w:p>
    <w:p w14:paraId="4195A718">
      <w:pPr>
        <w:numPr>
          <w:ilvl w:val="0"/>
          <w:numId w:val="0"/>
        </w:numPr>
        <w:ind w:left="210" w:lef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1、采购项目预算：965000.00元</w:t>
      </w:r>
    </w:p>
    <w:p w14:paraId="2263E303">
      <w:pPr>
        <w:numPr>
          <w:ilvl w:val="0"/>
          <w:numId w:val="0"/>
        </w:numPr>
        <w:ind w:left="210" w:lef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2、资金来源：财政</w:t>
      </w:r>
    </w:p>
    <w:p w14:paraId="74F69B53">
      <w:pPr>
        <w:numPr>
          <w:ilvl w:val="0"/>
          <w:numId w:val="0"/>
        </w:numPr>
        <w:ind w:left="210" w:leftChars="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3、采购方式：竞争性磋商</w:t>
      </w:r>
    </w:p>
    <w:p w14:paraId="1705CE0F">
      <w:pPr>
        <w:numPr>
          <w:ilvl w:val="0"/>
          <w:numId w:val="0"/>
        </w:numPr>
        <w:ind w:leftChars="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三、项目实施时间、地点、工程概况、履行期限及方式 </w:t>
      </w:r>
    </w:p>
    <w:p w14:paraId="351E4382">
      <w:pPr>
        <w:jc w:val="left"/>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1、项目实施时间</w:t>
      </w:r>
      <w:r>
        <w:rPr>
          <w:rFonts w:hint="eastAsia" w:ascii="宋体" w:hAnsi="宋体" w:eastAsia="宋体" w:cs="宋体"/>
          <w:b w:val="0"/>
          <w:bCs w:val="0"/>
          <w:color w:val="auto"/>
          <w:sz w:val="28"/>
          <w:szCs w:val="28"/>
          <w:highlight w:val="none"/>
          <w:lang w:val="en-US" w:eastAsia="zh-CN"/>
        </w:rPr>
        <w:t>：2026年7月</w:t>
      </w:r>
    </w:p>
    <w:p w14:paraId="5DCE970F">
      <w:pPr>
        <w:jc w:val="left"/>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2、项目实施地点：府谷县136家工业固废渣场  </w:t>
      </w:r>
    </w:p>
    <w:p w14:paraId="65F167F1">
      <w:pPr>
        <w:jc w:val="lef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3、项目概况：</w:t>
      </w:r>
    </w:p>
    <w:p w14:paraId="7737977B">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拟聘请林业专业技术单位，对136个工业渣场占用林草地情况开展全面调查研判，同步提供调查时点正射影像、占地范围边界及林地、草地矢量图层，并出具占用林草地专项调查报告</w:t>
      </w:r>
      <w:r>
        <w:rPr>
          <w:rFonts w:hint="eastAsia" w:ascii="宋体" w:hAnsi="宋体" w:eastAsia="宋体" w:cs="宋体"/>
          <w:color w:val="0000FF"/>
          <w:sz w:val="28"/>
          <w:szCs w:val="28"/>
          <w:lang w:val="en-US" w:eastAsia="zh-CN"/>
        </w:rPr>
        <w:t>。</w:t>
      </w:r>
    </w:p>
    <w:p w14:paraId="6E544B71">
      <w:pPr>
        <w:numPr>
          <w:ilvl w:val="0"/>
          <w:numId w:val="0"/>
        </w:numP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4、服务期：</w:t>
      </w:r>
      <w:r>
        <w:rPr>
          <w:rFonts w:hint="eastAsia" w:ascii="宋体" w:hAnsi="宋体" w:eastAsia="宋体" w:cs="宋体"/>
          <w:b w:val="0"/>
          <w:bCs w:val="0"/>
          <w:color w:val="auto"/>
          <w:sz w:val="28"/>
          <w:szCs w:val="28"/>
          <w:u w:val="single"/>
          <w:lang w:val="en-US" w:eastAsia="zh-CN"/>
        </w:rPr>
        <w:t>30</w:t>
      </w:r>
      <w:r>
        <w:rPr>
          <w:rFonts w:hint="eastAsia" w:ascii="宋体" w:hAnsi="宋体" w:eastAsia="宋体" w:cs="宋体"/>
          <w:b w:val="0"/>
          <w:bCs w:val="0"/>
          <w:color w:val="auto"/>
          <w:sz w:val="28"/>
          <w:szCs w:val="28"/>
          <w:lang w:val="en-US" w:eastAsia="zh-CN"/>
        </w:rPr>
        <w:t xml:space="preserve">日历天。 </w:t>
      </w:r>
    </w:p>
    <w:p w14:paraId="25A1BC9A">
      <w:pPr>
        <w:numPr>
          <w:ilvl w:val="0"/>
          <w:numId w:val="0"/>
        </w:numPr>
        <w:spacing w:line="520" w:lineRule="exact"/>
        <w:rPr>
          <w:rFonts w:hint="eastAsia" w:ascii="宋体" w:hAnsi="宋体" w:cs="宋体"/>
          <w:color w:val="auto"/>
          <w:sz w:val="28"/>
          <w:szCs w:val="28"/>
          <w:lang w:val="en-US" w:eastAsia="zh-CN"/>
        </w:rPr>
      </w:pPr>
      <w:r>
        <w:rPr>
          <w:rFonts w:hint="eastAsia" w:ascii="宋体" w:hAnsi="宋体" w:eastAsia="宋体" w:cs="宋体"/>
          <w:b w:val="0"/>
          <w:bCs w:val="0"/>
          <w:color w:val="auto"/>
          <w:sz w:val="28"/>
          <w:szCs w:val="28"/>
          <w:lang w:val="en-US" w:eastAsia="zh-CN"/>
        </w:rPr>
        <w:t>5、履行期限及方式 ：</w:t>
      </w:r>
      <w:r>
        <w:rPr>
          <w:rFonts w:hint="eastAsia" w:ascii="宋体" w:hAnsi="宋体" w:cs="宋体"/>
          <w:b w:val="0"/>
          <w:bCs w:val="0"/>
          <w:color w:val="auto"/>
          <w:sz w:val="28"/>
          <w:szCs w:val="28"/>
          <w:lang w:val="en-US" w:eastAsia="zh-CN"/>
        </w:rPr>
        <w:t>严格</w:t>
      </w:r>
      <w:r>
        <w:rPr>
          <w:rFonts w:hint="eastAsia" w:ascii="宋体" w:hAnsi="宋体" w:cs="宋体"/>
          <w:color w:val="auto"/>
          <w:sz w:val="28"/>
          <w:szCs w:val="28"/>
          <w:lang w:val="en-US" w:eastAsia="zh-CN"/>
        </w:rPr>
        <w:t>执行政府采购程序，审批结束后开始实施。</w:t>
      </w:r>
    </w:p>
    <w:p w14:paraId="13FB6182">
      <w:pPr>
        <w:pStyle w:val="2"/>
        <w:rPr>
          <w:rFonts w:hint="default"/>
          <w:lang w:val="en-US" w:eastAsia="zh-CN"/>
        </w:rPr>
      </w:pPr>
    </w:p>
    <w:p w14:paraId="00732AED">
      <w:pPr>
        <w:numPr>
          <w:ilvl w:val="0"/>
          <w:numId w:val="0"/>
        </w:numPr>
        <w:spacing w:line="52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五、 合同模板：</w:t>
      </w:r>
    </w:p>
    <w:p w14:paraId="42EC6404">
      <w:pPr>
        <w:pStyle w:val="9"/>
        <w:rPr>
          <w:rFonts w:hint="eastAsia" w:ascii="宋体" w:hAnsi="宋体" w:eastAsia="宋体" w:cs="宋体"/>
          <w:b/>
          <w:bCs/>
          <w:color w:val="auto"/>
          <w:sz w:val="28"/>
          <w:szCs w:val="28"/>
          <w:lang w:val="en-US" w:eastAsia="zh-CN"/>
        </w:rPr>
      </w:pPr>
    </w:p>
    <w:p w14:paraId="2BF07789">
      <w:pPr>
        <w:rPr>
          <w:rFonts w:hint="eastAsia" w:ascii="宋体" w:hAnsi="宋体" w:eastAsia="宋体" w:cs="宋体"/>
          <w:b/>
          <w:bCs/>
          <w:color w:val="auto"/>
          <w:sz w:val="28"/>
          <w:szCs w:val="28"/>
          <w:lang w:val="en-US" w:eastAsia="zh-CN"/>
        </w:rPr>
      </w:pPr>
    </w:p>
    <w:p w14:paraId="58BE31AE">
      <w:pPr>
        <w:pStyle w:val="2"/>
        <w:rPr>
          <w:rFonts w:hint="eastAsia" w:ascii="宋体" w:hAnsi="宋体" w:eastAsia="宋体" w:cs="宋体"/>
          <w:b/>
          <w:bCs/>
          <w:color w:val="auto"/>
          <w:sz w:val="28"/>
          <w:szCs w:val="28"/>
          <w:lang w:val="en-US" w:eastAsia="zh-CN"/>
        </w:rPr>
      </w:pPr>
    </w:p>
    <w:p w14:paraId="4A4CFC87">
      <w:pPr>
        <w:pStyle w:val="9"/>
        <w:rPr>
          <w:rFonts w:hint="eastAsia"/>
          <w:color w:val="auto"/>
          <w:lang w:val="en-US" w:eastAsia="zh-CN"/>
        </w:rPr>
      </w:pPr>
    </w:p>
    <w:p w14:paraId="1D5B8E9E">
      <w:pPr>
        <w:adjustRightInd w:val="0"/>
        <w:snapToGrid w:val="0"/>
        <w:spacing w:line="360" w:lineRule="auto"/>
        <w:ind w:firstLine="562" w:firstLineChars="200"/>
        <w:jc w:val="center"/>
        <w:rPr>
          <w:rFonts w:hint="eastAsia" w:ascii="宋体" w:hAnsi="宋体" w:eastAsia="宋体" w:cs="宋体"/>
          <w:b/>
          <w:bCs/>
          <w:sz w:val="28"/>
          <w:szCs w:val="28"/>
        </w:rPr>
      </w:pPr>
      <w:bookmarkStart w:id="0" w:name="_Toc56066561"/>
      <w:bookmarkStart w:id="1" w:name="_Toc31057"/>
      <w:r>
        <w:rPr>
          <w:rFonts w:hint="eastAsia" w:ascii="宋体" w:hAnsi="宋体" w:eastAsia="宋体" w:cs="宋体"/>
          <w:b/>
          <w:bCs/>
          <w:sz w:val="28"/>
          <w:szCs w:val="28"/>
          <w:lang w:val="en-US" w:eastAsia="zh-CN"/>
        </w:rPr>
        <w:t>府谷县136家工业固废渣场林草地占用数据调查分析技术服务费采购</w:t>
      </w:r>
      <w:r>
        <w:rPr>
          <w:rFonts w:hint="eastAsia" w:ascii="宋体" w:hAnsi="宋体" w:eastAsia="宋体" w:cs="宋体"/>
          <w:b/>
          <w:bCs/>
          <w:sz w:val="28"/>
          <w:szCs w:val="28"/>
        </w:rPr>
        <w:t>合同</w:t>
      </w:r>
    </w:p>
    <w:p w14:paraId="34F5F627">
      <w:pPr>
        <w:adjustRightInd w:val="0"/>
        <w:snapToGrid w:val="0"/>
        <w:spacing w:line="360" w:lineRule="auto"/>
        <w:ind w:firstLine="480" w:firstLineChars="200"/>
        <w:rPr>
          <w:rFonts w:hint="eastAsia" w:ascii="宋体" w:hAnsi="宋体" w:eastAsia="宋体" w:cs="宋体"/>
          <w:sz w:val="24"/>
          <w:lang w:eastAsia="zh-Hans"/>
        </w:rPr>
      </w:pPr>
      <w:r>
        <w:rPr>
          <w:rFonts w:hint="eastAsia" w:ascii="宋体" w:hAnsi="宋体" w:eastAsia="宋体" w:cs="宋体"/>
          <w:sz w:val="24"/>
          <w:lang w:eastAsia="zh-Hans"/>
        </w:rPr>
        <w:t>甲方（</w:t>
      </w:r>
      <w:r>
        <w:rPr>
          <w:rFonts w:hint="eastAsia" w:ascii="宋体" w:hAnsi="宋体" w:eastAsia="宋体" w:cs="宋体"/>
          <w:sz w:val="24"/>
        </w:rPr>
        <w:t>采购人</w:t>
      </w:r>
      <w:r>
        <w:rPr>
          <w:rFonts w:hint="eastAsia" w:ascii="宋体" w:hAnsi="宋体" w:eastAsia="宋体" w:cs="宋体"/>
          <w:sz w:val="24"/>
          <w:lang w:eastAsia="zh-Hans"/>
        </w:rPr>
        <w:t>）：</w:t>
      </w:r>
      <w:r>
        <w:rPr>
          <w:rFonts w:hint="eastAsia" w:ascii="宋体" w:hAnsi="宋体" w:eastAsia="宋体" w:cs="宋体"/>
          <w:sz w:val="24"/>
        </w:rPr>
        <w:t xml:space="preserve">                                      </w:t>
      </w:r>
    </w:p>
    <w:p w14:paraId="4EF3A4FE">
      <w:pPr>
        <w:adjustRightInd w:val="0"/>
        <w:snapToGrid w:val="0"/>
        <w:spacing w:line="360" w:lineRule="auto"/>
        <w:ind w:firstLine="480" w:firstLineChars="200"/>
        <w:rPr>
          <w:rFonts w:hint="eastAsia" w:ascii="宋体" w:hAnsi="宋体" w:eastAsia="宋体" w:cs="宋体"/>
          <w:sz w:val="24"/>
          <w:lang w:eastAsia="zh-Hans"/>
        </w:rPr>
      </w:pPr>
      <w:r>
        <w:rPr>
          <w:rFonts w:hint="eastAsia" w:ascii="宋体" w:hAnsi="宋体" w:eastAsia="宋体" w:cs="宋体"/>
          <w:sz w:val="24"/>
          <w:lang w:eastAsia="zh-Hans"/>
        </w:rPr>
        <w:t>乙方（</w:t>
      </w:r>
      <w:r>
        <w:rPr>
          <w:rFonts w:hint="eastAsia" w:ascii="宋体" w:hAnsi="宋体" w:eastAsia="宋体" w:cs="宋体"/>
          <w:sz w:val="24"/>
        </w:rPr>
        <w:t>中标人</w:t>
      </w:r>
      <w:r>
        <w:rPr>
          <w:rFonts w:hint="eastAsia" w:ascii="宋体" w:hAnsi="宋体" w:eastAsia="宋体" w:cs="宋体"/>
          <w:sz w:val="24"/>
          <w:lang w:eastAsia="zh-Hans"/>
        </w:rPr>
        <w:t>）：</w:t>
      </w:r>
      <w:r>
        <w:rPr>
          <w:rFonts w:hint="eastAsia" w:ascii="宋体" w:hAnsi="宋体" w:eastAsia="宋体" w:cs="宋体"/>
          <w:sz w:val="24"/>
        </w:rPr>
        <w:t xml:space="preserve"> </w:t>
      </w:r>
      <w:r>
        <w:rPr>
          <w:rFonts w:hint="eastAsia" w:ascii="宋体" w:hAnsi="宋体" w:eastAsia="宋体" w:cs="宋体"/>
          <w:sz w:val="24"/>
          <w:lang w:eastAsia="zh-Hans"/>
        </w:rPr>
        <w:t xml:space="preserve">             </w:t>
      </w:r>
      <w:r>
        <w:rPr>
          <w:rFonts w:hint="eastAsia" w:ascii="宋体" w:hAnsi="宋体" w:eastAsia="宋体" w:cs="宋体"/>
          <w:sz w:val="24"/>
        </w:rPr>
        <w:t xml:space="preserve">                        </w:t>
      </w:r>
    </w:p>
    <w:p w14:paraId="77B35C3C">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根据《中华人民共和国政府采购法》</w:t>
      </w:r>
      <w:r>
        <w:rPr>
          <w:rFonts w:hint="eastAsia" w:ascii="宋体" w:hAnsi="宋体" w:eastAsia="宋体" w:cs="宋体"/>
          <w:sz w:val="24"/>
          <w:lang w:eastAsia="zh-CN"/>
        </w:rPr>
        <w:t>《</w:t>
      </w:r>
      <w:r>
        <w:rPr>
          <w:rFonts w:hint="eastAsia" w:ascii="宋体" w:hAnsi="宋体" w:eastAsia="宋体" w:cs="宋体"/>
          <w:sz w:val="24"/>
          <w:lang w:val="en-US" w:eastAsia="zh-CN"/>
        </w:rPr>
        <w:t>中华人民共和国民法典</w:t>
      </w:r>
      <w:r>
        <w:rPr>
          <w:rFonts w:hint="eastAsia" w:ascii="宋体" w:hAnsi="宋体" w:eastAsia="宋体" w:cs="宋体"/>
          <w:sz w:val="24"/>
          <w:lang w:eastAsia="zh-CN"/>
        </w:rPr>
        <w:t>》</w:t>
      </w:r>
      <w:r>
        <w:rPr>
          <w:rFonts w:hint="eastAsia" w:ascii="宋体" w:hAnsi="宋体" w:eastAsia="宋体" w:cs="宋体"/>
          <w:sz w:val="24"/>
        </w:rPr>
        <w:t>等相关法律，甲、乙双方经平等协商一致，就“</w:t>
      </w:r>
      <w:r>
        <w:rPr>
          <w:rFonts w:hint="eastAsia" w:ascii="宋体" w:hAnsi="宋体" w:eastAsia="宋体" w:cs="宋体"/>
          <w:sz w:val="24"/>
          <w:lang w:val="en-US" w:eastAsia="zh-CN"/>
        </w:rPr>
        <w:t>府谷县136家工业固废渣场林草地占用数据调查分析技术服务</w:t>
      </w:r>
      <w:r>
        <w:rPr>
          <w:rFonts w:hint="eastAsia" w:ascii="宋体" w:hAnsi="宋体" w:eastAsia="宋体" w:cs="宋体"/>
          <w:color w:val="auto"/>
          <w:sz w:val="24"/>
          <w:lang w:val="en-US" w:eastAsia="zh-CN"/>
        </w:rPr>
        <w:t>费</w:t>
      </w:r>
      <w:r>
        <w:rPr>
          <w:rFonts w:hint="eastAsia" w:ascii="宋体" w:hAnsi="宋体" w:eastAsia="宋体" w:cs="宋体"/>
          <w:sz w:val="24"/>
        </w:rPr>
        <w:t xml:space="preserve">”承办达成合同如下：                       </w:t>
      </w:r>
    </w:p>
    <w:p w14:paraId="747CD08A">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一、合同文件</w:t>
      </w:r>
    </w:p>
    <w:p w14:paraId="29588833">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本合同所附下列文件是构成本合同不可分割的部分，组成合同的各项文件应互相解释，互为说明，解释合同文件的优先顺序如下：</w:t>
      </w:r>
    </w:p>
    <w:p w14:paraId="2CF63304">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 合同条款</w:t>
      </w:r>
    </w:p>
    <w:p w14:paraId="53654AC1">
      <w:pPr>
        <w:adjustRightInd w:val="0"/>
        <w:snapToGrid w:val="0"/>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 xml:space="preserve">2. </w:t>
      </w:r>
      <w:r>
        <w:rPr>
          <w:rFonts w:hint="eastAsia" w:ascii="宋体" w:hAnsi="宋体" w:eastAsia="宋体" w:cs="宋体"/>
          <w:sz w:val="24"/>
          <w:lang w:val="en-US" w:eastAsia="zh-CN"/>
        </w:rPr>
        <w:t>成交通知书</w:t>
      </w:r>
    </w:p>
    <w:p w14:paraId="0F318677">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3. </w:t>
      </w:r>
      <w:r>
        <w:rPr>
          <w:rFonts w:hint="eastAsia" w:ascii="宋体" w:hAnsi="宋体" w:eastAsia="宋体" w:cs="宋体"/>
          <w:sz w:val="24"/>
          <w:lang w:val="en-US" w:eastAsia="zh-CN"/>
        </w:rPr>
        <w:t>成交供应商</w:t>
      </w:r>
      <w:r>
        <w:rPr>
          <w:rFonts w:hint="eastAsia" w:ascii="宋体" w:hAnsi="宋体" w:eastAsia="宋体" w:cs="宋体"/>
          <w:sz w:val="24"/>
        </w:rPr>
        <w:t>在评标过程中做出的有关澄清、说明、承诺或者补正文件</w:t>
      </w:r>
    </w:p>
    <w:p w14:paraId="126D79A4">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4. </w:t>
      </w:r>
      <w:r>
        <w:rPr>
          <w:rFonts w:hint="eastAsia" w:ascii="宋体" w:hAnsi="宋体" w:eastAsia="宋体" w:cs="宋体"/>
          <w:sz w:val="24"/>
          <w:lang w:val="en-US" w:eastAsia="zh-CN"/>
        </w:rPr>
        <w:t>谈判</w:t>
      </w:r>
      <w:r>
        <w:rPr>
          <w:rFonts w:hint="eastAsia" w:ascii="宋体" w:hAnsi="宋体" w:eastAsia="宋体" w:cs="宋体"/>
          <w:sz w:val="24"/>
        </w:rPr>
        <w:t>文件</w:t>
      </w:r>
    </w:p>
    <w:p w14:paraId="588AB908">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5. </w:t>
      </w:r>
      <w:r>
        <w:rPr>
          <w:rFonts w:hint="eastAsia" w:ascii="宋体" w:hAnsi="宋体" w:eastAsia="宋体" w:cs="宋体"/>
          <w:sz w:val="24"/>
          <w:lang w:val="en-US" w:eastAsia="zh-CN"/>
        </w:rPr>
        <w:t>成交供应商</w:t>
      </w:r>
      <w:r>
        <w:rPr>
          <w:rFonts w:hint="eastAsia" w:ascii="宋体" w:hAnsi="宋体" w:eastAsia="宋体" w:cs="宋体"/>
          <w:sz w:val="24"/>
        </w:rPr>
        <w:t>的</w:t>
      </w:r>
      <w:r>
        <w:rPr>
          <w:rFonts w:hint="eastAsia" w:ascii="宋体" w:hAnsi="宋体" w:eastAsia="宋体" w:cs="宋体"/>
          <w:sz w:val="24"/>
          <w:lang w:val="en-US" w:eastAsia="zh-CN"/>
        </w:rPr>
        <w:t>响应</w:t>
      </w:r>
      <w:r>
        <w:rPr>
          <w:rFonts w:hint="eastAsia" w:ascii="宋体" w:hAnsi="宋体" w:eastAsia="宋体" w:cs="宋体"/>
          <w:sz w:val="24"/>
        </w:rPr>
        <w:t>文件</w:t>
      </w:r>
    </w:p>
    <w:p w14:paraId="7C066352">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6. 本合同附件</w:t>
      </w:r>
    </w:p>
    <w:p w14:paraId="2EC8F2DC">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同一层次的合同文件规定有矛盾的以较后时间制定的为准。</w:t>
      </w:r>
    </w:p>
    <w:p w14:paraId="221D2DDF">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二、合同的范围和条件</w:t>
      </w:r>
    </w:p>
    <w:p w14:paraId="41A8E371">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本合同的范围和条件应与上述合同文件的规定相一致。</w:t>
      </w:r>
    </w:p>
    <w:p w14:paraId="3A36E247">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三、</w:t>
      </w:r>
      <w:r>
        <w:rPr>
          <w:rFonts w:hint="eastAsia" w:ascii="宋体" w:hAnsi="宋体" w:eastAsia="宋体" w:cs="宋体"/>
          <w:sz w:val="24"/>
          <w:lang w:eastAsia="zh-CN"/>
        </w:rPr>
        <w:t>工程</w:t>
      </w:r>
      <w:r>
        <w:rPr>
          <w:rFonts w:hint="eastAsia" w:ascii="宋体" w:hAnsi="宋体" w:eastAsia="宋体" w:cs="宋体"/>
          <w:sz w:val="24"/>
        </w:rPr>
        <w:t>项目</w:t>
      </w:r>
    </w:p>
    <w:p w14:paraId="302633AD">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本合同所提供的</w:t>
      </w:r>
      <w:r>
        <w:rPr>
          <w:rFonts w:hint="eastAsia" w:ascii="宋体" w:hAnsi="宋体" w:eastAsia="宋体" w:cs="宋体"/>
          <w:sz w:val="24"/>
          <w:lang w:eastAsia="zh-CN"/>
        </w:rPr>
        <w:t>工程</w:t>
      </w:r>
      <w:r>
        <w:rPr>
          <w:rFonts w:hint="eastAsia" w:ascii="宋体" w:hAnsi="宋体" w:eastAsia="宋体" w:cs="宋体"/>
          <w:sz w:val="24"/>
        </w:rPr>
        <w:t xml:space="preserve">项目内容：（与报价文件中服务明细表一致）。                                                     </w:t>
      </w:r>
    </w:p>
    <w:p w14:paraId="27C4C734">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四、合同金额</w:t>
      </w:r>
    </w:p>
    <w:p w14:paraId="753C7956">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合同金额为人民币大写 </w:t>
      </w:r>
      <w:r>
        <w:rPr>
          <w:rFonts w:hint="eastAsia" w:ascii="宋体" w:hAnsi="宋体" w:eastAsia="宋体" w:cs="宋体"/>
          <w:sz w:val="24"/>
          <w:u w:val="single"/>
        </w:rPr>
        <w:t xml:space="preserve">        </w:t>
      </w:r>
      <w:r>
        <w:rPr>
          <w:rFonts w:hint="eastAsia" w:ascii="宋体" w:hAnsi="宋体" w:eastAsia="宋体" w:cs="宋体"/>
          <w:sz w:val="24"/>
        </w:rPr>
        <w:t>元，(￥</w:t>
      </w:r>
      <w:r>
        <w:rPr>
          <w:rFonts w:hint="eastAsia" w:ascii="宋体" w:hAnsi="宋体" w:eastAsia="宋体" w:cs="宋体"/>
          <w:sz w:val="24"/>
          <w:u w:val="single"/>
        </w:rPr>
        <w:t xml:space="preserve">       </w:t>
      </w:r>
      <w:r>
        <w:rPr>
          <w:rFonts w:hint="eastAsia" w:ascii="宋体" w:hAnsi="宋体" w:eastAsia="宋体" w:cs="宋体"/>
          <w:sz w:val="24"/>
        </w:rPr>
        <w:t>)</w:t>
      </w:r>
    </w:p>
    <w:p w14:paraId="4BF59B0C">
      <w:pPr>
        <w:numPr>
          <w:ilvl w:val="0"/>
          <w:numId w:val="2"/>
        </w:num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付款</w:t>
      </w:r>
      <w:r>
        <w:rPr>
          <w:rFonts w:hint="eastAsia" w:ascii="宋体" w:hAnsi="宋体" w:eastAsia="宋体" w:cs="宋体"/>
          <w:sz w:val="24"/>
          <w:lang w:val="en-US" w:eastAsia="zh-CN"/>
        </w:rPr>
        <w:t>方式</w:t>
      </w:r>
      <w:r>
        <w:rPr>
          <w:rFonts w:hint="eastAsia" w:ascii="宋体" w:hAnsi="宋体" w:eastAsia="宋体" w:cs="宋体"/>
          <w:sz w:val="24"/>
        </w:rPr>
        <w:t>：</w:t>
      </w:r>
    </w:p>
    <w:p w14:paraId="1FB19B61">
      <w:pPr>
        <w:numPr>
          <w:ilvl w:val="0"/>
          <w:numId w:val="0"/>
        </w:numPr>
        <w:adjustRightInd w:val="0"/>
        <w:snapToGrid w:val="0"/>
        <w:spacing w:line="360" w:lineRule="auto"/>
        <w:ind w:firstLine="720" w:firstLineChars="300"/>
        <w:rPr>
          <w:rFonts w:hint="eastAsia" w:ascii="宋体" w:hAnsi="宋体" w:eastAsia="宋体" w:cs="宋体"/>
          <w:sz w:val="24"/>
        </w:rPr>
      </w:pPr>
      <w:r>
        <w:rPr>
          <w:rFonts w:hint="eastAsia" w:ascii="宋体" w:hAnsi="宋体" w:eastAsia="宋体" w:cs="宋体"/>
          <w:sz w:val="24"/>
          <w:u w:val="none"/>
          <w:lang w:val="en-US" w:eastAsia="zh-CN"/>
        </w:rPr>
        <w:t>1.</w:t>
      </w:r>
      <w:r>
        <w:rPr>
          <w:rFonts w:hint="eastAsia" w:ascii="宋体" w:hAnsi="宋体" w:eastAsia="宋体" w:cs="宋体"/>
          <w:sz w:val="24"/>
          <w:u w:val="none"/>
        </w:rPr>
        <w:t>支付方式：银行转账</w:t>
      </w:r>
      <w:r>
        <w:rPr>
          <w:rFonts w:hint="eastAsia" w:ascii="宋体" w:hAnsi="宋体" w:eastAsia="宋体" w:cs="宋体"/>
          <w:sz w:val="24"/>
        </w:rPr>
        <w:t>。</w:t>
      </w:r>
    </w:p>
    <w:p w14:paraId="38A7E036">
      <w:pPr>
        <w:adjustRightInd w:val="0"/>
        <w:snapToGrid w:val="0"/>
        <w:spacing w:line="360" w:lineRule="auto"/>
        <w:ind w:firstLine="720" w:firstLineChars="3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支付方式：银行转账</w:t>
      </w:r>
    </w:p>
    <w:p w14:paraId="178A8820">
      <w:pPr>
        <w:adjustRightInd w:val="0"/>
        <w:snapToGrid w:val="0"/>
        <w:spacing w:line="360" w:lineRule="auto"/>
        <w:ind w:firstLine="720" w:firstLineChars="3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合同款项的支付及结算方式：</w:t>
      </w:r>
    </w:p>
    <w:p w14:paraId="6CB3EA7C">
      <w:pPr>
        <w:adjustRightInd w:val="0"/>
        <w:snapToGrid w:val="0"/>
        <w:spacing w:line="360" w:lineRule="auto"/>
        <w:ind w:firstLine="720" w:firstLineChars="300"/>
        <w:rPr>
          <w:rFonts w:hint="eastAsia" w:ascii="宋体" w:hAnsi="宋体" w:eastAsia="宋体" w:cs="宋体"/>
          <w:sz w:val="24"/>
          <w:lang w:eastAsia="zh-CN"/>
        </w:rPr>
      </w:pPr>
      <w:r>
        <w:rPr>
          <w:rFonts w:hint="eastAsia" w:ascii="宋体" w:hAnsi="宋体" w:eastAsia="宋体" w:cs="宋体"/>
          <w:sz w:val="24"/>
          <w:lang w:val="en-US" w:eastAsia="zh-CN"/>
        </w:rPr>
        <w:t>3.1</w:t>
      </w:r>
      <w:r>
        <w:rPr>
          <w:rFonts w:hint="eastAsia" w:ascii="宋体" w:hAnsi="宋体" w:eastAsia="宋体" w:cs="宋体"/>
          <w:sz w:val="24"/>
        </w:rPr>
        <w:t>结算单位：</w:t>
      </w:r>
      <w:r>
        <w:rPr>
          <w:rFonts w:hint="eastAsia" w:ascii="宋体" w:hAnsi="宋体" w:eastAsia="宋体" w:cs="宋体"/>
          <w:sz w:val="24"/>
          <w:u w:val="single"/>
        </w:rPr>
        <w:t>由采购人以人民币负责结算，在付款前，</w:t>
      </w:r>
      <w:r>
        <w:rPr>
          <w:rFonts w:hint="eastAsia" w:ascii="宋体" w:hAnsi="宋体" w:eastAsia="宋体" w:cs="宋体"/>
          <w:sz w:val="24"/>
          <w:u w:val="single"/>
          <w:lang w:eastAsia="zh-CN"/>
        </w:rPr>
        <w:t>供应商</w:t>
      </w:r>
      <w:r>
        <w:rPr>
          <w:rFonts w:hint="eastAsia" w:ascii="宋体" w:hAnsi="宋体" w:eastAsia="宋体" w:cs="宋体"/>
          <w:sz w:val="24"/>
          <w:u w:val="single"/>
        </w:rPr>
        <w:t>必须开具发票给采购人</w:t>
      </w:r>
      <w:r>
        <w:rPr>
          <w:rFonts w:hint="eastAsia" w:ascii="宋体" w:hAnsi="宋体" w:eastAsia="宋体" w:cs="宋体"/>
          <w:sz w:val="24"/>
          <w:lang w:eastAsia="zh-CN"/>
        </w:rPr>
        <w:t>。</w:t>
      </w:r>
    </w:p>
    <w:p w14:paraId="4D90F973">
      <w:pPr>
        <w:adjustRightInd w:val="0"/>
        <w:snapToGrid w:val="0"/>
        <w:spacing w:line="360" w:lineRule="auto"/>
        <w:ind w:firstLine="720" w:firstLineChars="300"/>
        <w:rPr>
          <w:rFonts w:hint="eastAsia" w:ascii="宋体" w:hAnsi="宋体" w:eastAsia="宋体" w:cs="宋体"/>
          <w:sz w:val="24"/>
          <w:u w:val="none"/>
        </w:rPr>
      </w:pPr>
      <w:r>
        <w:rPr>
          <w:rFonts w:hint="eastAsia" w:ascii="宋体" w:hAnsi="宋体" w:eastAsia="宋体" w:cs="宋体"/>
          <w:sz w:val="24"/>
          <w:lang w:val="en-US" w:eastAsia="zh-CN"/>
        </w:rPr>
        <w:t>3.2</w:t>
      </w:r>
      <w:r>
        <w:rPr>
          <w:rFonts w:hint="eastAsia" w:ascii="宋体" w:hAnsi="宋体" w:eastAsia="宋体" w:cs="宋体"/>
          <w:sz w:val="24"/>
        </w:rPr>
        <w:t>付款方式：</w:t>
      </w:r>
      <w:r>
        <w:rPr>
          <w:rFonts w:hint="eastAsia" w:ascii="宋体" w:hAnsi="宋体" w:eastAsia="宋体" w:cs="宋体"/>
          <w:sz w:val="24"/>
          <w:u w:val="none"/>
          <w:lang w:val="en-US" w:eastAsia="zh-CN"/>
        </w:rPr>
        <w:t>按照项目实施进度给予付款，待项目完成，验收合格后付清剩余款项。</w:t>
      </w:r>
      <w:bookmarkStart w:id="8" w:name="_GoBack"/>
      <w:bookmarkEnd w:id="8"/>
    </w:p>
    <w:p w14:paraId="5B4C4085">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六</w:t>
      </w:r>
      <w:r>
        <w:rPr>
          <w:rFonts w:hint="eastAsia" w:ascii="宋体" w:hAnsi="宋体" w:eastAsia="宋体" w:cs="宋体"/>
          <w:sz w:val="24"/>
        </w:rPr>
        <w:t>、知识产权</w:t>
      </w:r>
    </w:p>
    <w:p w14:paraId="5A21B0C4">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乙方应保证甲方所使用的服务成果免受第三方提出的侵犯其知识产权的诉讼。</w:t>
      </w:r>
    </w:p>
    <w:p w14:paraId="5D752ACC">
      <w:pPr>
        <w:adjustRightInd w:val="0"/>
        <w:snapToGrid w:val="0"/>
        <w:spacing w:line="360" w:lineRule="auto"/>
        <w:ind w:firstLine="480" w:firstLineChars="200"/>
        <w:rPr>
          <w:rFonts w:hint="eastAsia" w:ascii="宋体" w:hAnsi="宋体" w:eastAsia="宋体" w:cs="宋体"/>
          <w:sz w:val="24"/>
        </w:rPr>
      </w:pPr>
      <w:bookmarkStart w:id="2" w:name="_Toc223404485"/>
      <w:r>
        <w:rPr>
          <w:rFonts w:hint="eastAsia" w:ascii="宋体" w:hAnsi="宋体" w:eastAsia="宋体" w:cs="宋体"/>
          <w:sz w:val="24"/>
          <w:lang w:val="en-US" w:eastAsia="zh-CN"/>
        </w:rPr>
        <w:t>七</w:t>
      </w:r>
      <w:r>
        <w:rPr>
          <w:rFonts w:hint="eastAsia" w:ascii="宋体" w:hAnsi="宋体" w:eastAsia="宋体" w:cs="宋体"/>
          <w:sz w:val="24"/>
        </w:rPr>
        <w:t>、违约条款</w:t>
      </w:r>
      <w:bookmarkEnd w:id="2"/>
    </w:p>
    <w:p w14:paraId="2AE38D0A">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 一方不按期履行合同，并经另一方提示后</w:t>
      </w:r>
      <w:r>
        <w:rPr>
          <w:rFonts w:hint="eastAsia" w:ascii="宋体" w:hAnsi="宋体" w:eastAsia="宋体" w:cs="宋体"/>
          <w:color w:val="0000FF"/>
          <w:sz w:val="24"/>
          <w:u w:val="single"/>
        </w:rPr>
        <w:t xml:space="preserve"> </w:t>
      </w:r>
      <w:r>
        <w:rPr>
          <w:rFonts w:hint="eastAsia" w:ascii="宋体" w:hAnsi="宋体" w:eastAsia="宋体" w:cs="宋体"/>
          <w:color w:val="0000FF"/>
          <w:sz w:val="24"/>
          <w:u w:val="single"/>
          <w:lang w:val="en-US" w:eastAsia="zh-CN"/>
        </w:rPr>
        <w:t>3</w:t>
      </w:r>
      <w:r>
        <w:rPr>
          <w:rFonts w:hint="eastAsia" w:ascii="宋体" w:hAnsi="宋体" w:eastAsia="宋体" w:cs="宋体"/>
          <w:color w:val="0000FF"/>
          <w:sz w:val="24"/>
          <w:u w:val="single"/>
        </w:rPr>
        <w:t xml:space="preserve"> </w:t>
      </w:r>
      <w:r>
        <w:rPr>
          <w:rFonts w:hint="eastAsia" w:ascii="宋体" w:hAnsi="宋体" w:eastAsia="宋体" w:cs="宋体"/>
          <w:sz w:val="24"/>
        </w:rPr>
        <w:t>日内仍不履行合同的，守约方有权解除合同，违约方要承担相应的法律责任。</w:t>
      </w:r>
    </w:p>
    <w:p w14:paraId="7A193432">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 如因一方违约，双方未能就赔偿损失达成协议，引起诉讼或仲裁时，违约方除应赔偿对方经济损失外，还应承担因诉讼或仲裁所支付的律师代理费等相关费用。</w:t>
      </w:r>
    </w:p>
    <w:p w14:paraId="77852EF9">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 其它应承担的违约责任，以《</w:t>
      </w:r>
      <w:r>
        <w:rPr>
          <w:rFonts w:hint="eastAsia" w:ascii="宋体" w:hAnsi="宋体" w:cs="宋体"/>
          <w:sz w:val="24"/>
          <w:lang w:val="en-US" w:eastAsia="zh-CN"/>
        </w:rPr>
        <w:t>民法典</w:t>
      </w:r>
      <w:r>
        <w:rPr>
          <w:rFonts w:hint="eastAsia" w:ascii="宋体" w:hAnsi="宋体" w:eastAsia="宋体" w:cs="宋体"/>
          <w:sz w:val="24"/>
        </w:rPr>
        <w:t>》和其它有关法律、法规规定为准，无相关规定的，双方协商解决。</w:t>
      </w:r>
    </w:p>
    <w:p w14:paraId="5395B60D">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4. 按照本合同规定应该偿付的违约金、赔偿金等，应当在明确责任后 7 日内，按银行规定或双方商定的结算办法付清，否则按逾期付款处理。</w:t>
      </w:r>
    </w:p>
    <w:p w14:paraId="6CC1FC5E">
      <w:pPr>
        <w:adjustRightInd w:val="0"/>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八、履约验收标准和方式</w:t>
      </w:r>
    </w:p>
    <w:p w14:paraId="7DB5BBAD">
      <w:pPr>
        <w:adjustRightInd w:val="0"/>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1.履约验收时间：2026年8月</w:t>
      </w:r>
    </w:p>
    <w:p w14:paraId="32A042FC">
      <w:pPr>
        <w:adjustRightInd w:val="0"/>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2.履约验收主体及内容：对136个工业渣场占用林草地情况开展全面调查研判，同步提供调查时点正射影像、占地范围边界及林地、草地矢量图层，并出具占用林草地专项调查报告。</w:t>
      </w:r>
    </w:p>
    <w:p w14:paraId="73E5D495">
      <w:pPr>
        <w:adjustRightInd w:val="0"/>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3.验收标准：符合国家、行业相关验收规范，并达到合格标准。</w:t>
      </w:r>
    </w:p>
    <w:p w14:paraId="307BEB96">
      <w:pPr>
        <w:adjustRightInd w:val="0"/>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4.验收方式：项目</w:t>
      </w:r>
      <w:r>
        <w:rPr>
          <w:rFonts w:hint="eastAsia" w:ascii="宋体" w:hAnsi="宋体" w:eastAsia="宋体" w:cs="宋体"/>
          <w:color w:val="auto"/>
          <w:sz w:val="24"/>
          <w:lang w:val="en-US" w:eastAsia="zh-CN"/>
        </w:rPr>
        <w:t>完成后</w:t>
      </w:r>
      <w:r>
        <w:rPr>
          <w:rFonts w:hint="eastAsia" w:ascii="宋体" w:hAnsi="宋体" w:eastAsia="宋体" w:cs="宋体"/>
          <w:color w:val="0000FF"/>
          <w:sz w:val="24"/>
          <w:lang w:val="en-US" w:eastAsia="zh-CN"/>
        </w:rPr>
        <w:t>，</w:t>
      </w:r>
      <w:r>
        <w:rPr>
          <w:rFonts w:hint="eastAsia" w:ascii="宋体" w:hAnsi="宋体" w:eastAsia="宋体" w:cs="宋体"/>
          <w:sz w:val="24"/>
          <w:lang w:val="en-US" w:eastAsia="zh-CN"/>
        </w:rPr>
        <w:t>并达到合格标准。</w:t>
      </w:r>
    </w:p>
    <w:p w14:paraId="2489A2E4">
      <w:pPr>
        <w:adjustRightInd w:val="0"/>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5.验收依据：                </w:t>
      </w:r>
    </w:p>
    <w:p w14:paraId="3130C2A5">
      <w:pPr>
        <w:adjustRightInd w:val="0"/>
        <w:snapToGrid w:val="0"/>
        <w:spacing w:line="360" w:lineRule="auto"/>
        <w:ind w:firstLine="480" w:firstLineChars="200"/>
        <w:rPr>
          <w:rFonts w:hint="eastAsia" w:ascii="宋体" w:hAnsi="宋体" w:eastAsia="宋体" w:cs="宋体"/>
          <w:sz w:val="24"/>
        </w:rPr>
      </w:pPr>
      <w:bookmarkStart w:id="3" w:name="_Toc223404486"/>
      <w:r>
        <w:rPr>
          <w:rFonts w:hint="eastAsia" w:ascii="宋体" w:hAnsi="宋体" w:eastAsia="宋体" w:cs="宋体"/>
          <w:sz w:val="24"/>
          <w:lang w:val="en-US" w:eastAsia="zh-CN"/>
        </w:rPr>
        <w:t>九</w:t>
      </w:r>
      <w:r>
        <w:rPr>
          <w:rFonts w:hint="eastAsia" w:ascii="宋体" w:hAnsi="宋体" w:eastAsia="宋体" w:cs="宋体"/>
          <w:sz w:val="24"/>
        </w:rPr>
        <w:t>、不可抗力条款</w:t>
      </w:r>
      <w:bookmarkEnd w:id="3"/>
    </w:p>
    <w:p w14:paraId="4FCF99CB">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2E6B5D1B">
      <w:pPr>
        <w:adjustRightInd w:val="0"/>
        <w:snapToGrid w:val="0"/>
        <w:spacing w:line="360" w:lineRule="auto"/>
        <w:ind w:firstLine="480" w:firstLineChars="200"/>
        <w:rPr>
          <w:rFonts w:hint="eastAsia" w:ascii="宋体" w:hAnsi="宋体" w:eastAsia="宋体" w:cs="宋体"/>
          <w:sz w:val="24"/>
        </w:rPr>
      </w:pPr>
      <w:bookmarkStart w:id="4" w:name="_Toc223404487"/>
      <w:r>
        <w:rPr>
          <w:rFonts w:hint="eastAsia" w:ascii="宋体" w:hAnsi="宋体" w:eastAsia="宋体" w:cs="宋体"/>
          <w:sz w:val="24"/>
        </w:rPr>
        <w:t>十、争议的解决方式</w:t>
      </w:r>
      <w:bookmarkEnd w:id="4"/>
    </w:p>
    <w:p w14:paraId="7F33B8AA">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本合同执行过程中如发生争议，应本着友好的原则协商解决。协商不成产生的诉讼，由甲方所在地人民法院管辖</w:t>
      </w:r>
    </w:p>
    <w:p w14:paraId="29791C1D">
      <w:pPr>
        <w:adjustRightInd w:val="0"/>
        <w:snapToGrid w:val="0"/>
        <w:spacing w:line="360" w:lineRule="auto"/>
        <w:ind w:firstLine="480" w:firstLineChars="200"/>
        <w:rPr>
          <w:rFonts w:hint="eastAsia" w:ascii="宋体" w:hAnsi="宋体" w:eastAsia="宋体" w:cs="宋体"/>
          <w:sz w:val="24"/>
        </w:rPr>
      </w:pPr>
      <w:bookmarkStart w:id="5" w:name="_Toc223404488"/>
      <w:r>
        <w:rPr>
          <w:rFonts w:hint="eastAsia" w:ascii="宋体" w:hAnsi="宋体" w:eastAsia="宋体" w:cs="宋体"/>
          <w:sz w:val="24"/>
        </w:rPr>
        <w:t>十</w:t>
      </w:r>
      <w:r>
        <w:rPr>
          <w:rFonts w:hint="eastAsia" w:ascii="宋体" w:hAnsi="宋体" w:eastAsia="宋体" w:cs="宋体"/>
          <w:sz w:val="24"/>
          <w:lang w:val="en-US" w:eastAsia="zh-CN"/>
        </w:rPr>
        <w:t>一</w:t>
      </w:r>
      <w:r>
        <w:rPr>
          <w:rFonts w:hint="eastAsia" w:ascii="宋体" w:hAnsi="宋体" w:eastAsia="宋体" w:cs="宋体"/>
          <w:sz w:val="24"/>
        </w:rPr>
        <w:t>、补充协议</w:t>
      </w:r>
      <w:bookmarkEnd w:id="5"/>
    </w:p>
    <w:p w14:paraId="64A23CE1">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合同未尽事宜，经双方协商可签订补充协议，所签订的补充协议与本合同具有同等的法律效力，补充协议的生效应符合本合同的有关规定。</w:t>
      </w:r>
    </w:p>
    <w:p w14:paraId="25DFB842">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十</w:t>
      </w:r>
      <w:r>
        <w:rPr>
          <w:rFonts w:hint="eastAsia" w:ascii="宋体" w:hAnsi="宋体" w:eastAsia="宋体" w:cs="宋体"/>
          <w:sz w:val="24"/>
          <w:lang w:val="en-US" w:eastAsia="zh-CN"/>
        </w:rPr>
        <w:t>二</w:t>
      </w:r>
      <w:r>
        <w:rPr>
          <w:rFonts w:hint="eastAsia" w:ascii="宋体" w:hAnsi="宋体" w:eastAsia="宋体" w:cs="宋体"/>
          <w:sz w:val="24"/>
        </w:rPr>
        <w:t>、合同生效</w:t>
      </w:r>
    </w:p>
    <w:p w14:paraId="50B55FAE">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 合同双方签订后生效。</w:t>
      </w:r>
    </w:p>
    <w:p w14:paraId="745BF8C9">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 本合同一式六份，甲、乙双方各执两份，采购代理机构、监管机构各一份。</w:t>
      </w:r>
    </w:p>
    <w:p w14:paraId="5654AAD3">
      <w:pPr>
        <w:adjustRightInd w:val="0"/>
        <w:snapToGrid w:val="0"/>
        <w:spacing w:line="360" w:lineRule="auto"/>
        <w:ind w:firstLine="480" w:firstLineChars="200"/>
        <w:rPr>
          <w:rFonts w:hint="eastAsia" w:ascii="宋体" w:hAnsi="宋体" w:eastAsia="宋体" w:cs="宋体"/>
          <w:sz w:val="24"/>
        </w:rPr>
      </w:pPr>
    </w:p>
    <w:p w14:paraId="165A927B">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甲方（盖章）: </w:t>
      </w:r>
      <w:r>
        <w:rPr>
          <w:rFonts w:hint="eastAsia" w:ascii="宋体" w:hAnsi="宋体" w:eastAsia="宋体" w:cs="宋体"/>
          <w:sz w:val="24"/>
          <w:lang w:val="en-US" w:eastAsia="zh-CN"/>
        </w:rPr>
        <w:t xml:space="preserve">              </w:t>
      </w:r>
      <w:r>
        <w:rPr>
          <w:rFonts w:hint="eastAsia" w:ascii="宋体" w:hAnsi="宋体" w:eastAsia="宋体" w:cs="宋体"/>
          <w:sz w:val="24"/>
        </w:rPr>
        <w:t>乙方（盖章）:</w:t>
      </w:r>
    </w:p>
    <w:p w14:paraId="08B1FC44">
      <w:pPr>
        <w:adjustRightInd w:val="0"/>
        <w:snapToGrid w:val="0"/>
        <w:spacing w:line="360" w:lineRule="auto"/>
        <w:rPr>
          <w:rFonts w:hint="eastAsia" w:ascii="宋体" w:hAnsi="宋体" w:eastAsia="宋体" w:cs="宋体"/>
          <w:sz w:val="24"/>
        </w:rPr>
      </w:pPr>
    </w:p>
    <w:p w14:paraId="6E51D356">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法定代表人或委托代理人：</w:t>
      </w:r>
      <w:r>
        <w:rPr>
          <w:rFonts w:hint="eastAsia" w:ascii="宋体" w:hAnsi="宋体" w:eastAsia="宋体" w:cs="宋体"/>
          <w:sz w:val="24"/>
          <w:lang w:val="en-US" w:eastAsia="zh-CN"/>
        </w:rPr>
        <w:t xml:space="preserve">    </w:t>
      </w:r>
      <w:r>
        <w:rPr>
          <w:rFonts w:hint="eastAsia" w:ascii="宋体" w:hAnsi="宋体" w:eastAsia="宋体" w:cs="宋体"/>
          <w:sz w:val="24"/>
        </w:rPr>
        <w:t>法定代表人或委托代理人：</w:t>
      </w:r>
    </w:p>
    <w:p w14:paraId="62F89C7D">
      <w:pPr>
        <w:adjustRightInd w:val="0"/>
        <w:snapToGrid w:val="0"/>
        <w:spacing w:line="360" w:lineRule="auto"/>
        <w:ind w:firstLine="480" w:firstLineChars="200"/>
        <w:rPr>
          <w:rFonts w:hint="eastAsia" w:ascii="宋体" w:hAnsi="宋体" w:eastAsia="宋体" w:cs="宋体"/>
          <w:sz w:val="24"/>
        </w:rPr>
      </w:pPr>
    </w:p>
    <w:p w14:paraId="0BA0B66B">
      <w:pPr>
        <w:adjustRightInd w:val="0"/>
        <w:snapToGrid w:val="0"/>
        <w:spacing w:line="360" w:lineRule="auto"/>
        <w:ind w:firstLine="480" w:firstLineChars="200"/>
        <w:rPr>
          <w:rFonts w:hint="eastAsia" w:ascii="宋体" w:hAnsi="宋体" w:eastAsia="宋体" w:cs="宋体"/>
          <w:b/>
          <w:color w:val="auto"/>
          <w:sz w:val="28"/>
          <w:szCs w:val="28"/>
          <w:lang w:eastAsia="zh-CN"/>
        </w:rPr>
      </w:pPr>
      <w:r>
        <w:rPr>
          <w:rFonts w:hint="eastAsia" w:ascii="宋体" w:hAnsi="宋体" w:eastAsia="宋体" w:cs="宋体"/>
          <w:sz w:val="24"/>
        </w:rPr>
        <w:t xml:space="preserve">日期： </w:t>
      </w:r>
      <w:r>
        <w:rPr>
          <w:rFonts w:hint="eastAsia" w:ascii="宋体" w:hAnsi="宋体" w:eastAsia="宋体" w:cs="宋体"/>
          <w:sz w:val="24"/>
          <w:lang w:val="en-US" w:eastAsia="zh-CN"/>
        </w:rPr>
        <w:t>2026</w:t>
      </w:r>
      <w:r>
        <w:rPr>
          <w:rFonts w:hint="eastAsia" w:ascii="宋体" w:hAnsi="宋体" w:eastAsia="宋体" w:cs="宋体"/>
          <w:sz w:val="24"/>
        </w:rPr>
        <w:t xml:space="preserve">  年    月    日</w:t>
      </w:r>
    </w:p>
    <w:p w14:paraId="31F3B1BC">
      <w:pPr>
        <w:bidi w:val="0"/>
        <w:ind w:firstLine="420" w:firstLineChars="200"/>
        <w:rPr>
          <w:rFonts w:hint="eastAsia"/>
          <w:color w:val="auto"/>
        </w:rPr>
      </w:pPr>
    </w:p>
    <w:p w14:paraId="165578E6">
      <w:pPr>
        <w:numPr>
          <w:ilvl w:val="0"/>
          <w:numId w:val="0"/>
        </w:numPr>
        <w:ind w:firstLine="562" w:firstLineChars="20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五、履约验收标准和方法</w:t>
      </w:r>
    </w:p>
    <w:p w14:paraId="78BC5D27">
      <w:pPr>
        <w:numPr>
          <w:ilvl w:val="0"/>
          <w:numId w:val="0"/>
        </w:numPr>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1、履约验收时间：2026年8月（实际时间以合同为准）</w:t>
      </w:r>
    </w:p>
    <w:p w14:paraId="50C897BA">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2、履约验收主体及内容：对136个工业渣场占用林草地情况开展全面调查研判，同步提供调查时点正射影像、占地范围边界及林地、草地矢量图层，并出具占用林草地专项调查报告。</w:t>
      </w:r>
    </w:p>
    <w:p w14:paraId="344781C1">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验收程序：供应商应当严格按合同约定的内容提供服务。对供应商所提供的服务组织相关人员进行验收，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042AD3CA">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4、履约验收标准：符合国家、行业相关验收规范，并达到合格标准。</w:t>
      </w:r>
    </w:p>
    <w:p w14:paraId="70EA7C0E">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5、验收方式：项目完成后，并达到合格标准。</w:t>
      </w:r>
    </w:p>
    <w:bookmarkEnd w:id="0"/>
    <w:bookmarkEnd w:id="1"/>
    <w:p w14:paraId="0AB4F200">
      <w:pPr>
        <w:numPr>
          <w:ilvl w:val="0"/>
          <w:numId w:val="0"/>
        </w:numPr>
        <w:ind w:firstLine="562" w:firstLineChars="20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六、对供应商的要求</w:t>
      </w:r>
    </w:p>
    <w:p w14:paraId="0793016E">
      <w:pPr>
        <w:numPr>
          <w:ilvl w:val="0"/>
          <w:numId w:val="0"/>
        </w:numPr>
        <w:ind w:firstLine="560" w:firstLineChars="200"/>
        <w:rPr>
          <w:rFonts w:hint="eastAsia" w:ascii="宋体" w:hAnsi="宋体" w:eastAsia="宋体" w:cs="宋体"/>
          <w:color w:val="auto"/>
          <w:sz w:val="28"/>
          <w:szCs w:val="28"/>
          <w:lang w:val="en-US" w:eastAsia="zh-CN"/>
        </w:rPr>
      </w:pPr>
      <w:bookmarkStart w:id="6" w:name="_Toc56066559"/>
      <w:bookmarkStart w:id="7" w:name="_Toc16156"/>
      <w:r>
        <w:rPr>
          <w:rFonts w:hint="eastAsia" w:ascii="宋体" w:hAnsi="宋体" w:eastAsia="宋体" w:cs="宋体"/>
          <w:color w:val="auto"/>
          <w:sz w:val="28"/>
          <w:szCs w:val="28"/>
          <w:lang w:val="en-US" w:eastAsia="zh-CN"/>
        </w:rPr>
        <w:t>1、在中华人民共和国境内注册的，应具备行政主管部门颁发的独立企业法人；</w:t>
      </w:r>
    </w:p>
    <w:p w14:paraId="379BCEB7">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2、具有良好的商业信誉和健全的财务会计制度；</w:t>
      </w:r>
    </w:p>
    <w:p w14:paraId="7F4CFBE0">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3、具有履行合同所必须的设备和专业技术能力；</w:t>
      </w:r>
    </w:p>
    <w:p w14:paraId="0600E519">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4、有依法缴纳税收和社会保障资金的良好记录；</w:t>
      </w:r>
    </w:p>
    <w:p w14:paraId="010E9104">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5、参加本项政府采购活动前三年内，在经营活动中没有重大违法记录。</w:t>
      </w:r>
    </w:p>
    <w:p w14:paraId="0E63383F">
      <w:pPr>
        <w:numPr>
          <w:ilvl w:val="0"/>
          <w:numId w:val="0"/>
        </w:numPr>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具体要求详见采购公告。</w:t>
      </w:r>
    </w:p>
    <w:bookmarkEnd w:id="6"/>
    <w:bookmarkEnd w:id="7"/>
    <w:p w14:paraId="5B71B51A">
      <w:pPr>
        <w:numPr>
          <w:ilvl w:val="0"/>
          <w:numId w:val="0"/>
        </w:numPr>
        <w:ind w:firstLine="562" w:firstLineChars="20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七、采购人相关信息</w:t>
      </w:r>
    </w:p>
    <w:p w14:paraId="3A3E20B4">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1、采购单位：府谷县林业局</w:t>
      </w:r>
    </w:p>
    <w:p w14:paraId="31D6B7F3">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2、采购单位地址：府谷县新区国土大楼9楼</w:t>
      </w:r>
    </w:p>
    <w:p w14:paraId="62C0E6D8">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3、项目联系人：张峰    联系电话：0912-8736579</w:t>
      </w:r>
    </w:p>
    <w:p w14:paraId="745FADC7">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府谷县林业局</w:t>
      </w:r>
    </w:p>
    <w:p w14:paraId="22EE6C88">
      <w:pPr>
        <w:numPr>
          <w:ilvl w:val="0"/>
          <w:numId w:val="0"/>
        </w:numPr>
        <w:ind w:firstLine="5880" w:firstLineChars="21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2026年7月2日</w:t>
      </w:r>
    </w:p>
    <w:p w14:paraId="2569D51E">
      <w:pPr>
        <w:spacing w:line="360" w:lineRule="auto"/>
        <w:ind w:firstLine="480" w:firstLineChars="200"/>
        <w:rPr>
          <w:rFonts w:hint="default" w:ascii="宋体" w:hAnsi="宋体"/>
          <w:color w:val="auto"/>
          <w:sz w:val="24"/>
          <w:lang w:val="en-US" w:eastAsia="zh-CN"/>
        </w:rPr>
      </w:pPr>
    </w:p>
    <w:p w14:paraId="5734F96F">
      <w:pPr>
        <w:pStyle w:val="2"/>
        <w:rPr>
          <w:rFonts w:hint="default" w:ascii="宋体" w:hAnsi="宋体" w:eastAsia="宋体" w:cs="宋体"/>
          <w:color w:val="auto"/>
          <w:lang w:val="en-US" w:eastAsia="zh-CN"/>
        </w:rPr>
      </w:pPr>
    </w:p>
    <w:p w14:paraId="4F67076A">
      <w:pPr>
        <w:pStyle w:val="2"/>
        <w:rPr>
          <w:rFonts w:hint="default" w:ascii="宋体" w:hAnsi="宋体" w:eastAsia="宋体" w:cs="宋体"/>
          <w:color w:val="auto"/>
          <w:lang w:val="en-US" w:eastAsia="zh-CN"/>
        </w:rPr>
      </w:pPr>
    </w:p>
    <w:p w14:paraId="0E44D804">
      <w:pPr>
        <w:pStyle w:val="2"/>
        <w:rPr>
          <w:rFonts w:hint="default" w:ascii="宋体" w:hAnsi="宋体" w:eastAsia="宋体" w:cs="宋体"/>
          <w:color w:val="auto"/>
          <w:lang w:val="en-US" w:eastAsia="zh-CN"/>
        </w:rPr>
      </w:pPr>
    </w:p>
    <w:p w14:paraId="261574C5">
      <w:pPr>
        <w:pStyle w:val="2"/>
        <w:rPr>
          <w:rFonts w:hint="default" w:ascii="宋体" w:hAnsi="宋体" w:eastAsia="宋体" w:cs="宋体"/>
          <w:color w:val="auto"/>
          <w:lang w:val="en-US" w:eastAsia="zh-CN"/>
        </w:rPr>
      </w:pPr>
    </w:p>
    <w:p w14:paraId="766515F8">
      <w:pPr>
        <w:pStyle w:val="2"/>
        <w:rPr>
          <w:rFonts w:hint="default" w:ascii="宋体" w:hAnsi="宋体" w:eastAsia="宋体" w:cs="宋体"/>
          <w:color w:val="auto"/>
          <w:lang w:val="en-US" w:eastAsia="zh-CN"/>
        </w:rPr>
      </w:pPr>
    </w:p>
    <w:p w14:paraId="477B6B2D">
      <w:pPr>
        <w:pStyle w:val="6"/>
        <w:jc w:val="right"/>
        <w:rPr>
          <w:rFonts w:hint="default" w:ascii="宋体" w:hAnsi="宋体" w:eastAsia="宋体" w:cs="宋体"/>
          <w:b/>
          <w:color w:val="auto"/>
          <w:kern w:val="0"/>
          <w:sz w:val="28"/>
          <w:szCs w:val="28"/>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5240DE"/>
    <w:multiLevelType w:val="singleLevel"/>
    <w:tmpl w:val="C95240DE"/>
    <w:lvl w:ilvl="0" w:tentative="0">
      <w:start w:val="5"/>
      <w:numFmt w:val="chineseCounting"/>
      <w:suff w:val="nothing"/>
      <w:lvlText w:val="%1、"/>
      <w:lvlJc w:val="left"/>
      <w:rPr>
        <w:rFonts w:hint="eastAsia"/>
      </w:rPr>
    </w:lvl>
  </w:abstractNum>
  <w:abstractNum w:abstractNumId="1">
    <w:nsid w:val="5316DD24"/>
    <w:multiLevelType w:val="singleLevel"/>
    <w:tmpl w:val="5316DD24"/>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4NDU5ZWQ1ZTFhOWM0ZGNlMzFiODEzOTkyMzc5MzEifQ=="/>
  </w:docVars>
  <w:rsids>
    <w:rsidRoot w:val="00000000"/>
    <w:rsid w:val="02620FA8"/>
    <w:rsid w:val="036B1D8C"/>
    <w:rsid w:val="059B79B2"/>
    <w:rsid w:val="07CD206E"/>
    <w:rsid w:val="0929166A"/>
    <w:rsid w:val="0A656ED5"/>
    <w:rsid w:val="0AA13B17"/>
    <w:rsid w:val="104430E9"/>
    <w:rsid w:val="120A7E48"/>
    <w:rsid w:val="130F350E"/>
    <w:rsid w:val="15466530"/>
    <w:rsid w:val="16B922C0"/>
    <w:rsid w:val="16F6764D"/>
    <w:rsid w:val="1A6E1F5B"/>
    <w:rsid w:val="1C6714C6"/>
    <w:rsid w:val="267C4F33"/>
    <w:rsid w:val="27A6750E"/>
    <w:rsid w:val="28F214DC"/>
    <w:rsid w:val="2B4E1F0D"/>
    <w:rsid w:val="2E851C5C"/>
    <w:rsid w:val="2EB975E3"/>
    <w:rsid w:val="3124124F"/>
    <w:rsid w:val="32C350AD"/>
    <w:rsid w:val="32C402B5"/>
    <w:rsid w:val="35515BD3"/>
    <w:rsid w:val="36902567"/>
    <w:rsid w:val="36E51B1D"/>
    <w:rsid w:val="39294EA1"/>
    <w:rsid w:val="3A0F19C1"/>
    <w:rsid w:val="3B917083"/>
    <w:rsid w:val="3DC254CA"/>
    <w:rsid w:val="3F722E41"/>
    <w:rsid w:val="40417C83"/>
    <w:rsid w:val="412C0911"/>
    <w:rsid w:val="4309718F"/>
    <w:rsid w:val="43B6162D"/>
    <w:rsid w:val="44312E4B"/>
    <w:rsid w:val="44EA5365"/>
    <w:rsid w:val="45441345"/>
    <w:rsid w:val="454E0C21"/>
    <w:rsid w:val="456C6356"/>
    <w:rsid w:val="45F670A8"/>
    <w:rsid w:val="47BB1E06"/>
    <w:rsid w:val="4CC11F3F"/>
    <w:rsid w:val="4D185F4A"/>
    <w:rsid w:val="4D28719A"/>
    <w:rsid w:val="4E086E6A"/>
    <w:rsid w:val="521D6D1B"/>
    <w:rsid w:val="53411718"/>
    <w:rsid w:val="538C23AA"/>
    <w:rsid w:val="554630B8"/>
    <w:rsid w:val="5594722F"/>
    <w:rsid w:val="594D1384"/>
    <w:rsid w:val="5E7D3385"/>
    <w:rsid w:val="5F9B6228"/>
    <w:rsid w:val="60466A34"/>
    <w:rsid w:val="60DD5FF3"/>
    <w:rsid w:val="6102585C"/>
    <w:rsid w:val="611D6D37"/>
    <w:rsid w:val="62E54725"/>
    <w:rsid w:val="6353259C"/>
    <w:rsid w:val="642F32A1"/>
    <w:rsid w:val="6C4B6506"/>
    <w:rsid w:val="6CFC7956"/>
    <w:rsid w:val="6D322341"/>
    <w:rsid w:val="6E91041D"/>
    <w:rsid w:val="6EB00FFC"/>
    <w:rsid w:val="70BC22A2"/>
    <w:rsid w:val="72541F51"/>
    <w:rsid w:val="727A0ECE"/>
    <w:rsid w:val="74E27BC7"/>
    <w:rsid w:val="750C5B34"/>
    <w:rsid w:val="752C43DA"/>
    <w:rsid w:val="75933204"/>
    <w:rsid w:val="76C84BF7"/>
    <w:rsid w:val="77092009"/>
    <w:rsid w:val="77154273"/>
    <w:rsid w:val="793D367B"/>
    <w:rsid w:val="79AE44DB"/>
    <w:rsid w:val="7A12340E"/>
    <w:rsid w:val="7A765BE4"/>
    <w:rsid w:val="7CD84546"/>
    <w:rsid w:val="7F2F0D75"/>
    <w:rsid w:val="7F7327AE"/>
    <w:rsid w:val="7FBB4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8"/>
    <w:autoRedefine/>
    <w:qFormat/>
    <w:uiPriority w:val="9"/>
    <w:pPr>
      <w:keepNext/>
      <w:keepLines/>
      <w:spacing w:line="240" w:lineRule="auto"/>
      <w:jc w:val="center"/>
      <w:outlineLvl w:val="0"/>
    </w:pPr>
    <w:rPr>
      <w:rFonts w:ascii="Times New Roman" w:hAnsi="Times New Roman" w:eastAsia="宋体"/>
      <w:b/>
      <w:bCs/>
      <w:kern w:val="44"/>
      <w:sz w:val="36"/>
      <w:szCs w:val="44"/>
    </w:rPr>
  </w:style>
  <w:style w:type="paragraph" w:styleId="4">
    <w:name w:val="heading 2"/>
    <w:basedOn w:val="1"/>
    <w:next w:val="1"/>
    <w:qFormat/>
    <w:uiPriority w:val="9"/>
    <w:pPr>
      <w:keepNext/>
      <w:keepLines/>
      <w:spacing w:line="240" w:lineRule="auto"/>
      <w:outlineLvl w:val="1"/>
    </w:pPr>
    <w:rPr>
      <w:rFonts w:ascii="Calibri" w:hAnsi="Calibri"/>
      <w:b/>
      <w:bCs/>
      <w:kern w:val="0"/>
      <w:sz w:val="32"/>
      <w:szCs w:val="32"/>
    </w:rPr>
  </w:style>
  <w:style w:type="paragraph" w:styleId="5">
    <w:name w:val="heading 4"/>
    <w:basedOn w:val="1"/>
    <w:next w:val="1"/>
    <w:autoRedefine/>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character" w:default="1" w:styleId="15">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styleId="6">
    <w:name w:val="Normal Indent"/>
    <w:basedOn w:val="1"/>
    <w:autoRedefine/>
    <w:unhideWhenUsed/>
    <w:qFormat/>
    <w:uiPriority w:val="99"/>
    <w:pPr>
      <w:ind w:firstLine="420"/>
    </w:pPr>
  </w:style>
  <w:style w:type="paragraph" w:styleId="7">
    <w:name w:val="Body Text"/>
    <w:basedOn w:val="1"/>
    <w:autoRedefine/>
    <w:qFormat/>
    <w:uiPriority w:val="0"/>
    <w:pPr>
      <w:spacing w:after="120"/>
    </w:pPr>
  </w:style>
  <w:style w:type="paragraph" w:styleId="8">
    <w:name w:val="List 2"/>
    <w:basedOn w:val="1"/>
    <w:autoRedefine/>
    <w:qFormat/>
    <w:uiPriority w:val="0"/>
    <w:pPr>
      <w:ind w:left="100" w:leftChars="200" w:hanging="200" w:hangingChars="200"/>
    </w:pPr>
    <w:rPr>
      <w:szCs w:val="24"/>
    </w:rPr>
  </w:style>
  <w:style w:type="paragraph" w:styleId="9">
    <w:name w:val="footer"/>
    <w:basedOn w:val="1"/>
    <w:next w:val="1"/>
    <w:autoRedefine/>
    <w:qFormat/>
    <w:uiPriority w:val="0"/>
    <w:pPr>
      <w:tabs>
        <w:tab w:val="center" w:pos="4153"/>
        <w:tab w:val="right" w:pos="8306"/>
      </w:tabs>
      <w:snapToGrid w:val="0"/>
      <w:jc w:val="left"/>
    </w:pPr>
    <w:rPr>
      <w:sz w:val="18"/>
    </w:rPr>
  </w:style>
  <w:style w:type="paragraph" w:styleId="10">
    <w:name w:val="envelope return"/>
    <w:basedOn w:val="1"/>
    <w:autoRedefine/>
    <w:qFormat/>
    <w:uiPriority w:val="0"/>
    <w:pPr>
      <w:snapToGrid w:val="0"/>
    </w:pPr>
    <w:rPr>
      <w:rFonts w:ascii="Arial" w:hAnsi="Arial"/>
    </w:rPr>
  </w:style>
  <w:style w:type="paragraph" w:styleId="11">
    <w:name w:val="header"/>
    <w:basedOn w:val="1"/>
    <w:autoRedefine/>
    <w:unhideWhenUsed/>
    <w:qFormat/>
    <w:uiPriority w:val="0"/>
    <w:pPr>
      <w:pBdr>
        <w:bottom w:val="single" w:color="auto" w:sz="6" w:space="1"/>
      </w:pBdr>
      <w:tabs>
        <w:tab w:val="center" w:pos="4153"/>
        <w:tab w:val="right" w:pos="8306"/>
      </w:tabs>
      <w:jc w:val="center"/>
    </w:pPr>
    <w:rPr>
      <w:rFonts w:ascii="Tahoma" w:hAnsi="Tahoma" w:eastAsia="Times New Roman"/>
      <w:kern w:val="0"/>
      <w:sz w:val="18"/>
      <w:szCs w:val="18"/>
    </w:rPr>
  </w:style>
  <w:style w:type="paragraph" w:styleId="1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3">
    <w:name w:val="Normal (Web)"/>
    <w:basedOn w:val="1"/>
    <w:next w:val="10"/>
    <w:autoRedefine/>
    <w:qFormat/>
    <w:uiPriority w:val="0"/>
    <w:pPr>
      <w:widowControl/>
      <w:spacing w:before="100" w:beforeLines="0" w:beforeAutospacing="1" w:after="100" w:afterLines="0" w:afterAutospacing="1"/>
      <w:jc w:val="left"/>
    </w:pPr>
    <w:rPr>
      <w:rFonts w:ascii="宋体" w:hAnsi="宋体"/>
      <w:kern w:val="0"/>
      <w:sz w:val="24"/>
    </w:rPr>
  </w:style>
  <w:style w:type="character" w:customStyle="1" w:styleId="16">
    <w:name w:val="font101"/>
    <w:basedOn w:val="15"/>
    <w:autoRedefine/>
    <w:qFormat/>
    <w:uiPriority w:val="0"/>
    <w:rPr>
      <w:rFonts w:hint="default" w:ascii="Times New Roman" w:hAnsi="Times New Roman" w:cs="Times New Roman"/>
      <w:color w:val="000000"/>
      <w:sz w:val="22"/>
      <w:szCs w:val="22"/>
      <w:u w:val="none"/>
    </w:rPr>
  </w:style>
  <w:style w:type="character" w:customStyle="1" w:styleId="17">
    <w:name w:val="font81"/>
    <w:basedOn w:val="15"/>
    <w:autoRedefine/>
    <w:qFormat/>
    <w:uiPriority w:val="0"/>
    <w:rPr>
      <w:rFonts w:hint="eastAsia" w:ascii="宋体" w:hAnsi="宋体" w:eastAsia="宋体" w:cs="宋体"/>
      <w:color w:val="000000"/>
      <w:sz w:val="22"/>
      <w:szCs w:val="22"/>
      <w:u w:val="none"/>
    </w:rPr>
  </w:style>
  <w:style w:type="character" w:customStyle="1" w:styleId="18">
    <w:name w:val="标题 1 Char"/>
    <w:link w:val="3"/>
    <w:autoRedefine/>
    <w:qFormat/>
    <w:uiPriority w:val="9"/>
    <w:rPr>
      <w:rFonts w:ascii="Times New Roman" w:hAnsi="Times New Roman" w:eastAsia="宋体"/>
      <w:b/>
      <w:bCs/>
      <w:kern w:val="44"/>
      <w:sz w:val="36"/>
      <w:szCs w:val="44"/>
    </w:rPr>
  </w:style>
  <w:style w:type="paragraph" w:customStyle="1" w:styleId="19">
    <w:name w:val="正文（缩进 2 字符）"/>
    <w:basedOn w:val="1"/>
    <w:autoRedefine/>
    <w:qFormat/>
    <w:uiPriority w:val="0"/>
    <w:pPr>
      <w:ind w:firstLine="200" w:firstLineChars="200"/>
    </w:pPr>
  </w:style>
  <w:style w:type="character" w:customStyle="1" w:styleId="20">
    <w:name w:val="NormalCharacter"/>
    <w:autoRedefine/>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2099</Words>
  <Characters>2175</Characters>
  <Lines>0</Lines>
  <Paragraphs>0</Paragraphs>
  <TotalTime>74</TotalTime>
  <ScaleCrop>false</ScaleCrop>
  <LinksUpToDate>false</LinksUpToDate>
  <CharactersWithSpaces>2455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12229</dc:creator>
  <cp:lastModifiedBy>胡晶</cp:lastModifiedBy>
  <cp:lastPrinted>2022-08-17T08:57:00Z</cp:lastPrinted>
  <dcterms:modified xsi:type="dcterms:W3CDTF">2026-07-02T07:26:12Z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ADE4B63CBCCB48CE8CD211711056268E_13</vt:lpwstr>
  </property>
  <property fmtid="{D5CDD505-2E9C-101B-9397-08002B2CF9AE}" pid="4" name="KSOTemplateDocerSaveRecord">
    <vt:lpwstr>eyJoZGlkIjoiNGJhOTAwZjA0Yzc4ODBlMzAwMTllZjUxZDQ1MzVlYmIiLCJ1c2VySWQiOiI0MzQwMTM0MjMifQ==</vt:lpwstr>
  </property>
</Properties>
</file>