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2CCEF" w14:textId="6CD1E417" w:rsidR="006B766F" w:rsidRPr="006B766F" w:rsidRDefault="006B766F" w:rsidP="006B766F">
      <w:pPr>
        <w:spacing w:line="500" w:lineRule="exact"/>
        <w:ind w:firstLineChars="200" w:firstLine="560"/>
        <w:jc w:val="center"/>
        <w:rPr>
          <w:rFonts w:ascii="宋体" w:hAnsi="宋体" w:hint="eastAsia"/>
          <w:b/>
          <w:sz w:val="28"/>
          <w:szCs w:val="28"/>
        </w:rPr>
      </w:pPr>
      <w:r w:rsidRPr="006B766F">
        <w:rPr>
          <w:rFonts w:ascii="宋体" w:hAnsi="宋体" w:hint="eastAsia"/>
          <w:b/>
          <w:sz w:val="28"/>
          <w:szCs w:val="28"/>
        </w:rPr>
        <w:t>合同（仅供参考）</w:t>
      </w:r>
    </w:p>
    <w:p w14:paraId="5AAED6B6"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甲方：</w:t>
      </w:r>
      <w:r w:rsidRPr="006B7AF7">
        <w:rPr>
          <w:rFonts w:ascii="宋体" w:eastAsia="宋体" w:hAnsi="宋体" w:cs="宋体"/>
          <w:sz w:val="24"/>
          <w:u w:val="single"/>
        </w:rPr>
        <w:t xml:space="preserve">                        </w:t>
      </w:r>
      <w:r w:rsidRPr="006B7AF7">
        <w:rPr>
          <w:rFonts w:ascii="宋体" w:eastAsia="宋体" w:hAnsi="宋体" w:cs="宋体"/>
          <w:sz w:val="24"/>
        </w:rPr>
        <w:t xml:space="preserve"> </w:t>
      </w:r>
    </w:p>
    <w:p w14:paraId="006FE1DB" w14:textId="77777777" w:rsidR="006B7AF7" w:rsidRPr="006B7AF7" w:rsidRDefault="006B7AF7" w:rsidP="006B7AF7">
      <w:pPr>
        <w:adjustRightInd w:val="0"/>
        <w:snapToGrid w:val="0"/>
        <w:spacing w:line="460" w:lineRule="exact"/>
        <w:rPr>
          <w:rFonts w:ascii="宋体" w:eastAsia="宋体" w:hAnsi="宋体" w:cs="宋体"/>
          <w:sz w:val="24"/>
          <w:u w:val="single"/>
        </w:rPr>
      </w:pPr>
      <w:r w:rsidRPr="006B7AF7">
        <w:rPr>
          <w:rFonts w:ascii="宋体" w:eastAsia="宋体" w:hAnsi="宋体" w:cs="宋体"/>
          <w:sz w:val="24"/>
        </w:rPr>
        <w:t>法定代表人：</w:t>
      </w:r>
      <w:r w:rsidRPr="006B7AF7">
        <w:rPr>
          <w:rFonts w:ascii="宋体" w:eastAsia="宋体" w:hAnsi="宋体" w:cs="宋体"/>
          <w:sz w:val="24"/>
          <w:u w:val="single"/>
        </w:rPr>
        <w:t xml:space="preserve">                  </w:t>
      </w:r>
    </w:p>
    <w:p w14:paraId="5F384AF3" w14:textId="77777777" w:rsidR="006B7AF7" w:rsidRPr="006B7AF7" w:rsidRDefault="006B7AF7" w:rsidP="006B7AF7">
      <w:pPr>
        <w:adjustRightInd w:val="0"/>
        <w:snapToGrid w:val="0"/>
        <w:spacing w:line="460" w:lineRule="exact"/>
        <w:rPr>
          <w:rFonts w:ascii="宋体" w:eastAsia="宋体" w:hAnsi="宋体" w:cs="宋体"/>
          <w:sz w:val="24"/>
          <w:u w:val="single"/>
        </w:rPr>
      </w:pPr>
      <w:r w:rsidRPr="006B7AF7">
        <w:rPr>
          <w:rFonts w:ascii="宋体" w:eastAsia="宋体" w:hAnsi="宋体" w:cs="宋体"/>
          <w:sz w:val="24"/>
        </w:rPr>
        <w:t>统一信用代码：</w:t>
      </w:r>
      <w:r w:rsidRPr="006B7AF7">
        <w:rPr>
          <w:rFonts w:ascii="宋体" w:eastAsia="宋体" w:hAnsi="宋体" w:cs="宋体"/>
          <w:sz w:val="24"/>
          <w:u w:val="single"/>
        </w:rPr>
        <w:t xml:space="preserve">                </w:t>
      </w:r>
    </w:p>
    <w:p w14:paraId="0DA0358E"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乙方：</w:t>
      </w:r>
      <w:r w:rsidRPr="006B7AF7">
        <w:rPr>
          <w:rFonts w:ascii="宋体" w:eastAsia="宋体" w:hAnsi="宋体" w:cs="宋体"/>
          <w:sz w:val="24"/>
          <w:u w:val="single"/>
        </w:rPr>
        <w:t xml:space="preserve">                        </w:t>
      </w:r>
      <w:r w:rsidRPr="006B7AF7">
        <w:rPr>
          <w:rFonts w:ascii="宋体" w:eastAsia="宋体" w:hAnsi="宋体" w:cs="宋体"/>
          <w:sz w:val="24"/>
        </w:rPr>
        <w:t xml:space="preserve"> </w:t>
      </w:r>
    </w:p>
    <w:p w14:paraId="56334F64" w14:textId="77777777" w:rsidR="006B7AF7" w:rsidRPr="006B7AF7" w:rsidRDefault="006B7AF7" w:rsidP="006B7AF7">
      <w:pPr>
        <w:adjustRightInd w:val="0"/>
        <w:snapToGrid w:val="0"/>
        <w:spacing w:line="460" w:lineRule="exact"/>
        <w:rPr>
          <w:rFonts w:ascii="宋体" w:eastAsia="宋体" w:hAnsi="宋体" w:cs="宋体"/>
          <w:sz w:val="24"/>
          <w:u w:val="single"/>
        </w:rPr>
      </w:pPr>
      <w:r w:rsidRPr="006B7AF7">
        <w:rPr>
          <w:rFonts w:ascii="宋体" w:eastAsia="宋体" w:hAnsi="宋体" w:cs="宋体"/>
          <w:sz w:val="24"/>
        </w:rPr>
        <w:t>法定代表人：</w:t>
      </w:r>
      <w:r w:rsidRPr="006B7AF7">
        <w:rPr>
          <w:rFonts w:ascii="宋体" w:eastAsia="宋体" w:hAnsi="宋体" w:cs="宋体"/>
          <w:sz w:val="24"/>
          <w:u w:val="single"/>
        </w:rPr>
        <w:t xml:space="preserve">                  </w:t>
      </w:r>
    </w:p>
    <w:p w14:paraId="0979A21F"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统一信用代码：</w:t>
      </w:r>
      <w:r w:rsidRPr="006B7AF7">
        <w:rPr>
          <w:rFonts w:ascii="宋体" w:eastAsia="宋体" w:hAnsi="宋体" w:cs="宋体"/>
          <w:sz w:val="24"/>
          <w:u w:val="single"/>
        </w:rPr>
        <w:t xml:space="preserve">                </w:t>
      </w:r>
    </w:p>
    <w:p w14:paraId="1A4D3D3B" w14:textId="77777777" w:rsidR="006B7AF7" w:rsidRPr="006B7AF7" w:rsidRDefault="006B7AF7" w:rsidP="006B7AF7">
      <w:pPr>
        <w:adjustRightInd w:val="0"/>
        <w:snapToGrid w:val="0"/>
        <w:spacing w:line="460" w:lineRule="exact"/>
        <w:rPr>
          <w:rFonts w:ascii="宋体" w:eastAsia="宋体" w:hAnsi="宋体" w:cs="宋体"/>
          <w:sz w:val="24"/>
        </w:rPr>
      </w:pPr>
    </w:p>
    <w:p w14:paraId="2032BC3B"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依据《中华人民共和国民法典》经甲、乙双方共同协商，按下述条款和条件签署本合同。</w:t>
      </w:r>
    </w:p>
    <w:p w14:paraId="556BD4F6" w14:textId="77777777" w:rsidR="006B7AF7" w:rsidRPr="006B7AF7" w:rsidRDefault="006B7AF7" w:rsidP="006B7AF7">
      <w:pPr>
        <w:adjustRightInd w:val="0"/>
        <w:snapToGrid w:val="0"/>
        <w:spacing w:line="460" w:lineRule="exact"/>
        <w:rPr>
          <w:rFonts w:ascii="宋体" w:eastAsia="宋体" w:hAnsi="宋体" w:cs="宋体"/>
          <w:sz w:val="24"/>
        </w:rPr>
      </w:pPr>
      <w:bookmarkStart w:id="0" w:name="_Toc29437"/>
      <w:bookmarkStart w:id="1" w:name="_Toc11641"/>
      <w:r w:rsidRPr="006B7AF7">
        <w:rPr>
          <w:rFonts w:ascii="宋体" w:eastAsia="宋体" w:hAnsi="宋体" w:cs="宋体"/>
          <w:b/>
          <w:bCs/>
          <w:sz w:val="24"/>
        </w:rPr>
        <w:t>1.合同标的及数量</w:t>
      </w:r>
      <w:bookmarkEnd w:id="0"/>
      <w:bookmarkEnd w:id="1"/>
    </w:p>
    <w:tbl>
      <w:tblPr>
        <w:tblW w:w="9315"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05"/>
        <w:gridCol w:w="1966"/>
        <w:gridCol w:w="990"/>
        <w:gridCol w:w="706"/>
        <w:gridCol w:w="705"/>
        <w:gridCol w:w="1113"/>
        <w:gridCol w:w="1062"/>
        <w:gridCol w:w="2068"/>
      </w:tblGrid>
      <w:tr w:rsidR="006B7AF7" w:rsidRPr="006B7AF7" w14:paraId="27AB3E0B" w14:textId="77777777">
        <w:trPr>
          <w:trHeight w:val="665"/>
        </w:trPr>
        <w:tc>
          <w:tcPr>
            <w:tcW w:w="706" w:type="dxa"/>
            <w:tcBorders>
              <w:top w:val="single" w:sz="12" w:space="0" w:color="auto"/>
              <w:left w:val="single" w:sz="12" w:space="0" w:color="auto"/>
              <w:bottom w:val="single" w:sz="6" w:space="0" w:color="auto"/>
              <w:right w:val="single" w:sz="6" w:space="0" w:color="auto"/>
            </w:tcBorders>
            <w:vAlign w:val="center"/>
            <w:hideMark/>
          </w:tcPr>
          <w:p w14:paraId="24D5BDAE"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序号</w:t>
            </w:r>
          </w:p>
        </w:tc>
        <w:tc>
          <w:tcPr>
            <w:tcW w:w="1967" w:type="dxa"/>
            <w:tcBorders>
              <w:top w:val="single" w:sz="12" w:space="0" w:color="auto"/>
              <w:left w:val="single" w:sz="6" w:space="0" w:color="auto"/>
              <w:bottom w:val="single" w:sz="6" w:space="0" w:color="auto"/>
              <w:right w:val="single" w:sz="6" w:space="0" w:color="auto"/>
            </w:tcBorders>
            <w:vAlign w:val="center"/>
            <w:hideMark/>
          </w:tcPr>
          <w:p w14:paraId="36DA8DA9"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产品名称</w:t>
            </w:r>
          </w:p>
        </w:tc>
        <w:tc>
          <w:tcPr>
            <w:tcW w:w="991" w:type="dxa"/>
            <w:tcBorders>
              <w:top w:val="single" w:sz="12" w:space="0" w:color="auto"/>
              <w:left w:val="single" w:sz="6" w:space="0" w:color="auto"/>
              <w:bottom w:val="single" w:sz="6" w:space="0" w:color="auto"/>
              <w:right w:val="single" w:sz="6" w:space="0" w:color="auto"/>
            </w:tcBorders>
            <w:vAlign w:val="center"/>
            <w:hideMark/>
          </w:tcPr>
          <w:p w14:paraId="797950E0"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单价（元）</w:t>
            </w:r>
          </w:p>
        </w:tc>
        <w:tc>
          <w:tcPr>
            <w:tcW w:w="706" w:type="dxa"/>
            <w:tcBorders>
              <w:top w:val="single" w:sz="12" w:space="0" w:color="auto"/>
              <w:left w:val="single" w:sz="6" w:space="0" w:color="auto"/>
              <w:bottom w:val="single" w:sz="6" w:space="0" w:color="auto"/>
              <w:right w:val="single" w:sz="4" w:space="0" w:color="auto"/>
            </w:tcBorders>
            <w:vAlign w:val="center"/>
            <w:hideMark/>
          </w:tcPr>
          <w:p w14:paraId="3E20A254"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数量</w:t>
            </w:r>
          </w:p>
        </w:tc>
        <w:tc>
          <w:tcPr>
            <w:tcW w:w="705" w:type="dxa"/>
            <w:tcBorders>
              <w:top w:val="single" w:sz="12" w:space="0" w:color="auto"/>
              <w:left w:val="single" w:sz="4" w:space="0" w:color="auto"/>
              <w:bottom w:val="single" w:sz="6" w:space="0" w:color="auto"/>
              <w:right w:val="single" w:sz="6" w:space="0" w:color="auto"/>
            </w:tcBorders>
            <w:vAlign w:val="center"/>
            <w:hideMark/>
          </w:tcPr>
          <w:p w14:paraId="05003B39"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单位</w:t>
            </w:r>
          </w:p>
        </w:tc>
        <w:tc>
          <w:tcPr>
            <w:tcW w:w="1114" w:type="dxa"/>
            <w:tcBorders>
              <w:top w:val="single" w:sz="12" w:space="0" w:color="auto"/>
              <w:left w:val="single" w:sz="6" w:space="0" w:color="auto"/>
              <w:bottom w:val="single" w:sz="6" w:space="0" w:color="auto"/>
              <w:right w:val="single" w:sz="4" w:space="0" w:color="auto"/>
            </w:tcBorders>
            <w:vAlign w:val="center"/>
            <w:hideMark/>
          </w:tcPr>
          <w:p w14:paraId="74ECB0DA"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金额（元）</w:t>
            </w:r>
          </w:p>
        </w:tc>
        <w:tc>
          <w:tcPr>
            <w:tcW w:w="1063" w:type="dxa"/>
            <w:tcBorders>
              <w:top w:val="single" w:sz="12" w:space="0" w:color="auto"/>
              <w:left w:val="single" w:sz="4" w:space="0" w:color="auto"/>
              <w:bottom w:val="single" w:sz="6" w:space="0" w:color="auto"/>
              <w:right w:val="single" w:sz="6" w:space="0" w:color="auto"/>
            </w:tcBorders>
            <w:vAlign w:val="center"/>
            <w:hideMark/>
          </w:tcPr>
          <w:p w14:paraId="37498F69"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制造商</w:t>
            </w:r>
          </w:p>
        </w:tc>
        <w:tc>
          <w:tcPr>
            <w:tcW w:w="2069" w:type="dxa"/>
            <w:tcBorders>
              <w:top w:val="single" w:sz="12" w:space="0" w:color="auto"/>
              <w:left w:val="single" w:sz="6" w:space="0" w:color="auto"/>
              <w:bottom w:val="single" w:sz="6" w:space="0" w:color="auto"/>
              <w:right w:val="single" w:sz="12" w:space="0" w:color="auto"/>
            </w:tcBorders>
            <w:vAlign w:val="center"/>
            <w:hideMark/>
          </w:tcPr>
          <w:p w14:paraId="1C0F7E7F"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安全标准及</w:t>
            </w:r>
          </w:p>
          <w:p w14:paraId="19748F54"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主要技术参数</w:t>
            </w:r>
          </w:p>
        </w:tc>
      </w:tr>
      <w:tr w:rsidR="006B7AF7" w:rsidRPr="006B7AF7" w14:paraId="1575DB83" w14:textId="77777777">
        <w:trPr>
          <w:trHeight w:val="454"/>
        </w:trPr>
        <w:tc>
          <w:tcPr>
            <w:tcW w:w="706" w:type="dxa"/>
            <w:tcBorders>
              <w:top w:val="single" w:sz="6" w:space="0" w:color="auto"/>
              <w:left w:val="single" w:sz="12" w:space="0" w:color="auto"/>
              <w:bottom w:val="single" w:sz="6" w:space="0" w:color="auto"/>
              <w:right w:val="single" w:sz="6" w:space="0" w:color="auto"/>
            </w:tcBorders>
          </w:tcPr>
          <w:p w14:paraId="6F77EC22" w14:textId="77777777" w:rsidR="006B7AF7" w:rsidRPr="006B7AF7" w:rsidRDefault="006B7AF7" w:rsidP="006B7AF7">
            <w:pPr>
              <w:adjustRightInd w:val="0"/>
              <w:snapToGrid w:val="0"/>
              <w:spacing w:line="460" w:lineRule="exact"/>
              <w:rPr>
                <w:rFonts w:ascii="宋体" w:eastAsia="宋体" w:hAnsi="宋体" w:cs="宋体"/>
                <w:sz w:val="24"/>
              </w:rPr>
            </w:pPr>
          </w:p>
        </w:tc>
        <w:tc>
          <w:tcPr>
            <w:tcW w:w="1967" w:type="dxa"/>
            <w:tcBorders>
              <w:top w:val="single" w:sz="6" w:space="0" w:color="auto"/>
              <w:left w:val="single" w:sz="6" w:space="0" w:color="auto"/>
              <w:bottom w:val="single" w:sz="6" w:space="0" w:color="auto"/>
              <w:right w:val="single" w:sz="6" w:space="0" w:color="auto"/>
            </w:tcBorders>
          </w:tcPr>
          <w:p w14:paraId="66AAC0C5" w14:textId="77777777" w:rsidR="006B7AF7" w:rsidRPr="006B7AF7" w:rsidRDefault="006B7AF7" w:rsidP="006B7AF7">
            <w:pPr>
              <w:adjustRightInd w:val="0"/>
              <w:snapToGrid w:val="0"/>
              <w:spacing w:line="460" w:lineRule="exact"/>
              <w:rPr>
                <w:rFonts w:ascii="宋体" w:eastAsia="宋体" w:hAnsi="宋体" w:cs="宋体"/>
                <w:sz w:val="24"/>
              </w:rPr>
            </w:pPr>
          </w:p>
        </w:tc>
        <w:tc>
          <w:tcPr>
            <w:tcW w:w="991" w:type="dxa"/>
            <w:tcBorders>
              <w:top w:val="single" w:sz="6" w:space="0" w:color="auto"/>
              <w:left w:val="single" w:sz="6" w:space="0" w:color="auto"/>
              <w:bottom w:val="single" w:sz="6" w:space="0" w:color="auto"/>
              <w:right w:val="single" w:sz="6" w:space="0" w:color="auto"/>
            </w:tcBorders>
          </w:tcPr>
          <w:p w14:paraId="3FB23F7A" w14:textId="77777777" w:rsidR="006B7AF7" w:rsidRPr="006B7AF7" w:rsidRDefault="006B7AF7" w:rsidP="006B7AF7">
            <w:pPr>
              <w:adjustRightInd w:val="0"/>
              <w:snapToGrid w:val="0"/>
              <w:spacing w:line="460" w:lineRule="exact"/>
              <w:rPr>
                <w:rFonts w:ascii="宋体" w:eastAsia="宋体" w:hAnsi="宋体" w:cs="宋体"/>
                <w:sz w:val="24"/>
              </w:rPr>
            </w:pPr>
          </w:p>
        </w:tc>
        <w:tc>
          <w:tcPr>
            <w:tcW w:w="706" w:type="dxa"/>
            <w:tcBorders>
              <w:top w:val="single" w:sz="6" w:space="0" w:color="auto"/>
              <w:left w:val="single" w:sz="6" w:space="0" w:color="auto"/>
              <w:bottom w:val="single" w:sz="6" w:space="0" w:color="auto"/>
              <w:right w:val="single" w:sz="4" w:space="0" w:color="auto"/>
            </w:tcBorders>
          </w:tcPr>
          <w:p w14:paraId="3439F31A" w14:textId="77777777" w:rsidR="006B7AF7" w:rsidRPr="006B7AF7" w:rsidRDefault="006B7AF7" w:rsidP="006B7AF7">
            <w:pPr>
              <w:adjustRightInd w:val="0"/>
              <w:snapToGrid w:val="0"/>
              <w:spacing w:line="460" w:lineRule="exact"/>
              <w:rPr>
                <w:rFonts w:ascii="宋体" w:eastAsia="宋体" w:hAnsi="宋体" w:cs="宋体"/>
                <w:sz w:val="24"/>
              </w:rPr>
            </w:pPr>
          </w:p>
        </w:tc>
        <w:tc>
          <w:tcPr>
            <w:tcW w:w="705" w:type="dxa"/>
            <w:tcBorders>
              <w:top w:val="single" w:sz="6" w:space="0" w:color="auto"/>
              <w:left w:val="single" w:sz="4" w:space="0" w:color="auto"/>
              <w:bottom w:val="single" w:sz="6" w:space="0" w:color="auto"/>
              <w:right w:val="single" w:sz="6" w:space="0" w:color="auto"/>
            </w:tcBorders>
          </w:tcPr>
          <w:p w14:paraId="2E3006BC" w14:textId="77777777" w:rsidR="006B7AF7" w:rsidRPr="006B7AF7" w:rsidRDefault="006B7AF7" w:rsidP="006B7AF7">
            <w:pPr>
              <w:adjustRightInd w:val="0"/>
              <w:snapToGrid w:val="0"/>
              <w:spacing w:line="460" w:lineRule="exact"/>
              <w:rPr>
                <w:rFonts w:ascii="宋体" w:eastAsia="宋体" w:hAnsi="宋体" w:cs="宋体"/>
                <w:sz w:val="24"/>
              </w:rPr>
            </w:pPr>
          </w:p>
        </w:tc>
        <w:tc>
          <w:tcPr>
            <w:tcW w:w="1114" w:type="dxa"/>
            <w:tcBorders>
              <w:top w:val="single" w:sz="6" w:space="0" w:color="auto"/>
              <w:left w:val="single" w:sz="6" w:space="0" w:color="auto"/>
              <w:bottom w:val="single" w:sz="6" w:space="0" w:color="auto"/>
              <w:right w:val="single" w:sz="4" w:space="0" w:color="auto"/>
            </w:tcBorders>
          </w:tcPr>
          <w:p w14:paraId="037F2F6B" w14:textId="77777777" w:rsidR="006B7AF7" w:rsidRPr="006B7AF7" w:rsidRDefault="006B7AF7" w:rsidP="006B7AF7">
            <w:pPr>
              <w:adjustRightInd w:val="0"/>
              <w:snapToGrid w:val="0"/>
              <w:spacing w:line="460" w:lineRule="exact"/>
              <w:rPr>
                <w:rFonts w:ascii="宋体" w:eastAsia="宋体" w:hAnsi="宋体" w:cs="宋体"/>
                <w:sz w:val="24"/>
              </w:rPr>
            </w:pPr>
          </w:p>
        </w:tc>
        <w:tc>
          <w:tcPr>
            <w:tcW w:w="1063" w:type="dxa"/>
            <w:tcBorders>
              <w:top w:val="single" w:sz="6" w:space="0" w:color="auto"/>
              <w:left w:val="single" w:sz="4" w:space="0" w:color="auto"/>
              <w:bottom w:val="single" w:sz="6" w:space="0" w:color="auto"/>
              <w:right w:val="single" w:sz="6" w:space="0" w:color="auto"/>
            </w:tcBorders>
          </w:tcPr>
          <w:p w14:paraId="414ADC89" w14:textId="77777777" w:rsidR="006B7AF7" w:rsidRPr="006B7AF7" w:rsidRDefault="006B7AF7" w:rsidP="006B7AF7">
            <w:pPr>
              <w:adjustRightInd w:val="0"/>
              <w:snapToGrid w:val="0"/>
              <w:spacing w:line="460" w:lineRule="exact"/>
              <w:rPr>
                <w:rFonts w:ascii="宋体" w:eastAsia="宋体" w:hAnsi="宋体" w:cs="宋体"/>
                <w:sz w:val="24"/>
              </w:rPr>
            </w:pPr>
          </w:p>
        </w:tc>
        <w:tc>
          <w:tcPr>
            <w:tcW w:w="2069" w:type="dxa"/>
            <w:tcBorders>
              <w:top w:val="single" w:sz="6" w:space="0" w:color="auto"/>
              <w:left w:val="single" w:sz="6" w:space="0" w:color="auto"/>
              <w:bottom w:val="single" w:sz="6" w:space="0" w:color="auto"/>
              <w:right w:val="single" w:sz="12" w:space="0" w:color="auto"/>
            </w:tcBorders>
          </w:tcPr>
          <w:p w14:paraId="6FFB443D" w14:textId="77777777" w:rsidR="006B7AF7" w:rsidRPr="006B7AF7" w:rsidRDefault="006B7AF7" w:rsidP="006B7AF7">
            <w:pPr>
              <w:adjustRightInd w:val="0"/>
              <w:snapToGrid w:val="0"/>
              <w:spacing w:line="460" w:lineRule="exact"/>
              <w:rPr>
                <w:rFonts w:ascii="宋体" w:eastAsia="宋体" w:hAnsi="宋体" w:cs="宋体"/>
                <w:sz w:val="24"/>
              </w:rPr>
            </w:pPr>
          </w:p>
        </w:tc>
      </w:tr>
      <w:tr w:rsidR="006B7AF7" w:rsidRPr="006B7AF7" w14:paraId="6F8D6997" w14:textId="77777777">
        <w:trPr>
          <w:trHeight w:val="454"/>
        </w:trPr>
        <w:tc>
          <w:tcPr>
            <w:tcW w:w="706" w:type="dxa"/>
            <w:tcBorders>
              <w:top w:val="single" w:sz="6" w:space="0" w:color="auto"/>
              <w:left w:val="single" w:sz="12" w:space="0" w:color="auto"/>
              <w:bottom w:val="single" w:sz="6" w:space="0" w:color="auto"/>
              <w:right w:val="single" w:sz="6" w:space="0" w:color="auto"/>
            </w:tcBorders>
          </w:tcPr>
          <w:p w14:paraId="6572F419" w14:textId="77777777" w:rsidR="006B7AF7" w:rsidRPr="006B7AF7" w:rsidRDefault="006B7AF7" w:rsidP="006B7AF7">
            <w:pPr>
              <w:adjustRightInd w:val="0"/>
              <w:snapToGrid w:val="0"/>
              <w:spacing w:line="460" w:lineRule="exact"/>
              <w:rPr>
                <w:rFonts w:ascii="宋体" w:eastAsia="宋体" w:hAnsi="宋体" w:cs="宋体"/>
                <w:sz w:val="24"/>
              </w:rPr>
            </w:pPr>
          </w:p>
        </w:tc>
        <w:tc>
          <w:tcPr>
            <w:tcW w:w="1967" w:type="dxa"/>
            <w:tcBorders>
              <w:top w:val="single" w:sz="6" w:space="0" w:color="auto"/>
              <w:left w:val="single" w:sz="6" w:space="0" w:color="auto"/>
              <w:bottom w:val="single" w:sz="6" w:space="0" w:color="auto"/>
              <w:right w:val="single" w:sz="6" w:space="0" w:color="auto"/>
            </w:tcBorders>
          </w:tcPr>
          <w:p w14:paraId="060B562D" w14:textId="77777777" w:rsidR="006B7AF7" w:rsidRPr="006B7AF7" w:rsidRDefault="006B7AF7" w:rsidP="006B7AF7">
            <w:pPr>
              <w:adjustRightInd w:val="0"/>
              <w:snapToGrid w:val="0"/>
              <w:spacing w:line="460" w:lineRule="exact"/>
              <w:rPr>
                <w:rFonts w:ascii="宋体" w:eastAsia="宋体" w:hAnsi="宋体" w:cs="宋体"/>
                <w:sz w:val="24"/>
              </w:rPr>
            </w:pPr>
          </w:p>
        </w:tc>
        <w:tc>
          <w:tcPr>
            <w:tcW w:w="991" w:type="dxa"/>
            <w:tcBorders>
              <w:top w:val="single" w:sz="6" w:space="0" w:color="auto"/>
              <w:left w:val="single" w:sz="6" w:space="0" w:color="auto"/>
              <w:bottom w:val="single" w:sz="6" w:space="0" w:color="auto"/>
              <w:right w:val="single" w:sz="6" w:space="0" w:color="auto"/>
            </w:tcBorders>
          </w:tcPr>
          <w:p w14:paraId="7BF5AFD2" w14:textId="77777777" w:rsidR="006B7AF7" w:rsidRPr="006B7AF7" w:rsidRDefault="006B7AF7" w:rsidP="006B7AF7">
            <w:pPr>
              <w:adjustRightInd w:val="0"/>
              <w:snapToGrid w:val="0"/>
              <w:spacing w:line="460" w:lineRule="exact"/>
              <w:rPr>
                <w:rFonts w:ascii="宋体" w:eastAsia="宋体" w:hAnsi="宋体" w:cs="宋体"/>
                <w:sz w:val="24"/>
              </w:rPr>
            </w:pPr>
          </w:p>
        </w:tc>
        <w:tc>
          <w:tcPr>
            <w:tcW w:w="706" w:type="dxa"/>
            <w:tcBorders>
              <w:top w:val="single" w:sz="6" w:space="0" w:color="auto"/>
              <w:left w:val="single" w:sz="6" w:space="0" w:color="auto"/>
              <w:bottom w:val="single" w:sz="6" w:space="0" w:color="auto"/>
              <w:right w:val="single" w:sz="4" w:space="0" w:color="auto"/>
            </w:tcBorders>
          </w:tcPr>
          <w:p w14:paraId="1B670354" w14:textId="77777777" w:rsidR="006B7AF7" w:rsidRPr="006B7AF7" w:rsidRDefault="006B7AF7" w:rsidP="006B7AF7">
            <w:pPr>
              <w:adjustRightInd w:val="0"/>
              <w:snapToGrid w:val="0"/>
              <w:spacing w:line="460" w:lineRule="exact"/>
              <w:rPr>
                <w:rFonts w:ascii="宋体" w:eastAsia="宋体" w:hAnsi="宋体" w:cs="宋体"/>
                <w:sz w:val="24"/>
              </w:rPr>
            </w:pPr>
          </w:p>
        </w:tc>
        <w:tc>
          <w:tcPr>
            <w:tcW w:w="705" w:type="dxa"/>
            <w:tcBorders>
              <w:top w:val="single" w:sz="6" w:space="0" w:color="auto"/>
              <w:left w:val="single" w:sz="4" w:space="0" w:color="auto"/>
              <w:bottom w:val="single" w:sz="6" w:space="0" w:color="auto"/>
              <w:right w:val="single" w:sz="6" w:space="0" w:color="auto"/>
            </w:tcBorders>
          </w:tcPr>
          <w:p w14:paraId="59F760B1" w14:textId="77777777" w:rsidR="006B7AF7" w:rsidRPr="006B7AF7" w:rsidRDefault="006B7AF7" w:rsidP="006B7AF7">
            <w:pPr>
              <w:adjustRightInd w:val="0"/>
              <w:snapToGrid w:val="0"/>
              <w:spacing w:line="460" w:lineRule="exact"/>
              <w:rPr>
                <w:rFonts w:ascii="宋体" w:eastAsia="宋体" w:hAnsi="宋体" w:cs="宋体"/>
                <w:sz w:val="24"/>
              </w:rPr>
            </w:pPr>
          </w:p>
        </w:tc>
        <w:tc>
          <w:tcPr>
            <w:tcW w:w="1114" w:type="dxa"/>
            <w:tcBorders>
              <w:top w:val="single" w:sz="6" w:space="0" w:color="auto"/>
              <w:left w:val="single" w:sz="6" w:space="0" w:color="auto"/>
              <w:bottom w:val="single" w:sz="6" w:space="0" w:color="auto"/>
              <w:right w:val="single" w:sz="4" w:space="0" w:color="auto"/>
            </w:tcBorders>
          </w:tcPr>
          <w:p w14:paraId="02454277" w14:textId="77777777" w:rsidR="006B7AF7" w:rsidRPr="006B7AF7" w:rsidRDefault="006B7AF7" w:rsidP="006B7AF7">
            <w:pPr>
              <w:adjustRightInd w:val="0"/>
              <w:snapToGrid w:val="0"/>
              <w:spacing w:line="460" w:lineRule="exact"/>
              <w:rPr>
                <w:rFonts w:ascii="宋体" w:eastAsia="宋体" w:hAnsi="宋体" w:cs="宋体"/>
                <w:sz w:val="24"/>
              </w:rPr>
            </w:pPr>
          </w:p>
        </w:tc>
        <w:tc>
          <w:tcPr>
            <w:tcW w:w="1063" w:type="dxa"/>
            <w:tcBorders>
              <w:top w:val="single" w:sz="6" w:space="0" w:color="auto"/>
              <w:left w:val="single" w:sz="4" w:space="0" w:color="auto"/>
              <w:bottom w:val="single" w:sz="6" w:space="0" w:color="auto"/>
              <w:right w:val="single" w:sz="6" w:space="0" w:color="auto"/>
            </w:tcBorders>
          </w:tcPr>
          <w:p w14:paraId="361392BE" w14:textId="77777777" w:rsidR="006B7AF7" w:rsidRPr="006B7AF7" w:rsidRDefault="006B7AF7" w:rsidP="006B7AF7">
            <w:pPr>
              <w:adjustRightInd w:val="0"/>
              <w:snapToGrid w:val="0"/>
              <w:spacing w:line="460" w:lineRule="exact"/>
              <w:rPr>
                <w:rFonts w:ascii="宋体" w:eastAsia="宋体" w:hAnsi="宋体" w:cs="宋体"/>
                <w:sz w:val="24"/>
              </w:rPr>
            </w:pPr>
          </w:p>
        </w:tc>
        <w:tc>
          <w:tcPr>
            <w:tcW w:w="2069" w:type="dxa"/>
            <w:tcBorders>
              <w:top w:val="single" w:sz="6" w:space="0" w:color="auto"/>
              <w:left w:val="single" w:sz="6" w:space="0" w:color="auto"/>
              <w:bottom w:val="single" w:sz="6" w:space="0" w:color="auto"/>
              <w:right w:val="single" w:sz="12" w:space="0" w:color="auto"/>
            </w:tcBorders>
          </w:tcPr>
          <w:p w14:paraId="27F14FC1" w14:textId="77777777" w:rsidR="006B7AF7" w:rsidRPr="006B7AF7" w:rsidRDefault="006B7AF7" w:rsidP="006B7AF7">
            <w:pPr>
              <w:adjustRightInd w:val="0"/>
              <w:snapToGrid w:val="0"/>
              <w:spacing w:line="460" w:lineRule="exact"/>
              <w:rPr>
                <w:rFonts w:ascii="宋体" w:eastAsia="宋体" w:hAnsi="宋体" w:cs="宋体"/>
                <w:sz w:val="24"/>
              </w:rPr>
            </w:pPr>
          </w:p>
        </w:tc>
      </w:tr>
      <w:tr w:rsidR="006B7AF7" w:rsidRPr="006B7AF7" w14:paraId="778C3347" w14:textId="77777777">
        <w:trPr>
          <w:trHeight w:val="454"/>
        </w:trPr>
        <w:tc>
          <w:tcPr>
            <w:tcW w:w="706" w:type="dxa"/>
            <w:tcBorders>
              <w:top w:val="single" w:sz="6" w:space="0" w:color="auto"/>
              <w:left w:val="single" w:sz="12" w:space="0" w:color="auto"/>
              <w:bottom w:val="single" w:sz="6" w:space="0" w:color="auto"/>
              <w:right w:val="single" w:sz="6" w:space="0" w:color="auto"/>
            </w:tcBorders>
          </w:tcPr>
          <w:p w14:paraId="1F18B4D4" w14:textId="77777777" w:rsidR="006B7AF7" w:rsidRPr="006B7AF7" w:rsidRDefault="006B7AF7" w:rsidP="006B7AF7">
            <w:pPr>
              <w:adjustRightInd w:val="0"/>
              <w:snapToGrid w:val="0"/>
              <w:spacing w:line="460" w:lineRule="exact"/>
              <w:rPr>
                <w:rFonts w:ascii="宋体" w:eastAsia="宋体" w:hAnsi="宋体" w:cs="宋体"/>
                <w:sz w:val="24"/>
              </w:rPr>
            </w:pPr>
          </w:p>
        </w:tc>
        <w:tc>
          <w:tcPr>
            <w:tcW w:w="1967" w:type="dxa"/>
            <w:tcBorders>
              <w:top w:val="single" w:sz="6" w:space="0" w:color="auto"/>
              <w:left w:val="single" w:sz="6" w:space="0" w:color="auto"/>
              <w:bottom w:val="single" w:sz="6" w:space="0" w:color="auto"/>
              <w:right w:val="single" w:sz="6" w:space="0" w:color="auto"/>
            </w:tcBorders>
          </w:tcPr>
          <w:p w14:paraId="11DDDCF2" w14:textId="77777777" w:rsidR="006B7AF7" w:rsidRPr="006B7AF7" w:rsidRDefault="006B7AF7" w:rsidP="006B7AF7">
            <w:pPr>
              <w:adjustRightInd w:val="0"/>
              <w:snapToGrid w:val="0"/>
              <w:spacing w:line="460" w:lineRule="exact"/>
              <w:rPr>
                <w:rFonts w:ascii="宋体" w:eastAsia="宋体" w:hAnsi="宋体" w:cs="宋体"/>
                <w:sz w:val="24"/>
              </w:rPr>
            </w:pPr>
          </w:p>
        </w:tc>
        <w:tc>
          <w:tcPr>
            <w:tcW w:w="991" w:type="dxa"/>
            <w:tcBorders>
              <w:top w:val="single" w:sz="6" w:space="0" w:color="auto"/>
              <w:left w:val="single" w:sz="6" w:space="0" w:color="auto"/>
              <w:bottom w:val="single" w:sz="6" w:space="0" w:color="auto"/>
              <w:right w:val="single" w:sz="6" w:space="0" w:color="auto"/>
            </w:tcBorders>
          </w:tcPr>
          <w:p w14:paraId="0771DEAC" w14:textId="77777777" w:rsidR="006B7AF7" w:rsidRPr="006B7AF7" w:rsidRDefault="006B7AF7" w:rsidP="006B7AF7">
            <w:pPr>
              <w:adjustRightInd w:val="0"/>
              <w:snapToGrid w:val="0"/>
              <w:spacing w:line="460" w:lineRule="exact"/>
              <w:rPr>
                <w:rFonts w:ascii="宋体" w:eastAsia="宋体" w:hAnsi="宋体" w:cs="宋体"/>
                <w:sz w:val="24"/>
              </w:rPr>
            </w:pPr>
          </w:p>
        </w:tc>
        <w:tc>
          <w:tcPr>
            <w:tcW w:w="706" w:type="dxa"/>
            <w:tcBorders>
              <w:top w:val="single" w:sz="6" w:space="0" w:color="auto"/>
              <w:left w:val="single" w:sz="6" w:space="0" w:color="auto"/>
              <w:bottom w:val="single" w:sz="6" w:space="0" w:color="auto"/>
              <w:right w:val="single" w:sz="4" w:space="0" w:color="auto"/>
            </w:tcBorders>
          </w:tcPr>
          <w:p w14:paraId="36782D26" w14:textId="77777777" w:rsidR="006B7AF7" w:rsidRPr="006B7AF7" w:rsidRDefault="006B7AF7" w:rsidP="006B7AF7">
            <w:pPr>
              <w:adjustRightInd w:val="0"/>
              <w:snapToGrid w:val="0"/>
              <w:spacing w:line="460" w:lineRule="exact"/>
              <w:rPr>
                <w:rFonts w:ascii="宋体" w:eastAsia="宋体" w:hAnsi="宋体" w:cs="宋体"/>
                <w:sz w:val="24"/>
              </w:rPr>
            </w:pPr>
          </w:p>
        </w:tc>
        <w:tc>
          <w:tcPr>
            <w:tcW w:w="705" w:type="dxa"/>
            <w:tcBorders>
              <w:top w:val="single" w:sz="6" w:space="0" w:color="auto"/>
              <w:left w:val="single" w:sz="4" w:space="0" w:color="auto"/>
              <w:bottom w:val="single" w:sz="6" w:space="0" w:color="auto"/>
              <w:right w:val="single" w:sz="6" w:space="0" w:color="auto"/>
            </w:tcBorders>
          </w:tcPr>
          <w:p w14:paraId="3B68DB47" w14:textId="77777777" w:rsidR="006B7AF7" w:rsidRPr="006B7AF7" w:rsidRDefault="006B7AF7" w:rsidP="006B7AF7">
            <w:pPr>
              <w:adjustRightInd w:val="0"/>
              <w:snapToGrid w:val="0"/>
              <w:spacing w:line="460" w:lineRule="exact"/>
              <w:rPr>
                <w:rFonts w:ascii="宋体" w:eastAsia="宋体" w:hAnsi="宋体" w:cs="宋体"/>
                <w:sz w:val="24"/>
              </w:rPr>
            </w:pPr>
          </w:p>
        </w:tc>
        <w:tc>
          <w:tcPr>
            <w:tcW w:w="1114" w:type="dxa"/>
            <w:tcBorders>
              <w:top w:val="single" w:sz="6" w:space="0" w:color="auto"/>
              <w:left w:val="single" w:sz="6" w:space="0" w:color="auto"/>
              <w:bottom w:val="single" w:sz="6" w:space="0" w:color="auto"/>
              <w:right w:val="single" w:sz="4" w:space="0" w:color="auto"/>
            </w:tcBorders>
          </w:tcPr>
          <w:p w14:paraId="40B10FC7" w14:textId="77777777" w:rsidR="006B7AF7" w:rsidRPr="006B7AF7" w:rsidRDefault="006B7AF7" w:rsidP="006B7AF7">
            <w:pPr>
              <w:adjustRightInd w:val="0"/>
              <w:snapToGrid w:val="0"/>
              <w:spacing w:line="460" w:lineRule="exact"/>
              <w:rPr>
                <w:rFonts w:ascii="宋体" w:eastAsia="宋体" w:hAnsi="宋体" w:cs="宋体"/>
                <w:sz w:val="24"/>
              </w:rPr>
            </w:pPr>
          </w:p>
        </w:tc>
        <w:tc>
          <w:tcPr>
            <w:tcW w:w="1063" w:type="dxa"/>
            <w:tcBorders>
              <w:top w:val="single" w:sz="6" w:space="0" w:color="auto"/>
              <w:left w:val="single" w:sz="4" w:space="0" w:color="auto"/>
              <w:bottom w:val="single" w:sz="6" w:space="0" w:color="auto"/>
              <w:right w:val="single" w:sz="6" w:space="0" w:color="auto"/>
            </w:tcBorders>
          </w:tcPr>
          <w:p w14:paraId="63B72F17" w14:textId="77777777" w:rsidR="006B7AF7" w:rsidRPr="006B7AF7" w:rsidRDefault="006B7AF7" w:rsidP="006B7AF7">
            <w:pPr>
              <w:adjustRightInd w:val="0"/>
              <w:snapToGrid w:val="0"/>
              <w:spacing w:line="460" w:lineRule="exact"/>
              <w:rPr>
                <w:rFonts w:ascii="宋体" w:eastAsia="宋体" w:hAnsi="宋体" w:cs="宋体"/>
                <w:sz w:val="24"/>
              </w:rPr>
            </w:pPr>
          </w:p>
        </w:tc>
        <w:tc>
          <w:tcPr>
            <w:tcW w:w="2069" w:type="dxa"/>
            <w:tcBorders>
              <w:top w:val="single" w:sz="6" w:space="0" w:color="auto"/>
              <w:left w:val="single" w:sz="6" w:space="0" w:color="auto"/>
              <w:bottom w:val="single" w:sz="6" w:space="0" w:color="auto"/>
              <w:right w:val="single" w:sz="12" w:space="0" w:color="auto"/>
            </w:tcBorders>
          </w:tcPr>
          <w:p w14:paraId="0596717B" w14:textId="77777777" w:rsidR="006B7AF7" w:rsidRPr="006B7AF7" w:rsidRDefault="006B7AF7" w:rsidP="006B7AF7">
            <w:pPr>
              <w:adjustRightInd w:val="0"/>
              <w:snapToGrid w:val="0"/>
              <w:spacing w:line="460" w:lineRule="exact"/>
              <w:rPr>
                <w:rFonts w:ascii="宋体" w:eastAsia="宋体" w:hAnsi="宋体" w:cs="宋体"/>
                <w:sz w:val="24"/>
              </w:rPr>
            </w:pPr>
          </w:p>
        </w:tc>
      </w:tr>
      <w:tr w:rsidR="006B7AF7" w:rsidRPr="006B7AF7" w14:paraId="4F5D4ED7" w14:textId="77777777">
        <w:trPr>
          <w:trHeight w:val="454"/>
        </w:trPr>
        <w:tc>
          <w:tcPr>
            <w:tcW w:w="706" w:type="dxa"/>
            <w:tcBorders>
              <w:top w:val="single" w:sz="6" w:space="0" w:color="auto"/>
              <w:left w:val="single" w:sz="12" w:space="0" w:color="auto"/>
              <w:bottom w:val="single" w:sz="6" w:space="0" w:color="auto"/>
              <w:right w:val="single" w:sz="6" w:space="0" w:color="auto"/>
            </w:tcBorders>
          </w:tcPr>
          <w:p w14:paraId="58982274" w14:textId="77777777" w:rsidR="006B7AF7" w:rsidRPr="006B7AF7" w:rsidRDefault="006B7AF7" w:rsidP="006B7AF7">
            <w:pPr>
              <w:adjustRightInd w:val="0"/>
              <w:snapToGrid w:val="0"/>
              <w:spacing w:line="460" w:lineRule="exact"/>
              <w:rPr>
                <w:rFonts w:ascii="宋体" w:eastAsia="宋体" w:hAnsi="宋体" w:cs="宋体"/>
                <w:sz w:val="24"/>
              </w:rPr>
            </w:pPr>
          </w:p>
        </w:tc>
        <w:tc>
          <w:tcPr>
            <w:tcW w:w="1967" w:type="dxa"/>
            <w:tcBorders>
              <w:top w:val="single" w:sz="6" w:space="0" w:color="auto"/>
              <w:left w:val="single" w:sz="6" w:space="0" w:color="auto"/>
              <w:bottom w:val="single" w:sz="6" w:space="0" w:color="auto"/>
              <w:right w:val="single" w:sz="6" w:space="0" w:color="auto"/>
            </w:tcBorders>
          </w:tcPr>
          <w:p w14:paraId="5F6E9920" w14:textId="77777777" w:rsidR="006B7AF7" w:rsidRPr="006B7AF7" w:rsidRDefault="006B7AF7" w:rsidP="006B7AF7">
            <w:pPr>
              <w:adjustRightInd w:val="0"/>
              <w:snapToGrid w:val="0"/>
              <w:spacing w:line="460" w:lineRule="exact"/>
              <w:rPr>
                <w:rFonts w:ascii="宋体" w:eastAsia="宋体" w:hAnsi="宋体" w:cs="宋体"/>
                <w:sz w:val="24"/>
              </w:rPr>
            </w:pPr>
          </w:p>
        </w:tc>
        <w:tc>
          <w:tcPr>
            <w:tcW w:w="991" w:type="dxa"/>
            <w:tcBorders>
              <w:top w:val="single" w:sz="6" w:space="0" w:color="auto"/>
              <w:left w:val="single" w:sz="6" w:space="0" w:color="auto"/>
              <w:bottom w:val="single" w:sz="6" w:space="0" w:color="auto"/>
              <w:right w:val="single" w:sz="6" w:space="0" w:color="auto"/>
            </w:tcBorders>
          </w:tcPr>
          <w:p w14:paraId="30F54A6D" w14:textId="77777777" w:rsidR="006B7AF7" w:rsidRPr="006B7AF7" w:rsidRDefault="006B7AF7" w:rsidP="006B7AF7">
            <w:pPr>
              <w:adjustRightInd w:val="0"/>
              <w:snapToGrid w:val="0"/>
              <w:spacing w:line="460" w:lineRule="exact"/>
              <w:rPr>
                <w:rFonts w:ascii="宋体" w:eastAsia="宋体" w:hAnsi="宋体" w:cs="宋体"/>
                <w:sz w:val="24"/>
              </w:rPr>
            </w:pPr>
          </w:p>
        </w:tc>
        <w:tc>
          <w:tcPr>
            <w:tcW w:w="706" w:type="dxa"/>
            <w:tcBorders>
              <w:top w:val="single" w:sz="6" w:space="0" w:color="auto"/>
              <w:left w:val="single" w:sz="6" w:space="0" w:color="auto"/>
              <w:bottom w:val="single" w:sz="6" w:space="0" w:color="auto"/>
              <w:right w:val="single" w:sz="4" w:space="0" w:color="auto"/>
            </w:tcBorders>
          </w:tcPr>
          <w:p w14:paraId="4D34FD5B" w14:textId="77777777" w:rsidR="006B7AF7" w:rsidRPr="006B7AF7" w:rsidRDefault="006B7AF7" w:rsidP="006B7AF7">
            <w:pPr>
              <w:adjustRightInd w:val="0"/>
              <w:snapToGrid w:val="0"/>
              <w:spacing w:line="460" w:lineRule="exact"/>
              <w:rPr>
                <w:rFonts w:ascii="宋体" w:eastAsia="宋体" w:hAnsi="宋体" w:cs="宋体"/>
                <w:sz w:val="24"/>
              </w:rPr>
            </w:pPr>
          </w:p>
        </w:tc>
        <w:tc>
          <w:tcPr>
            <w:tcW w:w="705" w:type="dxa"/>
            <w:tcBorders>
              <w:top w:val="single" w:sz="6" w:space="0" w:color="auto"/>
              <w:left w:val="single" w:sz="4" w:space="0" w:color="auto"/>
              <w:bottom w:val="single" w:sz="6" w:space="0" w:color="auto"/>
              <w:right w:val="single" w:sz="6" w:space="0" w:color="auto"/>
            </w:tcBorders>
          </w:tcPr>
          <w:p w14:paraId="04E86A06" w14:textId="77777777" w:rsidR="006B7AF7" w:rsidRPr="006B7AF7" w:rsidRDefault="006B7AF7" w:rsidP="006B7AF7">
            <w:pPr>
              <w:adjustRightInd w:val="0"/>
              <w:snapToGrid w:val="0"/>
              <w:spacing w:line="460" w:lineRule="exact"/>
              <w:rPr>
                <w:rFonts w:ascii="宋体" w:eastAsia="宋体" w:hAnsi="宋体" w:cs="宋体"/>
                <w:sz w:val="24"/>
              </w:rPr>
            </w:pPr>
          </w:p>
        </w:tc>
        <w:tc>
          <w:tcPr>
            <w:tcW w:w="1114" w:type="dxa"/>
            <w:tcBorders>
              <w:top w:val="single" w:sz="6" w:space="0" w:color="auto"/>
              <w:left w:val="single" w:sz="6" w:space="0" w:color="auto"/>
              <w:bottom w:val="single" w:sz="6" w:space="0" w:color="auto"/>
              <w:right w:val="single" w:sz="4" w:space="0" w:color="auto"/>
            </w:tcBorders>
          </w:tcPr>
          <w:p w14:paraId="6338131D" w14:textId="77777777" w:rsidR="006B7AF7" w:rsidRPr="006B7AF7" w:rsidRDefault="006B7AF7" w:rsidP="006B7AF7">
            <w:pPr>
              <w:adjustRightInd w:val="0"/>
              <w:snapToGrid w:val="0"/>
              <w:spacing w:line="460" w:lineRule="exact"/>
              <w:rPr>
                <w:rFonts w:ascii="宋体" w:eastAsia="宋体" w:hAnsi="宋体" w:cs="宋体"/>
                <w:sz w:val="24"/>
              </w:rPr>
            </w:pPr>
          </w:p>
        </w:tc>
        <w:tc>
          <w:tcPr>
            <w:tcW w:w="1063" w:type="dxa"/>
            <w:tcBorders>
              <w:top w:val="single" w:sz="6" w:space="0" w:color="auto"/>
              <w:left w:val="single" w:sz="4" w:space="0" w:color="auto"/>
              <w:bottom w:val="single" w:sz="6" w:space="0" w:color="auto"/>
              <w:right w:val="single" w:sz="6" w:space="0" w:color="auto"/>
            </w:tcBorders>
          </w:tcPr>
          <w:p w14:paraId="79421C71" w14:textId="77777777" w:rsidR="006B7AF7" w:rsidRPr="006B7AF7" w:rsidRDefault="006B7AF7" w:rsidP="006B7AF7">
            <w:pPr>
              <w:adjustRightInd w:val="0"/>
              <w:snapToGrid w:val="0"/>
              <w:spacing w:line="460" w:lineRule="exact"/>
              <w:rPr>
                <w:rFonts w:ascii="宋体" w:eastAsia="宋体" w:hAnsi="宋体" w:cs="宋体"/>
                <w:sz w:val="24"/>
              </w:rPr>
            </w:pPr>
          </w:p>
        </w:tc>
        <w:tc>
          <w:tcPr>
            <w:tcW w:w="2069" w:type="dxa"/>
            <w:tcBorders>
              <w:top w:val="single" w:sz="6" w:space="0" w:color="auto"/>
              <w:left w:val="single" w:sz="6" w:space="0" w:color="auto"/>
              <w:bottom w:val="single" w:sz="6" w:space="0" w:color="auto"/>
              <w:right w:val="single" w:sz="12" w:space="0" w:color="auto"/>
            </w:tcBorders>
          </w:tcPr>
          <w:p w14:paraId="784A243E" w14:textId="77777777" w:rsidR="006B7AF7" w:rsidRPr="006B7AF7" w:rsidRDefault="006B7AF7" w:rsidP="006B7AF7">
            <w:pPr>
              <w:adjustRightInd w:val="0"/>
              <w:snapToGrid w:val="0"/>
              <w:spacing w:line="460" w:lineRule="exact"/>
              <w:rPr>
                <w:rFonts w:ascii="宋体" w:eastAsia="宋体" w:hAnsi="宋体" w:cs="宋体"/>
                <w:sz w:val="24"/>
              </w:rPr>
            </w:pPr>
          </w:p>
        </w:tc>
      </w:tr>
      <w:tr w:rsidR="006B7AF7" w:rsidRPr="006B7AF7" w14:paraId="118C6DF7" w14:textId="77777777">
        <w:trPr>
          <w:trHeight w:val="668"/>
        </w:trPr>
        <w:tc>
          <w:tcPr>
            <w:tcW w:w="9321" w:type="dxa"/>
            <w:gridSpan w:val="8"/>
            <w:tcBorders>
              <w:top w:val="single" w:sz="6" w:space="0" w:color="auto"/>
              <w:left w:val="single" w:sz="12" w:space="0" w:color="auto"/>
              <w:bottom w:val="single" w:sz="12" w:space="0" w:color="auto"/>
              <w:right w:val="single" w:sz="12" w:space="0" w:color="auto"/>
            </w:tcBorders>
            <w:hideMark/>
          </w:tcPr>
          <w:p w14:paraId="49A672BC"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合计（大写）：                               元（¥</w:t>
            </w:r>
            <w:r w:rsidRPr="006B7AF7">
              <w:rPr>
                <w:rFonts w:ascii="宋体" w:eastAsia="宋体" w:hAnsi="宋体" w:cs="宋体"/>
                <w:sz w:val="24"/>
                <w:u w:val="single"/>
              </w:rPr>
              <w:t xml:space="preserve">                  </w:t>
            </w:r>
            <w:r w:rsidRPr="006B7AF7">
              <w:rPr>
                <w:rFonts w:ascii="宋体" w:eastAsia="宋体" w:hAnsi="宋体" w:cs="宋体"/>
                <w:sz w:val="24"/>
              </w:rPr>
              <w:t xml:space="preserve">元）                       </w:t>
            </w:r>
          </w:p>
        </w:tc>
      </w:tr>
    </w:tbl>
    <w:p w14:paraId="53636423" w14:textId="77777777" w:rsidR="006B7AF7" w:rsidRPr="006B7AF7" w:rsidRDefault="006B7AF7" w:rsidP="006B7AF7">
      <w:pPr>
        <w:adjustRightInd w:val="0"/>
        <w:snapToGrid w:val="0"/>
        <w:spacing w:line="460" w:lineRule="exact"/>
        <w:rPr>
          <w:rFonts w:ascii="宋体" w:eastAsia="宋体" w:hAnsi="宋体" w:cs="宋体"/>
          <w:b/>
          <w:bCs/>
          <w:sz w:val="24"/>
        </w:rPr>
      </w:pPr>
      <w:bookmarkStart w:id="2" w:name="_Toc11652"/>
      <w:bookmarkStart w:id="3" w:name="_Toc31275"/>
      <w:r w:rsidRPr="006B7AF7">
        <w:rPr>
          <w:rFonts w:ascii="宋体" w:eastAsia="宋体" w:hAnsi="宋体" w:cs="宋体"/>
          <w:b/>
          <w:bCs/>
          <w:sz w:val="24"/>
        </w:rPr>
        <w:t>2.合同价格</w:t>
      </w:r>
      <w:bookmarkEnd w:id="2"/>
      <w:bookmarkEnd w:id="3"/>
    </w:p>
    <w:p w14:paraId="27057087"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合同总价：人民币（大写）</w:t>
      </w:r>
      <w:r w:rsidRPr="006B7AF7">
        <w:rPr>
          <w:rFonts w:ascii="宋体" w:eastAsia="宋体" w:hAnsi="宋体" w:cs="宋体"/>
          <w:sz w:val="24"/>
          <w:u w:val="single"/>
        </w:rPr>
        <w:t xml:space="preserve">           </w:t>
      </w:r>
      <w:r w:rsidRPr="006B7AF7">
        <w:rPr>
          <w:rFonts w:ascii="宋体" w:eastAsia="宋体" w:hAnsi="宋体" w:cs="宋体"/>
          <w:sz w:val="24"/>
        </w:rPr>
        <w:t>元（¥</w:t>
      </w:r>
      <w:r w:rsidRPr="006B7AF7">
        <w:rPr>
          <w:rFonts w:ascii="宋体" w:eastAsia="宋体" w:hAnsi="宋体" w:cs="宋体"/>
          <w:sz w:val="24"/>
          <w:u w:val="single"/>
        </w:rPr>
        <w:t xml:space="preserve">           </w:t>
      </w:r>
      <w:r w:rsidRPr="006B7AF7">
        <w:rPr>
          <w:rFonts w:ascii="宋体" w:eastAsia="宋体" w:hAnsi="宋体" w:cs="宋体"/>
          <w:sz w:val="24"/>
        </w:rPr>
        <w:t>元）。</w:t>
      </w:r>
    </w:p>
    <w:p w14:paraId="16BAAE68"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2.1合同总价为甲方指定地点的交货价，包含但不限于设备、包装、运输、安装、调试、培训、质保、税金、关税（进口产品）等费用。</w:t>
      </w:r>
    </w:p>
    <w:p w14:paraId="12C18A93"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2.2合同为总价合同，不受市场价格变化的影响。</w:t>
      </w:r>
    </w:p>
    <w:p w14:paraId="25EDE51F" w14:textId="77777777" w:rsidR="006B7AF7" w:rsidRPr="006B7AF7" w:rsidRDefault="006B7AF7" w:rsidP="006B7AF7">
      <w:pPr>
        <w:adjustRightInd w:val="0"/>
        <w:snapToGrid w:val="0"/>
        <w:spacing w:line="460" w:lineRule="exact"/>
        <w:rPr>
          <w:rFonts w:ascii="宋体" w:eastAsia="宋体" w:hAnsi="宋体" w:cs="宋体"/>
          <w:b/>
          <w:bCs/>
          <w:sz w:val="24"/>
        </w:rPr>
      </w:pPr>
      <w:bookmarkStart w:id="4" w:name="_Toc20723"/>
      <w:bookmarkStart w:id="5" w:name="_Toc6028"/>
      <w:r w:rsidRPr="006B7AF7">
        <w:rPr>
          <w:rFonts w:ascii="宋体" w:eastAsia="宋体" w:hAnsi="宋体" w:cs="宋体"/>
          <w:b/>
          <w:bCs/>
          <w:sz w:val="24"/>
        </w:rPr>
        <w:t>3.货款支付</w:t>
      </w:r>
      <w:bookmarkEnd w:id="4"/>
      <w:bookmarkEnd w:id="5"/>
    </w:p>
    <w:p w14:paraId="327BA72F"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3.1 合同价款支付</w:t>
      </w:r>
    </w:p>
    <w:p w14:paraId="4CC99682"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包1：</w:t>
      </w:r>
    </w:p>
    <w:p w14:paraId="6C9FCA4C"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合同签订后预付合同金额40%，全部货物到场后</w:t>
      </w:r>
      <w:proofErr w:type="gramStart"/>
      <w:r w:rsidRPr="006B7AF7">
        <w:rPr>
          <w:rFonts w:ascii="宋体" w:eastAsia="宋体" w:hAnsi="宋体" w:cs="宋体"/>
          <w:sz w:val="24"/>
        </w:rPr>
        <w:t>付合同</w:t>
      </w:r>
      <w:proofErr w:type="gramEnd"/>
      <w:r w:rsidRPr="006B7AF7">
        <w:rPr>
          <w:rFonts w:ascii="宋体" w:eastAsia="宋体" w:hAnsi="宋体" w:cs="宋体"/>
          <w:sz w:val="24"/>
        </w:rPr>
        <w:t>金额40%，验收合格后</w:t>
      </w:r>
      <w:proofErr w:type="gramStart"/>
      <w:r w:rsidRPr="006B7AF7">
        <w:rPr>
          <w:rFonts w:ascii="宋体" w:eastAsia="宋体" w:hAnsi="宋体" w:cs="宋体"/>
          <w:sz w:val="24"/>
        </w:rPr>
        <w:t>付合同</w:t>
      </w:r>
      <w:proofErr w:type="gramEnd"/>
      <w:r w:rsidRPr="006B7AF7">
        <w:rPr>
          <w:rFonts w:ascii="宋体" w:eastAsia="宋体" w:hAnsi="宋体" w:cs="宋体"/>
          <w:sz w:val="24"/>
        </w:rPr>
        <w:t>金额20%。</w:t>
      </w:r>
    </w:p>
    <w:p w14:paraId="4920B3FB"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3.2 甲方支付前由乙方提出支付申请，经甲方审核付款内容达到合同约定且无质</w:t>
      </w:r>
      <w:r w:rsidRPr="006B7AF7">
        <w:rPr>
          <w:rFonts w:ascii="宋体" w:eastAsia="宋体" w:hAnsi="宋体" w:cs="宋体"/>
          <w:sz w:val="24"/>
        </w:rPr>
        <w:lastRenderedPageBreak/>
        <w:t>量和服务问题后予以支付。支付前，乙方按照合同的要求开具相应金额的</w:t>
      </w:r>
      <w:r w:rsidRPr="006B7AF7">
        <w:rPr>
          <w:rFonts w:ascii="宋体" w:eastAsia="宋体" w:hAnsi="宋体" w:cs="宋体"/>
          <w:sz w:val="24"/>
          <w:u w:val="single"/>
        </w:rPr>
        <w:t xml:space="preserve">     </w:t>
      </w:r>
      <w:r w:rsidRPr="006B7AF7">
        <w:rPr>
          <w:rFonts w:ascii="宋体" w:eastAsia="宋体" w:hAnsi="宋体" w:cs="宋体"/>
          <w:sz w:val="24"/>
        </w:rPr>
        <w:t>发票。</w:t>
      </w:r>
    </w:p>
    <w:p w14:paraId="06A56D18"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3.3 支付方式：银行转账。</w:t>
      </w:r>
    </w:p>
    <w:p w14:paraId="1356DB15" w14:textId="77777777" w:rsidR="006B7AF7" w:rsidRPr="006B7AF7" w:rsidRDefault="006B7AF7" w:rsidP="006B7AF7">
      <w:pPr>
        <w:adjustRightInd w:val="0"/>
        <w:snapToGrid w:val="0"/>
        <w:spacing w:line="460" w:lineRule="exact"/>
        <w:rPr>
          <w:rFonts w:ascii="宋体" w:eastAsia="宋体" w:hAnsi="宋体" w:cs="宋体"/>
          <w:b/>
          <w:bCs/>
          <w:sz w:val="24"/>
        </w:rPr>
      </w:pPr>
      <w:bookmarkStart w:id="6" w:name="_Toc31149"/>
      <w:bookmarkStart w:id="7" w:name="_Toc19087"/>
      <w:r w:rsidRPr="006B7AF7">
        <w:rPr>
          <w:rFonts w:ascii="宋体" w:eastAsia="宋体" w:hAnsi="宋体" w:cs="宋体"/>
          <w:b/>
          <w:bCs/>
          <w:sz w:val="24"/>
        </w:rPr>
        <w:t>4.甲乙双方的权利和义务</w:t>
      </w:r>
      <w:bookmarkEnd w:id="6"/>
      <w:bookmarkEnd w:id="7"/>
    </w:p>
    <w:p w14:paraId="061F724C"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4.1甲方的权利和义务</w:t>
      </w:r>
    </w:p>
    <w:p w14:paraId="7F7093E3"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4.1.1负责合同签订后项目实施的工作（包括与乙方的具体联系和衔接，现场安装调试时配备人员进行监管控制等）；</w:t>
      </w:r>
    </w:p>
    <w:p w14:paraId="1CE67A35"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4.1.2负责提供设备和项目安装调试所必须的场地和环境；</w:t>
      </w:r>
    </w:p>
    <w:p w14:paraId="50EAF7C7"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4.1.3负责组织成立验收小组对设备和项目进行验收并签署验收报告；</w:t>
      </w:r>
    </w:p>
    <w:p w14:paraId="613073CB"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4.1.4 按合同规定享有乙方提供的设备服务。</w:t>
      </w:r>
    </w:p>
    <w:p w14:paraId="1AD71F2C"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4.2乙方的权利和义务</w:t>
      </w:r>
    </w:p>
    <w:p w14:paraId="49D38817"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4.2.1乙方保证按本合同约定负责完成甲方项目，并保证提供的设备是全新（包括零部件），符合招投标文件规定，具有国家有关部门注册证明并符合国家质量检测标准（进口产品具有国家有关部门完整手续）和产品出厂标准的设备，并保证设备在甲方报废前正常运行。</w:t>
      </w:r>
    </w:p>
    <w:p w14:paraId="5318C188"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4.2.2乙方保证对其出售的货物享有合法的权利，保证对其出售的货物上不存在任何未曾向甲方透露的担保物权，如抵押权、质押权、留置权。</w:t>
      </w:r>
    </w:p>
    <w:p w14:paraId="77C55CD0"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4.2.3乙方保证甲方在合同设备（有配套软件的还包括软件产品）使用期间不受第三方提出侵犯其专利权、版权、商标权、工业设计权等的起诉。</w:t>
      </w:r>
    </w:p>
    <w:p w14:paraId="698692AB"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4.2.4 严格遵守商务谈判中所承诺的一切规定和条款。</w:t>
      </w:r>
    </w:p>
    <w:p w14:paraId="6AB594BE"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4.2.5 参与设备和项目的验收。</w:t>
      </w:r>
    </w:p>
    <w:p w14:paraId="53182912" w14:textId="77777777" w:rsidR="006B7AF7" w:rsidRPr="006B7AF7" w:rsidRDefault="006B7AF7" w:rsidP="006B7AF7">
      <w:pPr>
        <w:adjustRightInd w:val="0"/>
        <w:snapToGrid w:val="0"/>
        <w:spacing w:line="460" w:lineRule="exact"/>
        <w:rPr>
          <w:rFonts w:ascii="宋体" w:eastAsia="宋体" w:hAnsi="宋体" w:cs="宋体"/>
          <w:b/>
          <w:bCs/>
          <w:sz w:val="24"/>
        </w:rPr>
      </w:pPr>
      <w:bookmarkStart w:id="8" w:name="_Toc23311"/>
      <w:bookmarkStart w:id="9" w:name="_Toc5778"/>
      <w:r w:rsidRPr="006B7AF7">
        <w:rPr>
          <w:rFonts w:ascii="宋体" w:eastAsia="宋体" w:hAnsi="宋体" w:cs="宋体"/>
          <w:b/>
          <w:bCs/>
          <w:sz w:val="24"/>
        </w:rPr>
        <w:t>5.产品功能要求</w:t>
      </w:r>
      <w:bookmarkEnd w:id="8"/>
      <w:bookmarkEnd w:id="9"/>
    </w:p>
    <w:p w14:paraId="60EC6E87"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产品功能符合国家质量检测标准，并满足甲方技术要求。</w:t>
      </w:r>
    </w:p>
    <w:p w14:paraId="69592CD3" w14:textId="77777777" w:rsidR="006B7AF7" w:rsidRPr="006B7AF7" w:rsidRDefault="006B7AF7" w:rsidP="006B7AF7">
      <w:pPr>
        <w:adjustRightInd w:val="0"/>
        <w:snapToGrid w:val="0"/>
        <w:spacing w:line="460" w:lineRule="exact"/>
        <w:rPr>
          <w:rFonts w:ascii="宋体" w:eastAsia="宋体" w:hAnsi="宋体" w:cs="宋体"/>
          <w:b/>
          <w:bCs/>
          <w:sz w:val="24"/>
        </w:rPr>
      </w:pPr>
      <w:bookmarkStart w:id="10" w:name="_Toc19004"/>
      <w:bookmarkStart w:id="11" w:name="_Toc3077"/>
      <w:r w:rsidRPr="006B7AF7">
        <w:rPr>
          <w:rFonts w:ascii="宋体" w:eastAsia="宋体" w:hAnsi="宋体" w:cs="宋体"/>
          <w:b/>
          <w:bCs/>
          <w:sz w:val="24"/>
        </w:rPr>
        <w:t>6.配套设备要求及长期供应优惠条件</w:t>
      </w:r>
      <w:bookmarkEnd w:id="10"/>
      <w:bookmarkEnd w:id="11"/>
    </w:p>
    <w:p w14:paraId="1D197731"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 xml:space="preserve">    若甲方系统需要改造或扩容，所需的设备乙方以不高于合同约定的单价提供。在保修期外，对于系统内出现故障的硬件和软件，乙方承诺及时修复或更换且只收取工作的成本费。</w:t>
      </w:r>
    </w:p>
    <w:p w14:paraId="74FE52C9" w14:textId="77777777" w:rsidR="006B7AF7" w:rsidRPr="006B7AF7" w:rsidRDefault="006B7AF7" w:rsidP="006B7AF7">
      <w:pPr>
        <w:adjustRightInd w:val="0"/>
        <w:snapToGrid w:val="0"/>
        <w:spacing w:line="460" w:lineRule="exact"/>
        <w:rPr>
          <w:rFonts w:ascii="宋体" w:eastAsia="宋体" w:hAnsi="宋体" w:cs="宋体"/>
          <w:b/>
          <w:bCs/>
          <w:sz w:val="24"/>
        </w:rPr>
      </w:pPr>
      <w:bookmarkStart w:id="12" w:name="_Toc21406"/>
      <w:bookmarkStart w:id="13" w:name="_Toc629"/>
      <w:r w:rsidRPr="006B7AF7">
        <w:rPr>
          <w:rFonts w:ascii="宋体" w:eastAsia="宋体" w:hAnsi="宋体" w:cs="宋体"/>
          <w:b/>
          <w:bCs/>
          <w:sz w:val="24"/>
        </w:rPr>
        <w:t>7.备品备件（含易损件）要求及长期供应优惠条件</w:t>
      </w:r>
      <w:bookmarkEnd w:id="12"/>
      <w:bookmarkEnd w:id="13"/>
    </w:p>
    <w:p w14:paraId="5BBAEDDE"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 xml:space="preserve">    乙方严格按照招投标文件执行并确保满足甲方需要，具体要求详见招投标文件和本合同附件：供货清单。乙方同时承诺：乙方向甲方提供的备品备件（含易</w:t>
      </w:r>
      <w:r w:rsidRPr="006B7AF7">
        <w:rPr>
          <w:rFonts w:ascii="宋体" w:eastAsia="宋体" w:hAnsi="宋体" w:cs="宋体"/>
          <w:sz w:val="24"/>
        </w:rPr>
        <w:lastRenderedPageBreak/>
        <w:t>损件）不高于市场同类产品的价格。</w:t>
      </w:r>
    </w:p>
    <w:p w14:paraId="2D443970" w14:textId="77777777" w:rsidR="006B7AF7" w:rsidRPr="006B7AF7" w:rsidRDefault="006B7AF7" w:rsidP="006B7AF7">
      <w:pPr>
        <w:adjustRightInd w:val="0"/>
        <w:snapToGrid w:val="0"/>
        <w:spacing w:line="460" w:lineRule="exact"/>
        <w:rPr>
          <w:rFonts w:ascii="宋体" w:eastAsia="宋体" w:hAnsi="宋体" w:cs="宋体"/>
          <w:b/>
          <w:bCs/>
          <w:sz w:val="24"/>
        </w:rPr>
      </w:pPr>
      <w:bookmarkStart w:id="14" w:name="_Toc16387"/>
      <w:bookmarkStart w:id="15" w:name="_Toc12574"/>
      <w:r w:rsidRPr="006B7AF7">
        <w:rPr>
          <w:rFonts w:ascii="宋体" w:eastAsia="宋体" w:hAnsi="宋体" w:cs="宋体"/>
          <w:b/>
          <w:bCs/>
          <w:sz w:val="24"/>
        </w:rPr>
        <w:t>8.包装、标记和运输</w:t>
      </w:r>
      <w:bookmarkEnd w:id="14"/>
      <w:bookmarkEnd w:id="15"/>
    </w:p>
    <w:p w14:paraId="2D5C44B9"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8.1 乙方交付的所有合同货物应具有适于长途运输多次搬运和装卸的坚固包装，并且乙方应根据合同货物的不同特性和要求采取防潮、防雨、防锈、防震、防腐等保护措施，以确保合同货物安全无损地送达交货地点。</w:t>
      </w:r>
    </w:p>
    <w:p w14:paraId="47C5282D"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8.2 下列资料包装在合同货物的包装箱中：</w:t>
      </w:r>
    </w:p>
    <w:p w14:paraId="71A31E50"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8.2.1 装箱单。</w:t>
      </w:r>
    </w:p>
    <w:p w14:paraId="19CEC658"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8.2.2 合同货物数量和货物制造商出具的质量合格证书、保修证书。</w:t>
      </w:r>
    </w:p>
    <w:p w14:paraId="2C9BEB5F"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8.2.3 随机备品备件、配件、工具、图纸、使用说明书及其它必要的技术资料（中文）。</w:t>
      </w:r>
    </w:p>
    <w:p w14:paraId="74A16756"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8.3 乙方对合同货物包装不善、标记不明、防护措施不当或在合同货物装箱前保管不良，致使合同货物遭到损坏或丢失，乙方应负责免费修理或更换，并承担由此给甲方造成的一切损失。</w:t>
      </w:r>
    </w:p>
    <w:p w14:paraId="6F06478C"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8.4 货物（产品）运输方式：</w:t>
      </w:r>
      <w:r w:rsidRPr="006B7AF7">
        <w:rPr>
          <w:rFonts w:ascii="宋体" w:eastAsia="宋体" w:hAnsi="宋体" w:cs="宋体"/>
          <w:sz w:val="24"/>
          <w:u w:val="single"/>
        </w:rPr>
        <w:t xml:space="preserve">                 </w:t>
      </w:r>
      <w:r w:rsidRPr="006B7AF7">
        <w:rPr>
          <w:rFonts w:ascii="宋体" w:eastAsia="宋体" w:hAnsi="宋体" w:cs="宋体"/>
          <w:sz w:val="24"/>
        </w:rPr>
        <w:t>。</w:t>
      </w:r>
    </w:p>
    <w:p w14:paraId="5EF3C90F"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8.5 乙方负责货物（产品）运输，货物运输的合理损耗及计算方法</w:t>
      </w:r>
      <w:r w:rsidRPr="006B7AF7">
        <w:rPr>
          <w:rFonts w:ascii="宋体" w:eastAsia="宋体" w:hAnsi="宋体" w:cs="宋体"/>
          <w:sz w:val="24"/>
          <w:u w:val="single"/>
        </w:rPr>
        <w:t xml:space="preserve">        </w:t>
      </w:r>
      <w:r w:rsidRPr="006B7AF7">
        <w:rPr>
          <w:rFonts w:ascii="宋体" w:eastAsia="宋体" w:hAnsi="宋体" w:cs="宋体"/>
          <w:sz w:val="24"/>
        </w:rPr>
        <w:t>。</w:t>
      </w:r>
    </w:p>
    <w:p w14:paraId="49752063" w14:textId="77777777" w:rsidR="006B7AF7" w:rsidRPr="006B7AF7" w:rsidRDefault="006B7AF7" w:rsidP="006B7AF7">
      <w:pPr>
        <w:adjustRightInd w:val="0"/>
        <w:snapToGrid w:val="0"/>
        <w:spacing w:line="460" w:lineRule="exact"/>
        <w:rPr>
          <w:rFonts w:ascii="宋体" w:eastAsia="宋体" w:hAnsi="宋体" w:cs="宋体"/>
          <w:b/>
          <w:bCs/>
          <w:sz w:val="24"/>
        </w:rPr>
      </w:pPr>
      <w:bookmarkStart w:id="16" w:name="_Toc9580"/>
      <w:bookmarkStart w:id="17" w:name="_Toc16421"/>
      <w:r w:rsidRPr="006B7AF7">
        <w:rPr>
          <w:rFonts w:ascii="宋体" w:eastAsia="宋体" w:hAnsi="宋体" w:cs="宋体"/>
          <w:b/>
          <w:bCs/>
          <w:sz w:val="24"/>
        </w:rPr>
        <w:t>9.交货</w:t>
      </w:r>
      <w:bookmarkEnd w:id="16"/>
      <w:bookmarkEnd w:id="17"/>
    </w:p>
    <w:p w14:paraId="2D684AEF"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9.1 交货地点：甲方指定地点。</w:t>
      </w:r>
    </w:p>
    <w:p w14:paraId="150F8BEB"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9.2 交货日期：</w:t>
      </w:r>
      <w:r w:rsidRPr="006B7AF7">
        <w:rPr>
          <w:rFonts w:ascii="宋体" w:eastAsia="宋体" w:hAnsi="宋体" w:cs="宋体"/>
          <w:sz w:val="24"/>
          <w:u w:val="single"/>
        </w:rPr>
        <w:t xml:space="preserve">     </w:t>
      </w:r>
      <w:r w:rsidRPr="006B7AF7">
        <w:rPr>
          <w:rFonts w:ascii="宋体" w:eastAsia="宋体" w:hAnsi="宋体" w:cs="宋体"/>
          <w:sz w:val="24"/>
        </w:rPr>
        <w:t>年</w:t>
      </w:r>
      <w:r w:rsidRPr="006B7AF7">
        <w:rPr>
          <w:rFonts w:ascii="宋体" w:eastAsia="宋体" w:hAnsi="宋体" w:cs="宋体"/>
          <w:sz w:val="24"/>
          <w:u w:val="single"/>
        </w:rPr>
        <w:t xml:space="preserve">   </w:t>
      </w:r>
      <w:r w:rsidRPr="006B7AF7">
        <w:rPr>
          <w:rFonts w:ascii="宋体" w:eastAsia="宋体" w:hAnsi="宋体" w:cs="宋体"/>
          <w:sz w:val="24"/>
        </w:rPr>
        <w:t>月</w:t>
      </w:r>
      <w:r w:rsidRPr="006B7AF7">
        <w:rPr>
          <w:rFonts w:ascii="宋体" w:eastAsia="宋体" w:hAnsi="宋体" w:cs="宋体"/>
          <w:sz w:val="24"/>
          <w:u w:val="single"/>
        </w:rPr>
        <w:t xml:space="preserve">   </w:t>
      </w:r>
      <w:r w:rsidRPr="006B7AF7">
        <w:rPr>
          <w:rFonts w:ascii="宋体" w:eastAsia="宋体" w:hAnsi="宋体" w:cs="宋体"/>
          <w:sz w:val="24"/>
        </w:rPr>
        <w:t>日。</w:t>
      </w:r>
    </w:p>
    <w:p w14:paraId="107768BA"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9.3乙方负责将完整配套的原封设备（含开机必要消耗品）送到交货地点，由甲乙双方共同开箱初验，并由乙方按合同规范要求完成安装测试。交货时，乙方随货向甲方交付设备必需的合格证、保修卡、相关资料（如操作手册、使用指南、维修手册、系统使用说明书、服务手册等）及配备的附件、工具等。进口产品还需交付中国商检证明及合法进货渠道全套单证。</w:t>
      </w:r>
    </w:p>
    <w:p w14:paraId="4FF95D71"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9.4 交货时甲方对乙方承诺的产品包装的环保材料进行验收，必要时乙方需提供检测报告，甲方发现虚假承诺时，将扣除总货款的5%作为处罚。</w:t>
      </w:r>
    </w:p>
    <w:p w14:paraId="2C82A8E5" w14:textId="77777777" w:rsidR="006B7AF7" w:rsidRPr="006B7AF7" w:rsidRDefault="006B7AF7" w:rsidP="006B7AF7">
      <w:pPr>
        <w:adjustRightInd w:val="0"/>
        <w:snapToGrid w:val="0"/>
        <w:spacing w:line="460" w:lineRule="exact"/>
        <w:rPr>
          <w:rFonts w:ascii="宋体" w:eastAsia="宋体" w:hAnsi="宋体" w:cs="宋体"/>
          <w:b/>
          <w:bCs/>
          <w:sz w:val="24"/>
        </w:rPr>
      </w:pPr>
      <w:bookmarkStart w:id="18" w:name="_Toc25880"/>
      <w:bookmarkStart w:id="19" w:name="_Toc4864"/>
      <w:r w:rsidRPr="006B7AF7">
        <w:rPr>
          <w:rFonts w:ascii="宋体" w:eastAsia="宋体" w:hAnsi="宋体" w:cs="宋体"/>
          <w:b/>
          <w:bCs/>
          <w:sz w:val="24"/>
        </w:rPr>
        <w:t>10.质量保证</w:t>
      </w:r>
      <w:bookmarkEnd w:id="18"/>
      <w:bookmarkEnd w:id="19"/>
    </w:p>
    <w:p w14:paraId="2B9621CC"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10.1</w:t>
      </w:r>
      <w:proofErr w:type="gramStart"/>
      <w:r w:rsidRPr="006B7AF7">
        <w:rPr>
          <w:rFonts w:ascii="宋体" w:eastAsia="宋体" w:hAnsi="宋体" w:cs="宋体"/>
          <w:sz w:val="24"/>
        </w:rPr>
        <w:t>自设备</w:t>
      </w:r>
      <w:proofErr w:type="gramEnd"/>
      <w:r w:rsidRPr="006B7AF7">
        <w:rPr>
          <w:rFonts w:ascii="宋体" w:eastAsia="宋体" w:hAnsi="宋体" w:cs="宋体"/>
          <w:sz w:val="24"/>
        </w:rPr>
        <w:t>验收合格后，货物（产品）的原厂质保期为</w:t>
      </w:r>
      <w:r w:rsidRPr="006B7AF7">
        <w:rPr>
          <w:rFonts w:ascii="宋体" w:eastAsia="宋体" w:hAnsi="宋体" w:cs="宋体"/>
          <w:sz w:val="24"/>
          <w:u w:val="single"/>
        </w:rPr>
        <w:t xml:space="preserve">   </w:t>
      </w:r>
      <w:r w:rsidRPr="006B7AF7">
        <w:rPr>
          <w:rFonts w:ascii="宋体" w:eastAsia="宋体" w:hAnsi="宋体" w:cs="宋体"/>
          <w:sz w:val="24"/>
        </w:rPr>
        <w:t>年；投标人的售后服务期为</w:t>
      </w:r>
      <w:r w:rsidRPr="006B7AF7">
        <w:rPr>
          <w:rFonts w:ascii="宋体" w:eastAsia="宋体" w:hAnsi="宋体" w:cs="宋体"/>
          <w:sz w:val="24"/>
          <w:u w:val="single"/>
        </w:rPr>
        <w:t xml:space="preserve">     </w:t>
      </w:r>
      <w:r w:rsidRPr="006B7AF7">
        <w:rPr>
          <w:rFonts w:ascii="宋体" w:eastAsia="宋体" w:hAnsi="宋体" w:cs="宋体"/>
          <w:sz w:val="24"/>
        </w:rPr>
        <w:t>年(含质保期)，质保期内乙方提供免费维修，售后服务期间内甲方支付材料费。</w:t>
      </w:r>
    </w:p>
    <w:p w14:paraId="399B6953"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10.2货物必须是原厂生产的未曾使用过的全新的合格产品，所用材料必须保证</w:t>
      </w:r>
      <w:r w:rsidRPr="006B7AF7">
        <w:rPr>
          <w:rFonts w:ascii="宋体" w:eastAsia="宋体" w:hAnsi="宋体" w:cs="宋体"/>
          <w:sz w:val="24"/>
        </w:rPr>
        <w:lastRenderedPageBreak/>
        <w:t>质量可靠、原材料进货渠道正规，符合国家质量性能检测标准及该产品的出厂标准。</w:t>
      </w:r>
    </w:p>
    <w:p w14:paraId="1A24634E"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10.3</w:t>
      </w:r>
      <w:r w:rsidRPr="006B7AF7">
        <w:rPr>
          <w:rFonts w:ascii="宋体" w:eastAsia="宋体" w:hAnsi="宋体" w:cs="宋体"/>
          <w:sz w:val="24"/>
        </w:rPr>
        <w:tab/>
        <w:t xml:space="preserve"> 质量标准按照最新颁布的国家标准、行业标准或制造商企业标准确定，上述标准不一致的，以严格标准为准。</w:t>
      </w:r>
    </w:p>
    <w:p w14:paraId="01026C20"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 xml:space="preserve">   10.4 货物参数指标必须与其标示的技术指标项符合，甲方有权在货物的有效质保期内依据技术指标对该货物进行技术校验，其主要的技术参数达不到标准时，甲方将按本合同第13条相关条款执行。</w:t>
      </w:r>
    </w:p>
    <w:p w14:paraId="54FAB15C"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10.5 乙方所提供货物还应符合国家和陕西省有关安全、环保、节能之规定，“3C”认证的货物（产品）应加贴“3C”认证标志。</w:t>
      </w:r>
    </w:p>
    <w:p w14:paraId="3072F6EF"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10.6 货物制造质量出现问题，乙方应负责三包（包修、包换、包退），费用由乙方负担。</w:t>
      </w:r>
    </w:p>
    <w:p w14:paraId="4577EBF7"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 xml:space="preserve">10.7 质量保修范围和保修期：所投产品整机1年的上门保修、更换零配件，所涉及的费用由供应商承担，终身维修。保修期内7×24小时技术响应，2小时响应，24小时内维修工程师到达维修现场。72小时以内完成采购人提出的售后服务要求。保修期自验收合格之日起计算。  </w:t>
      </w:r>
    </w:p>
    <w:p w14:paraId="24A444F7" w14:textId="77777777" w:rsidR="006B7AF7" w:rsidRPr="006B7AF7" w:rsidRDefault="006B7AF7" w:rsidP="006B7AF7">
      <w:pPr>
        <w:adjustRightInd w:val="0"/>
        <w:snapToGrid w:val="0"/>
        <w:spacing w:line="460" w:lineRule="exact"/>
        <w:rPr>
          <w:rFonts w:ascii="宋体" w:eastAsia="宋体" w:hAnsi="宋体" w:cs="宋体"/>
          <w:b/>
          <w:bCs/>
          <w:sz w:val="24"/>
        </w:rPr>
      </w:pPr>
      <w:bookmarkStart w:id="20" w:name="_Toc14336"/>
      <w:bookmarkStart w:id="21" w:name="_Toc30488"/>
      <w:r w:rsidRPr="006B7AF7">
        <w:rPr>
          <w:rFonts w:ascii="宋体" w:eastAsia="宋体" w:hAnsi="宋体" w:cs="宋体"/>
          <w:b/>
          <w:bCs/>
          <w:sz w:val="24"/>
        </w:rPr>
        <w:t>11.验收及验收标准</w:t>
      </w:r>
      <w:bookmarkEnd w:id="20"/>
      <w:bookmarkEnd w:id="21"/>
    </w:p>
    <w:p w14:paraId="4CF6703A"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 xml:space="preserve">供应商提供的服务必须符合国家标准、行业标准以及企业标准。供应商承诺的服务条款必须与磋商时提供的完全一致，不存在任何偏差。如出现不一致，供应商将承担违约责任。验收工作由采购人负责对该服务进行验收，必要时其他相关人员到场协同验收。供应商所提供的服务必须具有合法手续及相关文件。如涉及知识产权则必须是供应商自己拥有或合法使用的。 </w:t>
      </w:r>
    </w:p>
    <w:p w14:paraId="253C3943"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11.1货物验收由甲方组织，乙方配合，并按下列程序进行：</w:t>
      </w:r>
    </w:p>
    <w:p w14:paraId="126D912A"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11.1.1货物初验：乙方应在货物到货之日起</w:t>
      </w:r>
      <w:r w:rsidRPr="006B7AF7">
        <w:rPr>
          <w:rFonts w:ascii="宋体" w:eastAsia="宋体" w:hAnsi="宋体" w:cs="宋体"/>
          <w:sz w:val="24"/>
          <w:u w:val="single"/>
        </w:rPr>
        <w:t xml:space="preserve">   </w:t>
      </w:r>
      <w:r w:rsidRPr="006B7AF7">
        <w:rPr>
          <w:rFonts w:ascii="宋体" w:eastAsia="宋体" w:hAnsi="宋体" w:cs="宋体"/>
          <w:sz w:val="24"/>
        </w:rPr>
        <w:t>日内全部完成安装调试完毕；乙方安装调试完毕后</w:t>
      </w:r>
      <w:r w:rsidRPr="006B7AF7">
        <w:rPr>
          <w:rFonts w:ascii="宋体" w:eastAsia="宋体" w:hAnsi="宋体" w:cs="宋体"/>
          <w:sz w:val="24"/>
          <w:u w:val="single"/>
        </w:rPr>
        <w:t xml:space="preserve">   </w:t>
      </w:r>
      <w:r w:rsidRPr="006B7AF7">
        <w:rPr>
          <w:rFonts w:ascii="宋体" w:eastAsia="宋体" w:hAnsi="宋体" w:cs="宋体"/>
          <w:sz w:val="24"/>
        </w:rPr>
        <w:t>日内完成初步验收；初步验收合格后，进入</w:t>
      </w:r>
      <w:r w:rsidRPr="006B7AF7">
        <w:rPr>
          <w:rFonts w:ascii="宋体" w:eastAsia="宋体" w:hAnsi="宋体" w:cs="宋体"/>
          <w:sz w:val="24"/>
          <w:u w:val="single"/>
        </w:rPr>
        <w:t xml:space="preserve">   </w:t>
      </w:r>
      <w:r w:rsidRPr="006B7AF7">
        <w:rPr>
          <w:rFonts w:ascii="宋体" w:eastAsia="宋体" w:hAnsi="宋体" w:cs="宋体"/>
          <w:sz w:val="24"/>
        </w:rPr>
        <w:t>日试用期；试用期间发生重大质量问题，修复后试用期相应顺延。</w:t>
      </w:r>
    </w:p>
    <w:p w14:paraId="1066B939"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11.1.2 货物终验：试用期结束后</w:t>
      </w:r>
      <w:r w:rsidRPr="006B7AF7">
        <w:rPr>
          <w:rFonts w:ascii="宋体" w:eastAsia="宋体" w:hAnsi="宋体" w:cs="宋体"/>
          <w:sz w:val="24"/>
          <w:u w:val="single"/>
        </w:rPr>
        <w:t xml:space="preserve">   </w:t>
      </w:r>
      <w:r w:rsidRPr="006B7AF7">
        <w:rPr>
          <w:rFonts w:ascii="宋体" w:eastAsia="宋体" w:hAnsi="宋体" w:cs="宋体"/>
          <w:sz w:val="24"/>
        </w:rPr>
        <w:t>日内完成最终验收。</w:t>
      </w:r>
    </w:p>
    <w:p w14:paraId="4FDC85B0"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11.1.3 质量验收合格，双方签署质量验收报告。</w:t>
      </w:r>
    </w:p>
    <w:p w14:paraId="5A01A3CD"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11.2 货物验收依据：</w:t>
      </w:r>
    </w:p>
    <w:p w14:paraId="0BF5DAC6"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11.2.1 采购合同及补充协议；</w:t>
      </w:r>
    </w:p>
    <w:p w14:paraId="71D69599"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11.2.2 质检部门抽样检查货物（产品）合格的检测报告（按甲方要求）。</w:t>
      </w:r>
    </w:p>
    <w:p w14:paraId="50360D36"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lastRenderedPageBreak/>
        <w:t>11.2.3 招标文件；</w:t>
      </w:r>
    </w:p>
    <w:p w14:paraId="44A5A98F"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11.2.4 投标文件。</w:t>
      </w:r>
    </w:p>
    <w:p w14:paraId="22669DBB"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11.3 货物验收时发现问题的处理办法：</w:t>
      </w:r>
    </w:p>
    <w:p w14:paraId="55BDCD0C"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11.3.1 乙方提供不符合招标文件和本合同规定的货物（产品），甲方有权拒绝接受；</w:t>
      </w:r>
    </w:p>
    <w:p w14:paraId="6D703573"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11.3.2 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04BF72CB"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11.3.4 如货物经乙方</w:t>
      </w:r>
      <w:r w:rsidRPr="006B7AF7">
        <w:rPr>
          <w:rFonts w:ascii="宋体" w:eastAsia="宋体" w:hAnsi="宋体" w:cs="宋体"/>
          <w:sz w:val="24"/>
          <w:u w:val="single"/>
        </w:rPr>
        <w:t xml:space="preserve">   </w:t>
      </w:r>
      <w:r w:rsidRPr="006B7AF7">
        <w:rPr>
          <w:rFonts w:ascii="宋体" w:eastAsia="宋体" w:hAnsi="宋体" w:cs="宋体"/>
          <w:sz w:val="24"/>
        </w:rPr>
        <w:t>次维修仍不能达到合同约定的质量标准，甲方有权退货，并视作乙方不能交付货物而须支付违约赔偿金给甲方，甲方还可依法追究乙方的违约责任； </w:t>
      </w:r>
    </w:p>
    <w:p w14:paraId="3FA38C85"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11.3.5</w:t>
      </w:r>
      <w:r w:rsidRPr="006B7AF7">
        <w:rPr>
          <w:rFonts w:ascii="宋体" w:eastAsia="宋体" w:hAnsi="宋体" w:cs="宋体"/>
          <w:sz w:val="24"/>
        </w:rPr>
        <w:tab/>
        <w:t>货物安装完成后</w:t>
      </w:r>
      <w:r w:rsidRPr="006B7AF7">
        <w:rPr>
          <w:rFonts w:ascii="宋体" w:eastAsia="宋体" w:hAnsi="宋体" w:cs="宋体"/>
          <w:sz w:val="24"/>
          <w:u w:val="single"/>
        </w:rPr>
        <w:t xml:space="preserve">  </w:t>
      </w:r>
      <w:r w:rsidRPr="006B7AF7">
        <w:rPr>
          <w:rFonts w:ascii="宋体" w:eastAsia="宋体" w:hAnsi="宋体" w:cs="宋体"/>
          <w:sz w:val="24"/>
        </w:rPr>
        <w:t>日内，甲方无故不进行验收工作并已使用货物的，视同已安装调试完成并验收合格；</w:t>
      </w:r>
    </w:p>
    <w:p w14:paraId="00529BB1"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11.3.6 乙方不能完整交付货物及本条第一款规定的单证和工具的，必须负责补齐，否则视为未按合同约定交货；</w:t>
      </w:r>
    </w:p>
    <w:p w14:paraId="7C2B92D0"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 xml:space="preserve">11.3.7  </w:t>
      </w:r>
      <w:r w:rsidRPr="006B7AF7">
        <w:rPr>
          <w:rFonts w:ascii="宋体" w:eastAsia="宋体" w:hAnsi="宋体" w:cs="宋体"/>
          <w:sz w:val="24"/>
          <w:u w:val="single"/>
        </w:rPr>
        <w:t xml:space="preserve">                                    </w:t>
      </w:r>
      <w:r w:rsidRPr="006B7AF7">
        <w:rPr>
          <w:rFonts w:ascii="宋体" w:eastAsia="宋体" w:hAnsi="宋体" w:cs="宋体"/>
          <w:sz w:val="24"/>
        </w:rPr>
        <w:t>。</w:t>
      </w:r>
    </w:p>
    <w:p w14:paraId="2EAC3AA3" w14:textId="77777777" w:rsidR="006B7AF7" w:rsidRPr="006B7AF7" w:rsidRDefault="006B7AF7" w:rsidP="006B7AF7">
      <w:pPr>
        <w:adjustRightInd w:val="0"/>
        <w:snapToGrid w:val="0"/>
        <w:spacing w:line="460" w:lineRule="exact"/>
        <w:rPr>
          <w:rFonts w:ascii="宋体" w:eastAsia="宋体" w:hAnsi="宋体" w:cs="宋体"/>
          <w:b/>
          <w:bCs/>
          <w:sz w:val="24"/>
        </w:rPr>
      </w:pPr>
      <w:bookmarkStart w:id="22" w:name="_Toc4718"/>
      <w:bookmarkStart w:id="23" w:name="_Toc29064"/>
      <w:r w:rsidRPr="006B7AF7">
        <w:rPr>
          <w:rFonts w:ascii="宋体" w:eastAsia="宋体" w:hAnsi="宋体" w:cs="宋体"/>
          <w:b/>
          <w:bCs/>
          <w:sz w:val="24"/>
        </w:rPr>
        <w:t>12.技术培训</w:t>
      </w:r>
      <w:bookmarkEnd w:id="22"/>
      <w:bookmarkEnd w:id="23"/>
    </w:p>
    <w:p w14:paraId="205257DB"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乙方向甲方提供</w:t>
      </w:r>
      <w:r w:rsidRPr="006B7AF7">
        <w:rPr>
          <w:rFonts w:ascii="宋体" w:eastAsia="宋体" w:hAnsi="宋体" w:cs="宋体"/>
          <w:sz w:val="24"/>
          <w:u w:val="single"/>
        </w:rPr>
        <w:t xml:space="preserve">  </w:t>
      </w:r>
      <w:r w:rsidRPr="006B7AF7">
        <w:rPr>
          <w:rFonts w:ascii="宋体" w:eastAsia="宋体" w:hAnsi="宋体" w:cs="宋体"/>
          <w:sz w:val="24"/>
        </w:rPr>
        <w:t>天的设备使用人员现场例行免费培训，培训内容包括设备的使用、一般的维修、维护及保养等；食宿自理（各自负责）；其他由甲乙双方协定。</w:t>
      </w:r>
    </w:p>
    <w:p w14:paraId="120141D5" w14:textId="77777777" w:rsidR="006B7AF7" w:rsidRPr="006B7AF7" w:rsidRDefault="006B7AF7" w:rsidP="006B7AF7">
      <w:pPr>
        <w:adjustRightInd w:val="0"/>
        <w:snapToGrid w:val="0"/>
        <w:spacing w:line="460" w:lineRule="exact"/>
        <w:rPr>
          <w:rFonts w:ascii="宋体" w:eastAsia="宋体" w:hAnsi="宋体" w:cs="宋体"/>
          <w:b/>
          <w:bCs/>
          <w:sz w:val="24"/>
        </w:rPr>
      </w:pPr>
      <w:bookmarkStart w:id="24" w:name="_Toc11999"/>
      <w:bookmarkStart w:id="25" w:name="_Toc6139"/>
      <w:r w:rsidRPr="006B7AF7">
        <w:rPr>
          <w:rFonts w:ascii="宋体" w:eastAsia="宋体" w:hAnsi="宋体" w:cs="宋体"/>
          <w:b/>
          <w:bCs/>
          <w:sz w:val="24"/>
        </w:rPr>
        <w:t>13.技术支持</w:t>
      </w:r>
      <w:bookmarkEnd w:id="24"/>
      <w:bookmarkEnd w:id="25"/>
    </w:p>
    <w:p w14:paraId="5547309D" w14:textId="77777777" w:rsidR="006B7AF7" w:rsidRPr="006B7AF7" w:rsidRDefault="006B7AF7" w:rsidP="006B7AF7">
      <w:pPr>
        <w:adjustRightInd w:val="0"/>
        <w:snapToGrid w:val="0"/>
        <w:spacing w:line="460" w:lineRule="exact"/>
        <w:rPr>
          <w:rFonts w:ascii="宋体" w:eastAsia="宋体" w:hAnsi="宋体" w:cs="宋体"/>
          <w:b/>
          <w:bCs/>
          <w:sz w:val="24"/>
        </w:rPr>
      </w:pPr>
      <w:r w:rsidRPr="006B7AF7">
        <w:rPr>
          <w:rFonts w:ascii="宋体" w:eastAsia="宋体" w:hAnsi="宋体" w:cs="宋体"/>
          <w:sz w:val="24"/>
        </w:rPr>
        <w:t xml:space="preserve">    甲方在设备使用过程中发生技术质量问题，乙方应提供及时有效的技术支持。乙方技术支持联系人：</w:t>
      </w:r>
      <w:r w:rsidRPr="006B7AF7">
        <w:rPr>
          <w:rFonts w:ascii="宋体" w:eastAsia="宋体" w:hAnsi="宋体" w:cs="宋体"/>
          <w:sz w:val="24"/>
          <w:u w:val="single"/>
        </w:rPr>
        <w:t xml:space="preserve">            </w:t>
      </w:r>
      <w:r w:rsidRPr="006B7AF7">
        <w:rPr>
          <w:rFonts w:ascii="宋体" w:eastAsia="宋体" w:hAnsi="宋体" w:cs="宋体"/>
          <w:sz w:val="24"/>
        </w:rPr>
        <w:t xml:space="preserve"> 联系电话：</w:t>
      </w:r>
      <w:r w:rsidRPr="006B7AF7">
        <w:rPr>
          <w:rFonts w:ascii="宋体" w:eastAsia="宋体" w:hAnsi="宋体" w:cs="宋体"/>
          <w:b/>
          <w:bCs/>
          <w:sz w:val="24"/>
          <w:u w:val="single"/>
        </w:rPr>
        <w:t xml:space="preserve">          </w:t>
      </w:r>
    </w:p>
    <w:p w14:paraId="2720E5A2" w14:textId="77777777" w:rsidR="006B7AF7" w:rsidRPr="006B7AF7" w:rsidRDefault="006B7AF7" w:rsidP="006B7AF7">
      <w:pPr>
        <w:adjustRightInd w:val="0"/>
        <w:snapToGrid w:val="0"/>
        <w:spacing w:line="460" w:lineRule="exact"/>
        <w:rPr>
          <w:rFonts w:ascii="宋体" w:eastAsia="宋体" w:hAnsi="宋体" w:cs="宋体"/>
          <w:b/>
          <w:bCs/>
          <w:sz w:val="24"/>
        </w:rPr>
      </w:pPr>
      <w:bookmarkStart w:id="26" w:name="_Toc1419"/>
      <w:bookmarkStart w:id="27" w:name="_Toc9936"/>
      <w:r w:rsidRPr="006B7AF7">
        <w:rPr>
          <w:rFonts w:ascii="宋体" w:eastAsia="宋体" w:hAnsi="宋体" w:cs="宋体"/>
          <w:b/>
          <w:bCs/>
          <w:sz w:val="24"/>
        </w:rPr>
        <w:t>14.售后服务要求</w:t>
      </w:r>
      <w:bookmarkEnd w:id="26"/>
      <w:bookmarkEnd w:id="27"/>
    </w:p>
    <w:p w14:paraId="34162F3A"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 xml:space="preserve">14.1 </w:t>
      </w:r>
      <w:proofErr w:type="gramStart"/>
      <w:r w:rsidRPr="006B7AF7">
        <w:rPr>
          <w:rFonts w:ascii="宋体" w:eastAsia="宋体" w:hAnsi="宋体" w:cs="宋体"/>
          <w:sz w:val="24"/>
        </w:rPr>
        <w:t>凡正常</w:t>
      </w:r>
      <w:proofErr w:type="gramEnd"/>
      <w:r w:rsidRPr="006B7AF7">
        <w:rPr>
          <w:rFonts w:ascii="宋体" w:eastAsia="宋体" w:hAnsi="宋体" w:cs="宋体"/>
          <w:sz w:val="24"/>
        </w:rPr>
        <w:t>使用中出现的故障，均由乙方负责提供免费检测维修、更换不合格的零部件直至整机（更换的零部件或整机应保证自更换之日</w:t>
      </w:r>
      <w:proofErr w:type="gramStart"/>
      <w:r w:rsidRPr="006B7AF7">
        <w:rPr>
          <w:rFonts w:ascii="宋体" w:eastAsia="宋体" w:hAnsi="宋体" w:cs="宋体"/>
          <w:sz w:val="24"/>
        </w:rPr>
        <w:t>起提供</w:t>
      </w:r>
      <w:proofErr w:type="gramEnd"/>
      <w:r w:rsidRPr="006B7AF7">
        <w:rPr>
          <w:rFonts w:ascii="宋体" w:eastAsia="宋体" w:hAnsi="宋体" w:cs="宋体"/>
          <w:sz w:val="24"/>
        </w:rPr>
        <w:t>相同的质量保证期）正常使用。若需返厂处理，乙方应承</w:t>
      </w:r>
      <w:proofErr w:type="gramStart"/>
      <w:r w:rsidRPr="006B7AF7">
        <w:rPr>
          <w:rFonts w:ascii="宋体" w:eastAsia="宋体" w:hAnsi="宋体" w:cs="宋体"/>
          <w:sz w:val="24"/>
        </w:rPr>
        <w:t>担相关</w:t>
      </w:r>
      <w:proofErr w:type="gramEnd"/>
      <w:r w:rsidRPr="006B7AF7">
        <w:rPr>
          <w:rFonts w:ascii="宋体" w:eastAsia="宋体" w:hAnsi="宋体" w:cs="宋体"/>
          <w:sz w:val="24"/>
        </w:rPr>
        <w:t>费用。同时记录检修情况，并向甲方提供检修报告。</w:t>
      </w:r>
    </w:p>
    <w:p w14:paraId="521E8076"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lastRenderedPageBreak/>
        <w:t xml:space="preserve">14.2 </w:t>
      </w:r>
      <w:proofErr w:type="gramStart"/>
      <w:r w:rsidRPr="006B7AF7">
        <w:rPr>
          <w:rFonts w:ascii="宋体" w:eastAsia="宋体" w:hAnsi="宋体" w:cs="宋体"/>
          <w:sz w:val="24"/>
        </w:rPr>
        <w:t>凡设备</w:t>
      </w:r>
      <w:proofErr w:type="gramEnd"/>
      <w:r w:rsidRPr="006B7AF7">
        <w:rPr>
          <w:rFonts w:ascii="宋体" w:eastAsia="宋体" w:hAnsi="宋体" w:cs="宋体"/>
          <w:sz w:val="24"/>
        </w:rPr>
        <w:t>发生质量问题或出现其他故障，接到甲方通知后，乙方的服务响应时间不超过</w:t>
      </w:r>
      <w:r w:rsidRPr="006B7AF7">
        <w:rPr>
          <w:rFonts w:ascii="宋体" w:eastAsia="宋体" w:hAnsi="宋体" w:cs="宋体"/>
          <w:sz w:val="24"/>
          <w:u w:val="single"/>
        </w:rPr>
        <w:t xml:space="preserve">  </w:t>
      </w:r>
      <w:r w:rsidRPr="006B7AF7">
        <w:rPr>
          <w:rFonts w:ascii="宋体" w:eastAsia="宋体" w:hAnsi="宋体" w:cs="宋体"/>
          <w:sz w:val="24"/>
        </w:rPr>
        <w:t>小时，并且在</w:t>
      </w:r>
      <w:r w:rsidRPr="006B7AF7">
        <w:rPr>
          <w:rFonts w:ascii="宋体" w:eastAsia="宋体" w:hAnsi="宋体" w:cs="宋体"/>
          <w:sz w:val="24"/>
          <w:u w:val="single"/>
        </w:rPr>
        <w:t xml:space="preserve">  </w:t>
      </w:r>
      <w:r w:rsidRPr="006B7AF7">
        <w:rPr>
          <w:rFonts w:ascii="宋体" w:eastAsia="宋体" w:hAnsi="宋体" w:cs="宋体"/>
          <w:sz w:val="24"/>
        </w:rPr>
        <w:t>小时内派专业维修人员到达现场，排除故障的期限最长不得超过</w:t>
      </w:r>
      <w:r w:rsidRPr="006B7AF7">
        <w:rPr>
          <w:rFonts w:ascii="宋体" w:eastAsia="宋体" w:hAnsi="宋体" w:cs="宋体"/>
          <w:sz w:val="24"/>
          <w:u w:val="single"/>
        </w:rPr>
        <w:t xml:space="preserve">   .</w:t>
      </w:r>
      <w:proofErr w:type="gramStart"/>
      <w:r w:rsidRPr="006B7AF7">
        <w:rPr>
          <w:rFonts w:ascii="宋体" w:eastAsia="宋体" w:hAnsi="宋体" w:cs="宋体"/>
          <w:sz w:val="24"/>
        </w:rPr>
        <w:t>个</w:t>
      </w:r>
      <w:proofErr w:type="gramEnd"/>
      <w:r w:rsidRPr="006B7AF7">
        <w:rPr>
          <w:rFonts w:ascii="宋体" w:eastAsia="宋体" w:hAnsi="宋体" w:cs="宋体"/>
          <w:sz w:val="24"/>
        </w:rPr>
        <w:t>工作日，否则甲方有权指定第三方维修，维修费用由乙方承担。</w:t>
      </w:r>
    </w:p>
    <w:p w14:paraId="77331823"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14.3 免费提供每周7×24小时不间断的电话支持服务，解答用户在使用过程中遇到的问题，及时提出解决问题的建议和对策。</w:t>
      </w:r>
    </w:p>
    <w:p w14:paraId="7E31FEC8"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14.4 定期派专业维修人员到现场走访，给予检查维护。并向甲方提供巡检单（一式两份，由双方签字确认），内容包含但不限于巡检时间、巡检内容、巡检结果。</w:t>
      </w:r>
    </w:p>
    <w:p w14:paraId="5F083976"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14.5  款项结清前，对所供产品进行一次全面检测、保养和维护。</w:t>
      </w:r>
    </w:p>
    <w:p w14:paraId="599158FB" w14:textId="77777777" w:rsidR="006B7AF7" w:rsidRPr="006B7AF7" w:rsidRDefault="006B7AF7" w:rsidP="006B7AF7">
      <w:pPr>
        <w:adjustRightInd w:val="0"/>
        <w:snapToGrid w:val="0"/>
        <w:spacing w:line="460" w:lineRule="exact"/>
        <w:rPr>
          <w:rFonts w:ascii="宋体" w:eastAsia="宋体" w:hAnsi="宋体" w:cs="宋体"/>
          <w:b/>
          <w:bCs/>
          <w:sz w:val="24"/>
        </w:rPr>
      </w:pPr>
      <w:bookmarkStart w:id="28" w:name="_Toc29588"/>
      <w:bookmarkStart w:id="29" w:name="_Toc9696"/>
      <w:r w:rsidRPr="006B7AF7">
        <w:rPr>
          <w:rFonts w:ascii="宋体" w:eastAsia="宋体" w:hAnsi="宋体" w:cs="宋体"/>
          <w:b/>
          <w:bCs/>
          <w:sz w:val="24"/>
        </w:rPr>
        <w:t>15.违约责任</w:t>
      </w:r>
      <w:bookmarkEnd w:id="28"/>
      <w:bookmarkEnd w:id="29"/>
    </w:p>
    <w:p w14:paraId="380F6B5A"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15.1 本合同若与甲方的上级管理机关的政策性行为或其他规定发生冲突，甲方有权与乙方协商调整合同内容或终止合同执行。</w:t>
      </w:r>
    </w:p>
    <w:p w14:paraId="42963130"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15.2 如乙方所交设备（含选购件）或安装调试与合同标准不相符合，则甲方有权拒收设备（含选购件）、解除本合同、拒付本合同项下的价款并追究乙方违约责任，乙方应返还甲方已支付的全部款项，并按合同总价款的</w:t>
      </w:r>
      <w:r w:rsidRPr="006B7AF7">
        <w:rPr>
          <w:rFonts w:ascii="宋体" w:eastAsia="宋体" w:hAnsi="宋体" w:cs="宋体"/>
          <w:sz w:val="24"/>
          <w:u w:val="single"/>
        </w:rPr>
        <w:t xml:space="preserve">   </w:t>
      </w:r>
      <w:r w:rsidRPr="006B7AF7">
        <w:rPr>
          <w:rFonts w:ascii="宋体" w:eastAsia="宋体" w:hAnsi="宋体" w:cs="宋体"/>
          <w:sz w:val="24"/>
        </w:rPr>
        <w:t>向甲方支付违约金并赔偿甲方因此而遭受的一切损失。</w:t>
      </w:r>
    </w:p>
    <w:p w14:paraId="16E9E1F2"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15.3 在设备（含选购件）验收后的质保期内，乙方应对由于设计、工艺或者材料的缺陷而发生的任何不足或故障负责，并按本合同约定和甲方要求承担维修义务，由此而发生的一切费用由乙方承担，若因此导致甲方不能正常使用设备（含选购件），甲方有权退货并追究乙方违约责任，乙方应返还甲方已支付的全部款项，并按合同总价款的</w:t>
      </w:r>
      <w:r w:rsidRPr="006B7AF7">
        <w:rPr>
          <w:rFonts w:ascii="宋体" w:eastAsia="宋体" w:hAnsi="宋体" w:cs="宋体"/>
          <w:sz w:val="24"/>
          <w:u w:val="single"/>
        </w:rPr>
        <w:t xml:space="preserve">   </w:t>
      </w:r>
      <w:r w:rsidRPr="006B7AF7">
        <w:rPr>
          <w:rFonts w:ascii="宋体" w:eastAsia="宋体" w:hAnsi="宋体" w:cs="宋体"/>
          <w:sz w:val="24"/>
        </w:rPr>
        <w:t>向甲方支付违约金并赔偿甲方因此而遭受的一切损失。</w:t>
      </w:r>
    </w:p>
    <w:p w14:paraId="258DBCC9"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15.4 除发生不可抗力事件（不可抗力事件仅指自然灾害、战争）外，如乙方逾期交货或安装调试逾期，则每逾期一天，乙方按合同总价的</w:t>
      </w:r>
      <w:r w:rsidRPr="006B7AF7">
        <w:rPr>
          <w:rFonts w:ascii="宋体" w:eastAsia="宋体" w:hAnsi="宋体" w:cs="宋体"/>
          <w:sz w:val="24"/>
          <w:u w:val="single"/>
        </w:rPr>
        <w:t xml:space="preserve">   </w:t>
      </w:r>
      <w:r w:rsidRPr="006B7AF7">
        <w:rPr>
          <w:rFonts w:ascii="宋体" w:eastAsia="宋体" w:hAnsi="宋体" w:cs="宋体"/>
          <w:sz w:val="24"/>
        </w:rPr>
        <w:t>向甲方支付违约金，逾期30天，甲方有权解除合同并追究乙方违约责任，乙方应返还甲方已支付的全部款项，并按合同总价款的</w:t>
      </w:r>
      <w:r w:rsidRPr="006B7AF7">
        <w:rPr>
          <w:rFonts w:ascii="宋体" w:eastAsia="宋体" w:hAnsi="宋体" w:cs="宋体"/>
          <w:sz w:val="24"/>
          <w:u w:val="single"/>
        </w:rPr>
        <w:t xml:space="preserve">   </w:t>
      </w:r>
      <w:r w:rsidRPr="006B7AF7">
        <w:rPr>
          <w:rFonts w:ascii="宋体" w:eastAsia="宋体" w:hAnsi="宋体" w:cs="宋体"/>
          <w:sz w:val="24"/>
        </w:rPr>
        <w:t>向甲方支付违约金并赔偿甲方因此而遭受的一切损失。</w:t>
      </w:r>
    </w:p>
    <w:p w14:paraId="49902384"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15.5 保修期内，如乙方未按本合同约定提供保修服务，由甲方有权追究乙方违约责任，乙方应按合同总价款的</w:t>
      </w:r>
      <w:r w:rsidRPr="006B7AF7">
        <w:rPr>
          <w:rFonts w:ascii="宋体" w:eastAsia="宋体" w:hAnsi="宋体" w:cs="宋体"/>
          <w:sz w:val="24"/>
          <w:u w:val="single"/>
        </w:rPr>
        <w:t xml:space="preserve">   </w:t>
      </w:r>
      <w:r w:rsidRPr="006B7AF7">
        <w:rPr>
          <w:rFonts w:ascii="宋体" w:eastAsia="宋体" w:hAnsi="宋体" w:cs="宋体"/>
          <w:sz w:val="24"/>
        </w:rPr>
        <w:t>向甲方支付违约金并赔偿甲方因此而遭受的一切损失。</w:t>
      </w:r>
    </w:p>
    <w:p w14:paraId="39AF5725"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15.6 如乙方出现除上述13.2-13.5条以外的其他违约行为或违反保证与承诺义</w:t>
      </w:r>
      <w:r w:rsidRPr="006B7AF7">
        <w:rPr>
          <w:rFonts w:ascii="宋体" w:eastAsia="宋体" w:hAnsi="宋体" w:cs="宋体"/>
          <w:sz w:val="24"/>
        </w:rPr>
        <w:lastRenderedPageBreak/>
        <w:t>务，应按合同总价款的</w:t>
      </w:r>
      <w:r w:rsidRPr="006B7AF7">
        <w:rPr>
          <w:rFonts w:ascii="宋体" w:eastAsia="宋体" w:hAnsi="宋体" w:cs="宋体"/>
          <w:sz w:val="24"/>
          <w:u w:val="single"/>
        </w:rPr>
        <w:t xml:space="preserve">   </w:t>
      </w:r>
      <w:r w:rsidRPr="006B7AF7">
        <w:rPr>
          <w:rFonts w:ascii="宋体" w:eastAsia="宋体" w:hAnsi="宋体" w:cs="宋体"/>
          <w:sz w:val="24"/>
        </w:rPr>
        <w:t>向甲方支付违约金并赔偿甲方因此而遭受的一切损失。</w:t>
      </w:r>
    </w:p>
    <w:p w14:paraId="16AEF844"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15.7 甲方无正当理由拒收设备，应按合同总价款的</w:t>
      </w:r>
      <w:r w:rsidRPr="006B7AF7">
        <w:rPr>
          <w:rFonts w:ascii="宋体" w:eastAsia="宋体" w:hAnsi="宋体" w:cs="宋体"/>
          <w:sz w:val="24"/>
          <w:u w:val="single"/>
        </w:rPr>
        <w:t xml:space="preserve">   </w:t>
      </w:r>
      <w:r w:rsidRPr="006B7AF7">
        <w:rPr>
          <w:rFonts w:ascii="宋体" w:eastAsia="宋体" w:hAnsi="宋体" w:cs="宋体"/>
          <w:sz w:val="24"/>
        </w:rPr>
        <w:t>向乙方支付违约金以作为对乙方的赔偿。</w:t>
      </w:r>
    </w:p>
    <w:p w14:paraId="517709AA"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15.8 如甲方无正当理由延迟付款，则每延迟一天，甲方按应付而未付款项的</w:t>
      </w:r>
      <w:r w:rsidRPr="006B7AF7">
        <w:rPr>
          <w:rFonts w:ascii="宋体" w:eastAsia="宋体" w:hAnsi="宋体" w:cs="宋体"/>
          <w:sz w:val="24"/>
          <w:u w:val="single"/>
        </w:rPr>
        <w:t xml:space="preserve">   </w:t>
      </w:r>
      <w:r w:rsidRPr="006B7AF7">
        <w:rPr>
          <w:rFonts w:ascii="宋体" w:eastAsia="宋体" w:hAnsi="宋体" w:cs="宋体"/>
          <w:sz w:val="24"/>
        </w:rPr>
        <w:t>向乙方支付逾期的违约金，但逾期付款违约金最多不超过甲方应付而未付金额的</w:t>
      </w:r>
      <w:r w:rsidRPr="006B7AF7">
        <w:rPr>
          <w:rFonts w:ascii="宋体" w:eastAsia="宋体" w:hAnsi="宋体" w:cs="宋体"/>
          <w:sz w:val="24"/>
          <w:u w:val="single"/>
        </w:rPr>
        <w:t xml:space="preserve">   </w:t>
      </w:r>
      <w:r w:rsidRPr="006B7AF7">
        <w:rPr>
          <w:rFonts w:ascii="宋体" w:eastAsia="宋体" w:hAnsi="宋体" w:cs="宋体"/>
          <w:sz w:val="24"/>
        </w:rPr>
        <w:t>，本合同继续履行。</w:t>
      </w:r>
    </w:p>
    <w:p w14:paraId="5EBAAB1A"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15.9 由于不可抗力（不可抗力仅指自然灾害、战争）所导致的违约，根据不可抗力的影响范围，可部分或全部免除违约方的违约责任，但违约方应及时通知对方并在不可抗力事件发生之日起5日内提供符合法律规定的证明文件，否则应赔偿对方因此而遭受的损失。</w:t>
      </w:r>
    </w:p>
    <w:p w14:paraId="3A42F750" w14:textId="77777777" w:rsidR="006B7AF7" w:rsidRPr="006B7AF7" w:rsidRDefault="006B7AF7" w:rsidP="006B7AF7">
      <w:pPr>
        <w:adjustRightInd w:val="0"/>
        <w:snapToGrid w:val="0"/>
        <w:spacing w:line="460" w:lineRule="exact"/>
        <w:rPr>
          <w:rFonts w:ascii="宋体" w:eastAsia="宋体" w:hAnsi="宋体" w:cs="宋体"/>
          <w:b/>
          <w:bCs/>
          <w:sz w:val="24"/>
        </w:rPr>
      </w:pPr>
      <w:bookmarkStart w:id="30" w:name="_Toc18421"/>
      <w:bookmarkStart w:id="31" w:name="_Toc14590"/>
      <w:r w:rsidRPr="006B7AF7">
        <w:rPr>
          <w:rFonts w:ascii="宋体" w:eastAsia="宋体" w:hAnsi="宋体" w:cs="宋体"/>
          <w:b/>
          <w:bCs/>
          <w:sz w:val="24"/>
        </w:rPr>
        <w:t>16.保密条款</w:t>
      </w:r>
      <w:bookmarkEnd w:id="30"/>
      <w:bookmarkEnd w:id="31"/>
    </w:p>
    <w:p w14:paraId="36167CFF"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甲、乙双方对本合同履行过程中获得的对方的资料数据、商业技术信息等承担保密责任。未经对方事先书面同意，任何一方不得以任何形式向第三方泄露。本合同的解除或终止，</w:t>
      </w:r>
      <w:proofErr w:type="gramStart"/>
      <w:r w:rsidRPr="006B7AF7">
        <w:rPr>
          <w:rFonts w:ascii="宋体" w:eastAsia="宋体" w:hAnsi="宋体" w:cs="宋体"/>
          <w:sz w:val="24"/>
        </w:rPr>
        <w:t>不</w:t>
      </w:r>
      <w:proofErr w:type="gramEnd"/>
      <w:r w:rsidRPr="006B7AF7">
        <w:rPr>
          <w:rFonts w:ascii="宋体" w:eastAsia="宋体" w:hAnsi="宋体" w:cs="宋体"/>
          <w:sz w:val="24"/>
        </w:rPr>
        <w:t>免除双方对本保密条款的遵守。</w:t>
      </w:r>
    </w:p>
    <w:p w14:paraId="17C620AD" w14:textId="77777777" w:rsidR="006B7AF7" w:rsidRPr="006B7AF7" w:rsidRDefault="006B7AF7" w:rsidP="006B7AF7">
      <w:pPr>
        <w:adjustRightInd w:val="0"/>
        <w:snapToGrid w:val="0"/>
        <w:spacing w:line="460" w:lineRule="exact"/>
        <w:rPr>
          <w:rFonts w:ascii="宋体" w:eastAsia="宋体" w:hAnsi="宋体" w:cs="宋体"/>
          <w:b/>
          <w:bCs/>
          <w:sz w:val="24"/>
        </w:rPr>
      </w:pPr>
      <w:bookmarkStart w:id="32" w:name="_Toc18460"/>
      <w:bookmarkStart w:id="33" w:name="_Toc24354"/>
      <w:r w:rsidRPr="006B7AF7">
        <w:rPr>
          <w:rFonts w:ascii="宋体" w:eastAsia="宋体" w:hAnsi="宋体" w:cs="宋体"/>
          <w:b/>
          <w:bCs/>
          <w:sz w:val="24"/>
        </w:rPr>
        <w:t>17.合同</w:t>
      </w:r>
      <w:bookmarkEnd w:id="32"/>
      <w:bookmarkEnd w:id="33"/>
      <w:r w:rsidRPr="006B7AF7">
        <w:rPr>
          <w:rFonts w:ascii="宋体" w:eastAsia="宋体" w:hAnsi="宋体" w:cs="宋体"/>
          <w:b/>
          <w:bCs/>
          <w:sz w:val="24"/>
        </w:rPr>
        <w:t>履行</w:t>
      </w:r>
    </w:p>
    <w:p w14:paraId="26E03EC0"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除《中华人民共和国政府采购法》第49条、第50条第二款规定的情形外，本合同一经签订，甲乙双方不得擅自变更、中止或终止合同。</w:t>
      </w:r>
    </w:p>
    <w:p w14:paraId="03D4248B" w14:textId="77777777" w:rsidR="006B7AF7" w:rsidRPr="006B7AF7" w:rsidRDefault="006B7AF7" w:rsidP="006B7AF7">
      <w:pPr>
        <w:adjustRightInd w:val="0"/>
        <w:snapToGrid w:val="0"/>
        <w:spacing w:line="460" w:lineRule="exact"/>
        <w:rPr>
          <w:rFonts w:ascii="宋体" w:eastAsia="宋体" w:hAnsi="宋体" w:cs="宋体"/>
          <w:b/>
          <w:bCs/>
          <w:sz w:val="24"/>
        </w:rPr>
      </w:pPr>
      <w:bookmarkStart w:id="34" w:name="_Toc23231"/>
      <w:bookmarkStart w:id="35" w:name="_Toc2019"/>
      <w:r w:rsidRPr="006B7AF7">
        <w:rPr>
          <w:rFonts w:ascii="宋体" w:eastAsia="宋体" w:hAnsi="宋体" w:cs="宋体"/>
          <w:b/>
          <w:bCs/>
          <w:sz w:val="24"/>
        </w:rPr>
        <w:t>18.合同争议解决的方式</w:t>
      </w:r>
      <w:bookmarkEnd w:id="34"/>
      <w:bookmarkEnd w:id="35"/>
    </w:p>
    <w:p w14:paraId="7C8AA556"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18.1 因货物的质量问题发生争议，由质量技术监督部门或其指定的质量鉴定机构进行质量鉴定。货物符合标准的，鉴定费由甲方承担；货物不符合质量标准的，鉴定费由乙方承担。</w:t>
      </w:r>
    </w:p>
    <w:p w14:paraId="6DF5C0F6"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18.2 因履行本合同引起的或与本合同有关的争议，甲、乙双方应首先通过友好协商解决，如果协商不成，则采取以下第</w:t>
      </w:r>
      <w:r w:rsidRPr="006B7AF7">
        <w:rPr>
          <w:rFonts w:ascii="宋体" w:eastAsia="宋体" w:hAnsi="宋体" w:cs="宋体"/>
          <w:sz w:val="24"/>
          <w:u w:val="single"/>
        </w:rPr>
        <w:t xml:space="preserve">   </w:t>
      </w:r>
      <w:r w:rsidRPr="006B7AF7">
        <w:rPr>
          <w:rFonts w:ascii="宋体" w:eastAsia="宋体" w:hAnsi="宋体" w:cs="宋体"/>
          <w:sz w:val="24"/>
        </w:rPr>
        <w:t>种方式解决争议：</w:t>
      </w:r>
    </w:p>
    <w:p w14:paraId="07F88CCA"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18.2.1 向甲方所在地有管辖权的人民法院提起诉讼；</w:t>
      </w:r>
    </w:p>
    <w:p w14:paraId="653DD8C1"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18.2.2 向西安仲裁委员会按其仲裁规则申请仲裁。</w:t>
      </w:r>
    </w:p>
    <w:p w14:paraId="10B146DF"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18.3 仲裁期间，本合同应继续履行。</w:t>
      </w:r>
    </w:p>
    <w:p w14:paraId="7BF89BEB" w14:textId="77777777" w:rsidR="006B7AF7" w:rsidRPr="006B7AF7" w:rsidRDefault="006B7AF7" w:rsidP="006B7AF7">
      <w:pPr>
        <w:adjustRightInd w:val="0"/>
        <w:snapToGrid w:val="0"/>
        <w:spacing w:line="460" w:lineRule="exact"/>
        <w:rPr>
          <w:rFonts w:ascii="宋体" w:eastAsia="宋体" w:hAnsi="宋体" w:cs="宋体"/>
          <w:b/>
          <w:bCs/>
          <w:sz w:val="24"/>
        </w:rPr>
      </w:pPr>
      <w:bookmarkStart w:id="36" w:name="_Toc23719"/>
      <w:bookmarkStart w:id="37" w:name="_Toc3946"/>
      <w:r w:rsidRPr="006B7AF7">
        <w:rPr>
          <w:rFonts w:ascii="宋体" w:eastAsia="宋体" w:hAnsi="宋体" w:cs="宋体"/>
          <w:b/>
          <w:bCs/>
          <w:sz w:val="24"/>
        </w:rPr>
        <w:t>19.合同文件</w:t>
      </w:r>
      <w:bookmarkEnd w:id="36"/>
      <w:bookmarkEnd w:id="37"/>
    </w:p>
    <w:p w14:paraId="0B828E72"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详细技术说明及其他有关合同项目的特定信息由合同附件予以说明，下列文件构成本合同的组成部分，应该认为是一个整体，彼此相互解释，相互补充。组成合同的多个文件的优先支配地位的次序如下：</w:t>
      </w:r>
    </w:p>
    <w:p w14:paraId="2A9F597F"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lastRenderedPageBreak/>
        <w:t>19.1 本合同书</w:t>
      </w:r>
    </w:p>
    <w:p w14:paraId="3E392BD0"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19.2 中标通知书</w:t>
      </w:r>
      <w:r w:rsidRPr="006B7AF7">
        <w:rPr>
          <w:rFonts w:ascii="宋体" w:eastAsia="宋体" w:hAnsi="宋体" w:cs="宋体"/>
          <w:sz w:val="24"/>
        </w:rPr>
        <w:tab/>
      </w:r>
    </w:p>
    <w:p w14:paraId="325299C3"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19.3 协议</w:t>
      </w:r>
    </w:p>
    <w:p w14:paraId="25E1A775"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19.4 招标文件(含澄清或者修改文件)</w:t>
      </w:r>
    </w:p>
    <w:p w14:paraId="5CE1F045"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19.5 投标文件</w:t>
      </w:r>
    </w:p>
    <w:p w14:paraId="62CB6CD1" w14:textId="77777777" w:rsidR="006B7AF7" w:rsidRPr="006B7AF7" w:rsidRDefault="006B7AF7" w:rsidP="006B7AF7">
      <w:pPr>
        <w:adjustRightInd w:val="0"/>
        <w:snapToGrid w:val="0"/>
        <w:spacing w:line="460" w:lineRule="exact"/>
        <w:rPr>
          <w:rFonts w:ascii="宋体" w:eastAsia="宋体" w:hAnsi="宋体" w:cs="宋体"/>
          <w:b/>
          <w:bCs/>
          <w:sz w:val="24"/>
        </w:rPr>
      </w:pPr>
      <w:bookmarkStart w:id="38" w:name="_Toc21719"/>
      <w:bookmarkStart w:id="39" w:name="_Toc16981"/>
      <w:r w:rsidRPr="006B7AF7">
        <w:rPr>
          <w:rFonts w:ascii="宋体" w:eastAsia="宋体" w:hAnsi="宋体" w:cs="宋体"/>
          <w:b/>
          <w:bCs/>
          <w:sz w:val="24"/>
        </w:rPr>
        <w:t>20.其他事项</w:t>
      </w:r>
      <w:bookmarkEnd w:id="38"/>
      <w:bookmarkEnd w:id="39"/>
    </w:p>
    <w:p w14:paraId="311A8164"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20.1 陕西省财政厅在合同的履行期间以及履行期后，可以随时检查项目的执行情况，对采购标准、采购内容进行调查核实，并对发现的问题进行处理。</w:t>
      </w:r>
    </w:p>
    <w:p w14:paraId="60E2AFA5"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20.2知识产权归属和处理方式：权利受侵害时，可先与侵权方协商解决；协商不成可请求知识产权行政管理部门行政处理，或向法院提起诉讼要求停止侵害、赔偿损失等。</w:t>
      </w:r>
    </w:p>
    <w:p w14:paraId="7379305E"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20.3乙方应根据公开招标文件要求向采购代理机构交纳代理服务费并取得甲方的签章后，合同才正式生效。</w:t>
      </w:r>
    </w:p>
    <w:p w14:paraId="0B4187C7"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20.4 本合同一式</w:t>
      </w:r>
      <w:r w:rsidRPr="006B7AF7">
        <w:rPr>
          <w:rFonts w:ascii="宋体" w:eastAsia="宋体" w:hAnsi="宋体" w:cs="宋体"/>
          <w:sz w:val="24"/>
          <w:u w:val="single"/>
        </w:rPr>
        <w:t xml:space="preserve">   </w:t>
      </w:r>
      <w:r w:rsidRPr="006B7AF7">
        <w:rPr>
          <w:rFonts w:ascii="宋体" w:eastAsia="宋体" w:hAnsi="宋体" w:cs="宋体"/>
          <w:sz w:val="24"/>
        </w:rPr>
        <w:t>份，甲方</w:t>
      </w:r>
      <w:r w:rsidRPr="006B7AF7">
        <w:rPr>
          <w:rFonts w:ascii="宋体" w:eastAsia="宋体" w:hAnsi="宋体" w:cs="宋体"/>
          <w:sz w:val="24"/>
          <w:u w:val="single"/>
        </w:rPr>
        <w:t xml:space="preserve">   </w:t>
      </w:r>
      <w:r w:rsidRPr="006B7AF7">
        <w:rPr>
          <w:rFonts w:ascii="宋体" w:eastAsia="宋体" w:hAnsi="宋体" w:cs="宋体"/>
          <w:sz w:val="24"/>
        </w:rPr>
        <w:t>份，乙方</w:t>
      </w:r>
      <w:r w:rsidRPr="006B7AF7">
        <w:rPr>
          <w:rFonts w:ascii="宋体" w:eastAsia="宋体" w:hAnsi="宋体" w:cs="宋体"/>
          <w:sz w:val="24"/>
          <w:u w:val="single"/>
        </w:rPr>
        <w:t xml:space="preserve">   </w:t>
      </w:r>
      <w:r w:rsidRPr="006B7AF7">
        <w:rPr>
          <w:rFonts w:ascii="宋体" w:eastAsia="宋体" w:hAnsi="宋体" w:cs="宋体"/>
          <w:sz w:val="24"/>
        </w:rPr>
        <w:t>份，采购代理机构</w:t>
      </w:r>
      <w:r w:rsidRPr="006B7AF7">
        <w:rPr>
          <w:rFonts w:ascii="宋体" w:eastAsia="宋体" w:hAnsi="宋体" w:cs="宋体"/>
          <w:sz w:val="24"/>
          <w:u w:val="single"/>
        </w:rPr>
        <w:t xml:space="preserve"> 壹 </w:t>
      </w:r>
      <w:r w:rsidRPr="006B7AF7">
        <w:rPr>
          <w:rFonts w:ascii="宋体" w:eastAsia="宋体" w:hAnsi="宋体" w:cs="宋体"/>
          <w:sz w:val="24"/>
        </w:rPr>
        <w:t>份。。</w:t>
      </w:r>
    </w:p>
    <w:p w14:paraId="6C029A0F"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20.5 本合同未尽事项，补充合同内容。</w:t>
      </w:r>
    </w:p>
    <w:p w14:paraId="3ADD1734"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（以下无正文）</w:t>
      </w:r>
    </w:p>
    <w:p w14:paraId="4ECFF324" w14:textId="77777777" w:rsidR="006B7AF7" w:rsidRPr="006B7AF7" w:rsidRDefault="006B7AF7" w:rsidP="006B7AF7">
      <w:pPr>
        <w:adjustRightInd w:val="0"/>
        <w:snapToGrid w:val="0"/>
        <w:spacing w:line="460" w:lineRule="exact"/>
        <w:rPr>
          <w:rFonts w:ascii="宋体" w:eastAsia="宋体" w:hAnsi="宋体" w:cs="宋体"/>
          <w:sz w:val="24"/>
        </w:rPr>
      </w:pPr>
    </w:p>
    <w:tbl>
      <w:tblPr>
        <w:tblpPr w:leftFromText="180" w:rightFromText="180" w:vertAnchor="text" w:horzAnchor="margin" w:tblpY="782"/>
        <w:tblW w:w="4800" w:type="pct"/>
        <w:tblLook w:val="04A0" w:firstRow="1" w:lastRow="0" w:firstColumn="1" w:lastColumn="0" w:noHBand="0" w:noVBand="1"/>
      </w:tblPr>
      <w:tblGrid>
        <w:gridCol w:w="3985"/>
        <w:gridCol w:w="3989"/>
      </w:tblGrid>
      <w:tr w:rsidR="006B7AF7" w:rsidRPr="006B7AF7" w14:paraId="4113B030" w14:textId="77777777">
        <w:trPr>
          <w:trHeight w:val="437"/>
        </w:trPr>
        <w:tc>
          <w:tcPr>
            <w:tcW w:w="2499" w:type="pct"/>
            <w:vAlign w:val="center"/>
            <w:hideMark/>
          </w:tcPr>
          <w:p w14:paraId="1AAF9056"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甲方:        （盖章）</w:t>
            </w:r>
          </w:p>
        </w:tc>
        <w:tc>
          <w:tcPr>
            <w:tcW w:w="2501" w:type="pct"/>
            <w:vAlign w:val="center"/>
            <w:hideMark/>
          </w:tcPr>
          <w:p w14:paraId="5C40E811"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乙方:         （盖章）</w:t>
            </w:r>
          </w:p>
        </w:tc>
      </w:tr>
      <w:tr w:rsidR="006B7AF7" w:rsidRPr="006B7AF7" w14:paraId="7873D78E" w14:textId="77777777">
        <w:trPr>
          <w:trHeight w:val="437"/>
        </w:trPr>
        <w:tc>
          <w:tcPr>
            <w:tcW w:w="2499" w:type="pct"/>
            <w:vAlign w:val="center"/>
            <w:hideMark/>
          </w:tcPr>
          <w:p w14:paraId="2B5AFD60"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 xml:space="preserve">地址： </w:t>
            </w:r>
          </w:p>
        </w:tc>
        <w:tc>
          <w:tcPr>
            <w:tcW w:w="2501" w:type="pct"/>
            <w:vAlign w:val="center"/>
            <w:hideMark/>
          </w:tcPr>
          <w:p w14:paraId="5CB720D8"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地址：</w:t>
            </w:r>
          </w:p>
        </w:tc>
      </w:tr>
      <w:tr w:rsidR="006B7AF7" w:rsidRPr="006B7AF7" w14:paraId="0D900B1E" w14:textId="77777777">
        <w:trPr>
          <w:trHeight w:val="437"/>
        </w:trPr>
        <w:tc>
          <w:tcPr>
            <w:tcW w:w="2499" w:type="pct"/>
            <w:vAlign w:val="center"/>
            <w:hideMark/>
          </w:tcPr>
          <w:p w14:paraId="0F2161AB"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邮编：</w:t>
            </w:r>
          </w:p>
        </w:tc>
        <w:tc>
          <w:tcPr>
            <w:tcW w:w="2501" w:type="pct"/>
            <w:vAlign w:val="center"/>
            <w:hideMark/>
          </w:tcPr>
          <w:p w14:paraId="0EAC92FF"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邮编：</w:t>
            </w:r>
          </w:p>
        </w:tc>
      </w:tr>
      <w:tr w:rsidR="006B7AF7" w:rsidRPr="006B7AF7" w14:paraId="5B148BA7" w14:textId="77777777">
        <w:trPr>
          <w:trHeight w:val="1095"/>
        </w:trPr>
        <w:tc>
          <w:tcPr>
            <w:tcW w:w="2499" w:type="pct"/>
          </w:tcPr>
          <w:p w14:paraId="6A074680"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法定代表人（签字或盖章）：</w:t>
            </w:r>
          </w:p>
          <w:p w14:paraId="34289D14" w14:textId="77777777" w:rsidR="006B7AF7" w:rsidRPr="006B7AF7" w:rsidRDefault="006B7AF7" w:rsidP="006B7AF7">
            <w:pPr>
              <w:adjustRightInd w:val="0"/>
              <w:snapToGrid w:val="0"/>
              <w:spacing w:line="460" w:lineRule="exact"/>
              <w:rPr>
                <w:rFonts w:ascii="宋体" w:eastAsia="宋体" w:hAnsi="宋体" w:cs="宋体"/>
                <w:sz w:val="24"/>
              </w:rPr>
            </w:pPr>
          </w:p>
        </w:tc>
        <w:tc>
          <w:tcPr>
            <w:tcW w:w="2501" w:type="pct"/>
            <w:hideMark/>
          </w:tcPr>
          <w:p w14:paraId="151ED66B"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法定代表人（签字或盖章）：</w:t>
            </w:r>
          </w:p>
        </w:tc>
      </w:tr>
      <w:tr w:rsidR="006B7AF7" w:rsidRPr="006B7AF7" w14:paraId="1A60862E" w14:textId="77777777">
        <w:trPr>
          <w:trHeight w:val="657"/>
        </w:trPr>
        <w:tc>
          <w:tcPr>
            <w:tcW w:w="2499" w:type="pct"/>
            <w:hideMark/>
          </w:tcPr>
          <w:p w14:paraId="3E3E7C21"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被授权代表：（签字）</w:t>
            </w:r>
          </w:p>
        </w:tc>
        <w:tc>
          <w:tcPr>
            <w:tcW w:w="2501" w:type="pct"/>
            <w:hideMark/>
          </w:tcPr>
          <w:p w14:paraId="7E2CDE7E"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被授权代表：（签字）</w:t>
            </w:r>
          </w:p>
        </w:tc>
      </w:tr>
      <w:tr w:rsidR="006B7AF7" w:rsidRPr="006B7AF7" w14:paraId="2E781882" w14:textId="77777777">
        <w:trPr>
          <w:trHeight w:val="437"/>
        </w:trPr>
        <w:tc>
          <w:tcPr>
            <w:tcW w:w="2499" w:type="pct"/>
            <w:vAlign w:val="center"/>
            <w:hideMark/>
          </w:tcPr>
          <w:p w14:paraId="040856AD"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电话：</w:t>
            </w:r>
          </w:p>
        </w:tc>
        <w:tc>
          <w:tcPr>
            <w:tcW w:w="2501" w:type="pct"/>
            <w:vAlign w:val="center"/>
            <w:hideMark/>
          </w:tcPr>
          <w:p w14:paraId="4EF1D4A8"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电话：</w:t>
            </w:r>
          </w:p>
        </w:tc>
      </w:tr>
      <w:tr w:rsidR="006B7AF7" w:rsidRPr="006B7AF7" w14:paraId="4911AEDC" w14:textId="77777777">
        <w:trPr>
          <w:trHeight w:val="437"/>
        </w:trPr>
        <w:tc>
          <w:tcPr>
            <w:tcW w:w="2499" w:type="pct"/>
            <w:vAlign w:val="center"/>
            <w:hideMark/>
          </w:tcPr>
          <w:p w14:paraId="50510725"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传真：</w:t>
            </w:r>
          </w:p>
        </w:tc>
        <w:tc>
          <w:tcPr>
            <w:tcW w:w="2501" w:type="pct"/>
            <w:vAlign w:val="center"/>
            <w:hideMark/>
          </w:tcPr>
          <w:p w14:paraId="4F8C0110"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传真：</w:t>
            </w:r>
          </w:p>
        </w:tc>
      </w:tr>
      <w:tr w:rsidR="006B7AF7" w:rsidRPr="006B7AF7" w14:paraId="18FCE423" w14:textId="77777777">
        <w:trPr>
          <w:trHeight w:val="437"/>
        </w:trPr>
        <w:tc>
          <w:tcPr>
            <w:tcW w:w="2499" w:type="pct"/>
            <w:vAlign w:val="center"/>
            <w:hideMark/>
          </w:tcPr>
          <w:p w14:paraId="466E04EA"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开户银行：</w:t>
            </w:r>
          </w:p>
        </w:tc>
        <w:tc>
          <w:tcPr>
            <w:tcW w:w="2501" w:type="pct"/>
            <w:vAlign w:val="center"/>
            <w:hideMark/>
          </w:tcPr>
          <w:p w14:paraId="05BF5A6E"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开户银行：</w:t>
            </w:r>
          </w:p>
        </w:tc>
      </w:tr>
      <w:tr w:rsidR="006B7AF7" w:rsidRPr="006B7AF7" w14:paraId="69486A16" w14:textId="77777777">
        <w:trPr>
          <w:trHeight w:val="437"/>
        </w:trPr>
        <w:tc>
          <w:tcPr>
            <w:tcW w:w="2499" w:type="pct"/>
            <w:vAlign w:val="center"/>
            <w:hideMark/>
          </w:tcPr>
          <w:p w14:paraId="38C8D2B4"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账号:</w:t>
            </w:r>
          </w:p>
        </w:tc>
        <w:tc>
          <w:tcPr>
            <w:tcW w:w="2501" w:type="pct"/>
            <w:vAlign w:val="center"/>
            <w:hideMark/>
          </w:tcPr>
          <w:p w14:paraId="0B4821E1"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账号:</w:t>
            </w:r>
          </w:p>
        </w:tc>
      </w:tr>
      <w:tr w:rsidR="006B7AF7" w:rsidRPr="006B7AF7" w14:paraId="41CB11BE" w14:textId="77777777">
        <w:trPr>
          <w:trHeight w:val="437"/>
        </w:trPr>
        <w:tc>
          <w:tcPr>
            <w:tcW w:w="2499" w:type="pct"/>
            <w:vAlign w:val="center"/>
            <w:hideMark/>
          </w:tcPr>
          <w:p w14:paraId="1A1AB46C"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lastRenderedPageBreak/>
              <w:t>日期：       年   月   日</w:t>
            </w:r>
          </w:p>
        </w:tc>
        <w:tc>
          <w:tcPr>
            <w:tcW w:w="2501" w:type="pct"/>
            <w:vAlign w:val="center"/>
            <w:hideMark/>
          </w:tcPr>
          <w:p w14:paraId="0D885254" w14:textId="77777777" w:rsidR="006B7AF7" w:rsidRPr="006B7AF7" w:rsidRDefault="006B7AF7" w:rsidP="006B7AF7">
            <w:pPr>
              <w:adjustRightInd w:val="0"/>
              <w:snapToGrid w:val="0"/>
              <w:spacing w:line="460" w:lineRule="exact"/>
              <w:rPr>
                <w:rFonts w:ascii="宋体" w:eastAsia="宋体" w:hAnsi="宋体" w:cs="宋体"/>
                <w:sz w:val="24"/>
              </w:rPr>
            </w:pPr>
            <w:r w:rsidRPr="006B7AF7">
              <w:rPr>
                <w:rFonts w:ascii="宋体" w:eastAsia="宋体" w:hAnsi="宋体" w:cs="宋体"/>
                <w:sz w:val="24"/>
              </w:rPr>
              <w:t>日期：      年   月   日</w:t>
            </w:r>
          </w:p>
        </w:tc>
      </w:tr>
    </w:tbl>
    <w:p w14:paraId="26748CD4" w14:textId="77777777" w:rsidR="006B7AF7" w:rsidRPr="006B7AF7" w:rsidRDefault="006B7AF7" w:rsidP="006B7AF7">
      <w:pPr>
        <w:adjustRightInd w:val="0"/>
        <w:snapToGrid w:val="0"/>
        <w:spacing w:line="460" w:lineRule="exact"/>
        <w:rPr>
          <w:rFonts w:ascii="宋体" w:eastAsia="宋体" w:hAnsi="宋体" w:cs="宋体"/>
          <w:sz w:val="24"/>
        </w:rPr>
      </w:pPr>
    </w:p>
    <w:p w14:paraId="604B5C95" w14:textId="77777777" w:rsidR="006B7AF7" w:rsidRPr="006B7AF7" w:rsidRDefault="006B7AF7" w:rsidP="006B7AF7">
      <w:pPr>
        <w:adjustRightInd w:val="0"/>
        <w:snapToGrid w:val="0"/>
        <w:spacing w:line="460" w:lineRule="exact"/>
        <w:rPr>
          <w:rFonts w:ascii="宋体" w:eastAsia="宋体" w:hAnsi="宋体" w:cs="宋体"/>
          <w:sz w:val="24"/>
        </w:rPr>
      </w:pPr>
    </w:p>
    <w:p w14:paraId="462BA97A" w14:textId="77777777" w:rsidR="006B7AF7" w:rsidRPr="006B7AF7" w:rsidRDefault="006B7AF7" w:rsidP="006B7AF7">
      <w:pPr>
        <w:adjustRightInd w:val="0"/>
        <w:snapToGrid w:val="0"/>
        <w:spacing w:line="460" w:lineRule="exact"/>
        <w:rPr>
          <w:rFonts w:ascii="宋体" w:eastAsia="宋体" w:hAnsi="宋体" w:cs="宋体"/>
          <w:sz w:val="24"/>
        </w:rPr>
      </w:pPr>
    </w:p>
    <w:p w14:paraId="14119600" w14:textId="77777777" w:rsidR="006B7AF7" w:rsidRPr="006B7AF7" w:rsidRDefault="006B7AF7" w:rsidP="006B7AF7">
      <w:pPr>
        <w:adjustRightInd w:val="0"/>
        <w:snapToGrid w:val="0"/>
        <w:spacing w:line="460" w:lineRule="exact"/>
        <w:rPr>
          <w:rFonts w:ascii="宋体" w:eastAsia="宋体" w:hAnsi="宋体" w:cs="宋体"/>
          <w:sz w:val="24"/>
        </w:rPr>
      </w:pPr>
    </w:p>
    <w:p w14:paraId="01B427F7" w14:textId="77777777" w:rsidR="006B7AF7" w:rsidRPr="006B7AF7" w:rsidRDefault="006B7AF7" w:rsidP="006B7AF7">
      <w:pPr>
        <w:adjustRightInd w:val="0"/>
        <w:snapToGrid w:val="0"/>
        <w:spacing w:line="460" w:lineRule="exact"/>
        <w:rPr>
          <w:rFonts w:ascii="宋体" w:eastAsia="宋体" w:hAnsi="宋体" w:cs="宋体"/>
          <w:sz w:val="24"/>
        </w:rPr>
      </w:pPr>
    </w:p>
    <w:p w14:paraId="2336B4AF" w14:textId="33AA0C3A" w:rsidR="005C3975" w:rsidRPr="00D162AD" w:rsidRDefault="005C3975" w:rsidP="006B7AF7">
      <w:pPr>
        <w:adjustRightInd w:val="0"/>
        <w:snapToGrid w:val="0"/>
        <w:spacing w:line="460" w:lineRule="exact"/>
        <w:rPr>
          <w:rFonts w:ascii="宋体" w:eastAsia="宋体" w:hAnsi="宋体" w:hint="eastAsia"/>
        </w:rPr>
      </w:pPr>
    </w:p>
    <w:sectPr w:rsidR="005C3975" w:rsidRPr="00D162A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E2932" w14:textId="77777777" w:rsidR="00651810" w:rsidRDefault="00651810" w:rsidP="006B766F">
      <w:pPr>
        <w:rPr>
          <w:rFonts w:hint="eastAsia"/>
        </w:rPr>
      </w:pPr>
      <w:r>
        <w:separator/>
      </w:r>
    </w:p>
  </w:endnote>
  <w:endnote w:type="continuationSeparator" w:id="0">
    <w:p w14:paraId="16B62D82" w14:textId="77777777" w:rsidR="00651810" w:rsidRDefault="00651810" w:rsidP="006B766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C2E96" w14:textId="77777777" w:rsidR="00651810" w:rsidRDefault="00651810" w:rsidP="006B766F">
      <w:pPr>
        <w:rPr>
          <w:rFonts w:hint="eastAsia"/>
        </w:rPr>
      </w:pPr>
      <w:r>
        <w:separator/>
      </w:r>
    </w:p>
  </w:footnote>
  <w:footnote w:type="continuationSeparator" w:id="0">
    <w:p w14:paraId="04C99217" w14:textId="77777777" w:rsidR="00651810" w:rsidRDefault="00651810" w:rsidP="006B766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4A9A319"/>
    <w:multiLevelType w:val="singleLevel"/>
    <w:tmpl w:val="94A9A319"/>
    <w:lvl w:ilvl="0">
      <w:start w:val="7"/>
      <w:numFmt w:val="chineseCounting"/>
      <w:suff w:val="space"/>
      <w:lvlText w:val="第%1条"/>
      <w:lvlJc w:val="left"/>
      <w:rPr>
        <w:rFonts w:cs="Times New Roman" w:hint="eastAsia"/>
      </w:rPr>
    </w:lvl>
  </w:abstractNum>
  <w:abstractNum w:abstractNumId="1" w15:restartNumberingAfterBreak="0">
    <w:nsid w:val="E98D8CA3"/>
    <w:multiLevelType w:val="singleLevel"/>
    <w:tmpl w:val="E98D8CA3"/>
    <w:lvl w:ilvl="0">
      <w:start w:val="6"/>
      <w:numFmt w:val="chineseCounting"/>
      <w:suff w:val="space"/>
      <w:lvlText w:val="第%1条"/>
      <w:lvlJc w:val="left"/>
      <w:rPr>
        <w:rFonts w:cs="Times New Roman" w:hint="eastAsia"/>
      </w:rPr>
    </w:lvl>
  </w:abstractNum>
  <w:num w:numId="1" w16cid:durableId="274142014">
    <w:abstractNumId w:val="1"/>
  </w:num>
  <w:num w:numId="2" w16cid:durableId="7232560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429"/>
    <w:rsid w:val="00047E5B"/>
    <w:rsid w:val="000A059B"/>
    <w:rsid w:val="001964EF"/>
    <w:rsid w:val="001A2CB2"/>
    <w:rsid w:val="0022117F"/>
    <w:rsid w:val="00236D95"/>
    <w:rsid w:val="002C104F"/>
    <w:rsid w:val="002D7E3E"/>
    <w:rsid w:val="002E1F82"/>
    <w:rsid w:val="002F2999"/>
    <w:rsid w:val="00340DB5"/>
    <w:rsid w:val="00353417"/>
    <w:rsid w:val="003564A6"/>
    <w:rsid w:val="00383297"/>
    <w:rsid w:val="004F4E34"/>
    <w:rsid w:val="00515B70"/>
    <w:rsid w:val="0054048F"/>
    <w:rsid w:val="005C3975"/>
    <w:rsid w:val="00651810"/>
    <w:rsid w:val="00693992"/>
    <w:rsid w:val="006B11E3"/>
    <w:rsid w:val="006B766F"/>
    <w:rsid w:val="006B7AF7"/>
    <w:rsid w:val="006D55EF"/>
    <w:rsid w:val="00845E01"/>
    <w:rsid w:val="00863958"/>
    <w:rsid w:val="008A576A"/>
    <w:rsid w:val="00923568"/>
    <w:rsid w:val="009437B1"/>
    <w:rsid w:val="00967C15"/>
    <w:rsid w:val="0098750C"/>
    <w:rsid w:val="00A77008"/>
    <w:rsid w:val="00B16710"/>
    <w:rsid w:val="00B52EFD"/>
    <w:rsid w:val="00B91137"/>
    <w:rsid w:val="00BE1429"/>
    <w:rsid w:val="00BF7822"/>
    <w:rsid w:val="00C57F89"/>
    <w:rsid w:val="00C66DE0"/>
    <w:rsid w:val="00C86C78"/>
    <w:rsid w:val="00D07C0E"/>
    <w:rsid w:val="00D162AD"/>
    <w:rsid w:val="00E51ED7"/>
    <w:rsid w:val="00E55784"/>
    <w:rsid w:val="00ED699A"/>
    <w:rsid w:val="00ED70E0"/>
    <w:rsid w:val="00F32569"/>
    <w:rsid w:val="00FA638E"/>
    <w:rsid w:val="00FC7E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DBBD28"/>
  <w15:chartTrackingRefBased/>
  <w15:docId w15:val="{DCB83256-8790-4A5F-B6D1-823449300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766F"/>
    <w:pPr>
      <w:widowControl w:val="0"/>
      <w:jc w:val="both"/>
    </w:pPr>
    <w:rPr>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B766F"/>
    <w:pPr>
      <w:tabs>
        <w:tab w:val="center" w:pos="4153"/>
        <w:tab w:val="right" w:pos="8306"/>
      </w:tabs>
      <w:snapToGrid w:val="0"/>
      <w:jc w:val="center"/>
    </w:pPr>
    <w:rPr>
      <w:sz w:val="18"/>
      <w:szCs w:val="18"/>
    </w:rPr>
  </w:style>
  <w:style w:type="character" w:customStyle="1" w:styleId="a4">
    <w:name w:val="页眉 字符"/>
    <w:basedOn w:val="a0"/>
    <w:link w:val="a3"/>
    <w:uiPriority w:val="99"/>
    <w:rsid w:val="006B766F"/>
    <w:rPr>
      <w:sz w:val="18"/>
      <w:szCs w:val="18"/>
    </w:rPr>
  </w:style>
  <w:style w:type="paragraph" w:styleId="a5">
    <w:name w:val="footer"/>
    <w:basedOn w:val="a"/>
    <w:link w:val="a6"/>
    <w:uiPriority w:val="99"/>
    <w:unhideWhenUsed/>
    <w:rsid w:val="006B766F"/>
    <w:pPr>
      <w:tabs>
        <w:tab w:val="center" w:pos="4153"/>
        <w:tab w:val="right" w:pos="8306"/>
      </w:tabs>
      <w:snapToGrid w:val="0"/>
      <w:jc w:val="left"/>
    </w:pPr>
    <w:rPr>
      <w:sz w:val="18"/>
      <w:szCs w:val="18"/>
    </w:rPr>
  </w:style>
  <w:style w:type="character" w:customStyle="1" w:styleId="a6">
    <w:name w:val="页脚 字符"/>
    <w:basedOn w:val="a0"/>
    <w:link w:val="a5"/>
    <w:uiPriority w:val="99"/>
    <w:rsid w:val="006B766F"/>
    <w:rPr>
      <w:sz w:val="18"/>
      <w:szCs w:val="18"/>
    </w:rPr>
  </w:style>
  <w:style w:type="paragraph" w:customStyle="1" w:styleId="null3">
    <w:name w:val="null3"/>
    <w:hidden/>
    <w:qFormat/>
    <w:rsid w:val="00D162AD"/>
    <w:rPr>
      <w:rFonts w:hint="eastAsia"/>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2947</Words>
  <Characters>3125</Characters>
  <Application>Microsoft Office Word</Application>
  <DocSecurity>0</DocSecurity>
  <Lines>208</Lines>
  <Paragraphs>173</Paragraphs>
  <ScaleCrop>false</ScaleCrop>
  <Company/>
  <LinksUpToDate>false</LinksUpToDate>
  <CharactersWithSpaces>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SQ W</dc:creator>
  <cp:keywords/>
  <dc:description/>
  <cp:lastModifiedBy>SQ W</cp:lastModifiedBy>
  <cp:revision>14</cp:revision>
  <dcterms:created xsi:type="dcterms:W3CDTF">2024-05-08T03:03:00Z</dcterms:created>
  <dcterms:modified xsi:type="dcterms:W3CDTF">2026-06-17T01:32:00Z</dcterms:modified>
</cp:coreProperties>
</file>