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版本号：SXJHZB-2026-0713-00120260715002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镇巴县渔渡镇渔渡坝社区后沟河道路修复工程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SXJHZB-2026-0713-001</w:t>
      </w:r>
      <w:r>
        <w:br/>
      </w:r>
      <w:r>
        <w:br/>
      </w:r>
      <w:r>
        <w:br/>
      </w:r>
    </w:p>
    <w:p>
      <w:pPr>
        <w:pStyle w:val="null3"/>
        <w:jc w:val="center"/>
        <w:outlineLvl w:val="2"/>
      </w:pPr>
      <w:r>
        <w:rPr>
          <w:rFonts w:ascii="仿宋_GB2312" w:hAnsi="仿宋_GB2312" w:cs="仿宋_GB2312" w:eastAsia="仿宋_GB2312"/>
          <w:sz w:val="28"/>
          <w:b/>
        </w:rPr>
        <w:t>镇巴县渔渡镇人民政府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镇巴县渔渡镇人民政府</w:t>
      </w:r>
      <w:r>
        <w:rPr>
          <w:rFonts w:ascii="仿宋_GB2312" w:hAnsi="仿宋_GB2312" w:cs="仿宋_GB2312" w:eastAsia="仿宋_GB2312"/>
        </w:rPr>
        <w:t>委托，拟对</w:t>
      </w:r>
      <w:r>
        <w:rPr>
          <w:rFonts w:ascii="仿宋_GB2312" w:hAnsi="仿宋_GB2312" w:cs="仿宋_GB2312" w:eastAsia="仿宋_GB2312"/>
        </w:rPr>
        <w:t>镇巴县渔渡镇渔渡坝社区后沟河道路修复工程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SXJHZB-2026-0713-001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镇巴县渔渡镇渔渡坝社区后沟河道路修复工程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本项目主要建设内容为：路基防护工程11处，M7.5浆砌片石1127.44 立方米,C20 片石混凝土 629.12 立方米; 路面工程 690.0米，18cm厚混凝土面层 3105.00 平方米,16cm厚水泥稳定碎石基层 3450.00平方米，C25 混凝土路肩 31.05 立方米;路面排水工程 30 米，C30 混凝土 6. 00 立方米；盖板涵 2 道，1-1.5*1.8 米钢筋混凝土盖板涵 5.1 米，1-2.0*2.8 米钢筋混凝土盖板涵 6.1 米； 波形梁护栏工程 972 米。（详见施工图纸及工程量清单）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采购包1（镇巴县渔渡镇渔渡坝社区后沟河道路修复工程）：属于专门面向中小企业采购。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镇巴县渔渡镇人民政府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陕西省汉中市镇巴县渔渡镇渔渡坝社区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镇巴县渔渡镇人民政府经办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15686195929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采购包1：1,544,088.00元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镇巴县渔渡镇人民政府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镇巴县渔渡镇人民政府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镇巴县渔渡镇人民政府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1,544,088.00</w:t>
      </w:r>
    </w:p>
    <w:p>
      <w:pPr>
        <w:pStyle w:val="null3"/>
      </w:pPr>
      <w:r>
        <w:rPr>
          <w:rFonts w:ascii="仿宋_GB2312" w:hAnsi="仿宋_GB2312" w:cs="仿宋_GB2312" w:eastAsia="仿宋_GB2312"/>
        </w:rPr>
        <w:t>采购包最高限价（元）: 1,544,080.00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镇巴县渔渡镇渔渡坝社区后沟河道路修复工程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1,544,088.00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标的名称：镇巴县渔渡镇渔渡坝社区后沟河道路修复工程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本项目主要建设内容为：路基防护工程</w:t>
            </w:r>
            <w:r>
              <w:rPr>
                <w:rFonts w:ascii="仿宋_GB2312" w:hAnsi="仿宋_GB2312" w:cs="仿宋_GB2312" w:eastAsia="仿宋_GB2312"/>
                <w:sz w:val="28"/>
              </w:rPr>
              <w:t>11处，M7.5浆砌片石1127.44 立方米,C20 片石混凝土 629.12 立方米; 路面工程 690.0米，18cm厚混凝土面层 3105.00 平方米,16cm厚水泥稳定碎石基层 3450.00平方米，C25 混凝土路肩 31.05 立方米;路面排水工程 30 米，C30 混凝土 6. 00 立方米；盖板涵 2 道，1-1.5*1.8 米钢筋混凝土盖板涵 5.1 米，1-2.0*2.8 米钢筋混凝土盖板涵 6.1 米； 波形梁护栏工程 972 米。。</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1、设计施工图：汉中坤仪工程管理有限公司设计的《镇巴县渔渡镇渔渡坝社区后沟河道路修复工程》施工图设计文件。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ind w:firstLine="560"/>
              <w:jc w:val="both"/>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JTG3830-2018）、中华人民共和国行业标准《公路工程预算定额》（JTG/T 3832-2018）、中华人民共和国行业标准《公路工程机械台班费用定额》（JTGT 3833-2018）、陕西省交通厅关于执行交通部分《公路工程基本建设项目概算预算定额及编制办法补充规定》、陕西省交通运输厅关于执行交通运输部《公路工程营业税改增值税计价依据调整方案》的通知。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根据《补充规定》按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3</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p>
          <w:p>
            <w:pPr>
              <w:pStyle w:val="null3"/>
              <w:ind w:firstLine="537"/>
              <w:jc w:val="both"/>
            </w:pPr>
            <w:r>
              <w:rPr>
                <w:rFonts w:ascii="仿宋_GB2312" w:hAnsi="仿宋_GB2312" w:cs="仿宋_GB2312" w:eastAsia="仿宋_GB2312"/>
                <w:sz w:val="28"/>
              </w:rPr>
              <w:t>(3).机械台班费：</w:t>
            </w:r>
          </w:p>
          <w:p>
            <w:pPr>
              <w:pStyle w:val="null3"/>
              <w:ind w:firstLine="537"/>
              <w:jc w:val="both"/>
            </w:pPr>
            <w:r>
              <w:rPr>
                <w:rFonts w:ascii="仿宋_GB2312" w:hAnsi="仿宋_GB2312" w:cs="仿宋_GB2312" w:eastAsia="仿宋_GB2312"/>
                <w:sz w:val="28"/>
              </w:rPr>
              <w:t>依据交通部颁发的《公路工程机械台班费用定额》（</w:t>
            </w:r>
            <w:r>
              <w:rPr>
                <w:rFonts w:ascii="仿宋_GB2312" w:hAnsi="仿宋_GB2312" w:cs="仿宋_GB2312" w:eastAsia="仿宋_GB2312"/>
                <w:sz w:val="28"/>
              </w:rPr>
              <w:t>JTGT 3833-2018</w:t>
            </w:r>
            <w:r>
              <w:rPr>
                <w:rFonts w:ascii="仿宋_GB2312" w:hAnsi="仿宋_GB2312" w:cs="仿宋_GB2312" w:eastAsia="仿宋_GB2312"/>
                <w:sz w:val="28"/>
              </w:rPr>
              <w:t>）计算，车船使用税和养路费按《陕西省养路费及车船使用税》执行。</w:t>
            </w:r>
          </w:p>
          <w:p>
            <w:pPr>
              <w:pStyle w:val="null3"/>
              <w:ind w:firstLine="537"/>
              <w:jc w:val="both"/>
            </w:pPr>
            <w:r>
              <w:rPr>
                <w:rFonts w:ascii="仿宋_GB2312" w:hAnsi="仿宋_GB2312" w:cs="仿宋_GB2312" w:eastAsia="仿宋_GB2312"/>
                <w:sz w:val="28"/>
              </w:rPr>
              <w:t>2、其它直接费</w:t>
            </w:r>
          </w:p>
          <w:p>
            <w:pPr>
              <w:pStyle w:val="null3"/>
              <w:ind w:firstLine="537"/>
              <w:jc w:val="both"/>
            </w:pPr>
            <w:r>
              <w:rPr>
                <w:rFonts w:ascii="仿宋_GB2312" w:hAnsi="仿宋_GB2312" w:cs="仿宋_GB2312" w:eastAsia="仿宋_GB2312"/>
                <w:sz w:val="28"/>
              </w:rPr>
              <w:t>(1).本工程临时设施费、施工辅助费</w:t>
            </w:r>
            <w:r>
              <w:rPr>
                <w:rFonts w:ascii="仿宋_GB2312" w:hAnsi="仿宋_GB2312" w:cs="仿宋_GB2312" w:eastAsia="仿宋_GB2312"/>
                <w:sz w:val="28"/>
              </w:rPr>
              <w:t>、辅助生产费</w:t>
            </w:r>
            <w:r>
              <w:rPr>
                <w:rFonts w:ascii="仿宋_GB2312" w:hAnsi="仿宋_GB2312" w:cs="仿宋_GB2312" w:eastAsia="仿宋_GB2312"/>
                <w:sz w:val="28"/>
              </w:rPr>
              <w:t>按《编制办法》规定计列。</w:t>
            </w:r>
          </w:p>
          <w:p>
            <w:pPr>
              <w:pStyle w:val="null3"/>
              <w:ind w:firstLine="537"/>
              <w:jc w:val="both"/>
            </w:pPr>
            <w:r>
              <w:rPr>
                <w:rFonts w:ascii="仿宋_GB2312" w:hAnsi="仿宋_GB2312" w:cs="仿宋_GB2312" w:eastAsia="仿宋_GB2312"/>
                <w:sz w:val="28"/>
              </w:rPr>
              <w:t>(2).本工程不计行夜间施工增加费。</w:t>
            </w:r>
          </w:p>
          <w:p>
            <w:pPr>
              <w:pStyle w:val="null3"/>
              <w:ind w:firstLine="537"/>
              <w:jc w:val="both"/>
            </w:pPr>
            <w:r>
              <w:rPr>
                <w:rFonts w:ascii="仿宋_GB2312" w:hAnsi="仿宋_GB2312" w:cs="仿宋_GB2312" w:eastAsia="仿宋_GB2312"/>
                <w:sz w:val="28"/>
              </w:rPr>
              <w:t>(3).本工程不计行车干扰增加费。</w:t>
            </w:r>
          </w:p>
          <w:p>
            <w:pPr>
              <w:pStyle w:val="null3"/>
              <w:ind w:firstLine="537"/>
              <w:jc w:val="both"/>
            </w:pPr>
            <w:r>
              <w:rPr>
                <w:rFonts w:ascii="仿宋_GB2312" w:hAnsi="仿宋_GB2312" w:cs="仿宋_GB2312" w:eastAsia="仿宋_GB2312"/>
                <w:sz w:val="28"/>
              </w:rPr>
              <w:t>(4).本工程不计沿海地区工程施工增加费。</w:t>
            </w:r>
          </w:p>
          <w:p>
            <w:pPr>
              <w:pStyle w:val="null3"/>
              <w:ind w:firstLine="537"/>
              <w:jc w:val="both"/>
            </w:pPr>
            <w:r>
              <w:rPr>
                <w:rFonts w:ascii="仿宋_GB2312" w:hAnsi="仿宋_GB2312" w:cs="仿宋_GB2312" w:eastAsia="仿宋_GB2312"/>
                <w:sz w:val="28"/>
              </w:rPr>
              <w:t>(5).本工程不计高原施工增加费。</w:t>
            </w:r>
          </w:p>
          <w:p>
            <w:pPr>
              <w:pStyle w:val="null3"/>
              <w:ind w:firstLine="537"/>
              <w:jc w:val="both"/>
            </w:pPr>
            <w:r>
              <w:rPr>
                <w:rFonts w:ascii="仿宋_GB2312" w:hAnsi="仿宋_GB2312" w:cs="仿宋_GB2312" w:eastAsia="仿宋_GB2312"/>
                <w:sz w:val="28"/>
              </w:rPr>
              <w:t>(6).本工程不计风沙地区施工增加费。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不</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w:t>
            </w:r>
            <w:r>
              <w:rPr>
                <w:rFonts w:ascii="仿宋_GB2312" w:hAnsi="仿宋_GB2312" w:cs="仿宋_GB2312" w:eastAsia="仿宋_GB2312"/>
                <w:sz w:val="28"/>
                <w:color w:val="000000"/>
              </w:rPr>
              <w:t>工地转移费。</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五</w:t>
            </w:r>
            <w:r>
              <w:rPr>
                <w:rFonts w:ascii="仿宋_GB2312" w:hAnsi="仿宋_GB2312" w:cs="仿宋_GB2312" w:eastAsia="仿宋_GB2312"/>
                <w:sz w:val="28"/>
              </w:rPr>
              <w:t>、预算金额</w:t>
            </w:r>
          </w:p>
          <w:p>
            <w:pPr>
              <w:pStyle w:val="null3"/>
              <w:ind w:firstLine="280"/>
              <w:jc w:val="left"/>
            </w:pPr>
            <w:r>
              <w:rPr>
                <w:rFonts w:ascii="仿宋_GB2312" w:hAnsi="仿宋_GB2312" w:cs="仿宋_GB2312" w:eastAsia="仿宋_GB2312"/>
                <w:sz w:val="28"/>
              </w:rPr>
              <w:t>最高限价</w:t>
            </w:r>
            <w:r>
              <w:rPr>
                <w:rFonts w:ascii="仿宋_GB2312" w:hAnsi="仿宋_GB2312" w:cs="仿宋_GB2312" w:eastAsia="仿宋_GB2312"/>
                <w:sz w:val="28"/>
              </w:rPr>
              <w:t>：</w:t>
            </w:r>
            <w:r>
              <w:rPr>
                <w:rFonts w:ascii="仿宋_GB2312" w:hAnsi="仿宋_GB2312" w:cs="仿宋_GB2312" w:eastAsia="仿宋_GB2312"/>
                <w:sz w:val="28"/>
              </w:rPr>
              <w:t>1544080.00元。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只能有一个有效报价，不得提交选择性报价，且报价不得超过采购最高限价金额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技术响应方案.docx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响应文件封面 技术响应方案.docx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(注：业绩须是供应商项目经理完成的公路工程同类施工业绩，提供中标通知书、协议书（合同）完工证明或竣工验收证明原件或加盖公章的复印件等其他合法证明材料，否则不得分。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供应商应提交的相关资格证明材料(1).pdf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注：业绩须是供应商完成的公路工程同类施工业绩，提供中标通知书、协议书（合同）或完工证明或竣工验收证明原件或加盖公章的复印件等其他合法证明材料，否则不作为加分项。其次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