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版本号：ZBZB-2026-290420260521001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2026年全国智慧图书馆体系建设—智慧图书馆系统平台建设与运维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ZBZB-2026-2904</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2026年全国智慧图书馆体系建设—智慧图书馆系统平台建设与运维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2026年全国智慧图书馆体系建设—智慧图书馆系统平台建设与运维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按照2026年全国智慧图书馆体系建设项目-智慧图书馆系统平台建设相关要求，在规定条件下完成平台建设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3、具有履行合同所必需的设备和专业技术能力：提供具有履行合同所必需的设备和专业技术能力的声明函</w:t>
      </w:r>
    </w:p>
    <w:p>
      <w:pPr>
        <w:pStyle w:val="null3"/>
      </w:pPr>
      <w:r>
        <w:rPr>
          <w:rFonts w:ascii="仿宋_GB2312" w:hAnsi="仿宋_GB2312" w:cs="仿宋_GB2312" w:eastAsia="仿宋_GB2312"/>
        </w:rPr>
        <w:t>4、税收缴纳证明：提供2025年10月以来任意1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5、社会保障资金缴纳证明：提供2025年10月以来任意1个月的社会保障资金缴存单据或社保机构开具的社会保险参保缴费情况证明。依法不需要缴纳社会保障资金的供应商应提供相关文件证明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6、近3年内在经营活动中无重大违法记录：近3年内在经营活动中无重大违法记录：参加政府采购活动前3年内在经营活动中没有重大违法记录的书面声明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p>
      <w:pPr>
        <w:pStyle w:val="null3"/>
      </w:pPr>
      <w:r>
        <w:rPr>
          <w:rFonts w:ascii="仿宋_GB2312" w:hAnsi="仿宋_GB2312" w:cs="仿宋_GB2312" w:eastAsia="仿宋_GB2312"/>
        </w:rPr>
        <w:t>8、信用信息：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10、不接受联合体投标：本项目不接受联合体投标：本项目不接受联合体投标（提供声明函）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银行账号：30205380002089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费收费有关问题的通知》及《调整后的招标代理服务收费标准》(发改价格〔2011〕534号)规定收取（包含“招标代理费、会务费（如有）”），中标（成交）单位在领取中标（成交）通知书前一次性支付。 缴交渠道： 开户名称：陕西正邦招标有限责任公司 开户银行：平安银行西安分行营业部/平安银行西安分行 银行账号：30205380002089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按照2026年全国智慧图书馆体系建设项目-智慧图书馆系统平台建设相关要求，在规定条件下完成平台建设。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智慧图书馆系统平台建设与运维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标的名称：智慧图书馆系统平台建设与运维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一、需求概述</w:t>
            </w:r>
          </w:p>
          <w:p>
            <w:pPr>
              <w:pStyle w:val="null3"/>
              <w:ind w:firstLine="480"/>
              <w:jc w:val="both"/>
            </w:pPr>
            <w:r>
              <w:rPr>
                <w:rFonts w:ascii="仿宋_GB2312" w:hAnsi="仿宋_GB2312" w:cs="仿宋_GB2312" w:eastAsia="仿宋_GB2312"/>
                <w:sz w:val="24"/>
              </w:rPr>
              <w:t>在现有智慧图书馆支撑平台全网知识内容集中仓储系统（以下简称</w:t>
            </w:r>
            <w:r>
              <w:rPr>
                <w:rFonts w:ascii="仿宋_GB2312" w:hAnsi="仿宋_GB2312" w:cs="仿宋_GB2312" w:eastAsia="仿宋_GB2312"/>
                <w:sz w:val="24"/>
              </w:rPr>
              <w:t>“仓储系统”）的功能基础上，对仓储系统开展功能扩展、接口定制开发、基础设施和软件系统维护等工作。继续建设和维护相关基础设施，确保与国家图书馆</w:t>
            </w:r>
            <w:r>
              <w:rPr>
                <w:rFonts w:ascii="仿宋_GB2312" w:hAnsi="仿宋_GB2312" w:cs="仿宋_GB2312" w:eastAsia="仿宋_GB2312"/>
                <w:sz w:val="24"/>
              </w:rPr>
              <w:t>SD-WAN</w:t>
            </w:r>
            <w:r>
              <w:rPr>
                <w:rFonts w:ascii="仿宋_GB2312" w:hAnsi="仿宋_GB2312" w:cs="仿宋_GB2312" w:eastAsia="仿宋_GB2312"/>
                <w:sz w:val="24"/>
              </w:rPr>
              <w:t>架构高速网络互联互通，实现馆际智慧图书馆业务和数字资源高速、稳定联通传输；优化仓储系统相关配置，及时排查、修复数据安全和网络安全相关的软件漏洞，确保系统安全和稳定运行；扩展系统功能，实现不同来源、不同类型文献资源的统一管理和集中揭示以及手机扫码借还；配套定制开发相关业务功能和接口对接业务系统，保障整个系统稳定运行。</w:t>
            </w:r>
          </w:p>
          <w:p>
            <w:pPr>
              <w:pStyle w:val="null3"/>
              <w:ind w:firstLine="482"/>
              <w:jc w:val="both"/>
            </w:pPr>
            <w:r>
              <w:rPr>
                <w:rFonts w:ascii="仿宋_GB2312" w:hAnsi="仿宋_GB2312" w:cs="仿宋_GB2312" w:eastAsia="仿宋_GB2312"/>
                <w:sz w:val="24"/>
                <w:b/>
              </w:rPr>
              <w:t>二、服务需求</w:t>
            </w:r>
          </w:p>
          <w:p>
            <w:pPr>
              <w:pStyle w:val="null3"/>
              <w:ind w:firstLine="480"/>
              <w:jc w:val="both"/>
            </w:pPr>
            <w:r>
              <w:rPr>
                <w:rFonts w:ascii="仿宋_GB2312" w:hAnsi="仿宋_GB2312" w:cs="仿宋_GB2312" w:eastAsia="仿宋_GB2312"/>
                <w:sz w:val="24"/>
              </w:rPr>
              <w:t>（一）优化需求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针对数据入库进行优化，对本地数据上传系统进行优化，实现稳定数据上传。</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针对接口进行优化，实现用户认证、痕迹数据、安全数据能够同步。</w:t>
            </w:r>
          </w:p>
          <w:p>
            <w:pPr>
              <w:pStyle w:val="null3"/>
              <w:ind w:firstLine="480"/>
              <w:jc w:val="both"/>
            </w:pPr>
            <w:r>
              <w:rPr>
                <w:rFonts w:ascii="仿宋_GB2312" w:hAnsi="仿宋_GB2312" w:cs="仿宋_GB2312" w:eastAsia="仿宋_GB2312"/>
                <w:sz w:val="24"/>
              </w:rPr>
              <w:t>（二）功能扩展及改造</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扩展开发统一检索平台，实现不同来源、不同类型的纸质图书、电子图书、电子报刊等文献资源进行统一管理和集中揭示。实施本地化部署，对接馆藏数据库、集中式盘点数据库、</w:t>
            </w:r>
            <w:r>
              <w:rPr>
                <w:rFonts w:ascii="仿宋_GB2312" w:hAnsi="仿宋_GB2312" w:cs="仿宋_GB2312" w:eastAsia="仿宋_GB2312"/>
                <w:sz w:val="24"/>
              </w:rPr>
              <w:t>3D</w:t>
            </w:r>
            <w:r>
              <w:rPr>
                <w:rFonts w:ascii="仿宋_GB2312" w:hAnsi="仿宋_GB2312" w:cs="仿宋_GB2312" w:eastAsia="仿宋_GB2312"/>
                <w:sz w:val="24"/>
              </w:rPr>
              <w:t>导航等功能模块，实现同一平台揭示数据联动，确保新建业务系统功能和系统中原有功能都能稳定与高效地运行。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扩展开发手机借还模块，实现读者能在不同图书馆利用手机扫条码进行借还。</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针对安全设备进行改造，实现防盗数据能够与系统同步，对实体资源同步准入准出。</w:t>
            </w:r>
          </w:p>
          <w:p>
            <w:pPr>
              <w:pStyle w:val="null3"/>
              <w:ind w:firstLine="482"/>
              <w:jc w:val="both"/>
            </w:pPr>
            <w:r>
              <w:rPr>
                <w:rFonts w:ascii="仿宋_GB2312" w:hAnsi="仿宋_GB2312" w:cs="仿宋_GB2312" w:eastAsia="仿宋_GB2312"/>
                <w:sz w:val="24"/>
                <w:b/>
              </w:rPr>
              <w:t>（三）维保服务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针对仓储系统配套数据存储系统维保，维保期延续至</w:t>
            </w:r>
            <w:r>
              <w:rPr>
                <w:rFonts w:ascii="仿宋_GB2312" w:hAnsi="仿宋_GB2312" w:cs="仿宋_GB2312" w:eastAsia="仿宋_GB2312"/>
                <w:sz w:val="24"/>
              </w:rPr>
              <w:t>2027</w:t>
            </w:r>
            <w:r>
              <w:rPr>
                <w:rFonts w:ascii="仿宋_GB2312" w:hAnsi="仿宋_GB2312" w:cs="仿宋_GB2312" w:eastAsia="仿宋_GB2312"/>
                <w:sz w:val="24"/>
              </w:rPr>
              <w:t>年底。</w:t>
            </w:r>
          </w:p>
          <w:p>
            <w:pPr>
              <w:pStyle w:val="null3"/>
              <w:ind w:firstLine="480"/>
              <w:jc w:val="both"/>
            </w:pPr>
            <w:r>
              <w:rPr>
                <w:rFonts w:ascii="仿宋_GB2312" w:hAnsi="仿宋_GB2312" w:cs="仿宋_GB2312" w:eastAsia="仿宋_GB2312"/>
                <w:sz w:val="24"/>
                <w:b/>
              </w:rPr>
              <w:t>（四）参数要求</w:t>
            </w:r>
          </w:p>
          <w:tbl>
            <w:tblPr>
              <w:tblInd w:type="dxa" w:w="135"/>
              <w:tblBorders>
                <w:top w:val="none" w:color="000000" w:sz="4"/>
                <w:left w:val="none" w:color="000000" w:sz="4"/>
                <w:bottom w:val="none" w:color="000000" w:sz="4"/>
                <w:right w:val="none" w:color="000000" w:sz="4"/>
                <w:insideH w:val="none"/>
                <w:insideV w:val="none"/>
              </w:tblBorders>
            </w:tblPr>
            <w:tblGrid>
              <w:gridCol w:w="312"/>
              <w:gridCol w:w="2240"/>
            </w:tblGrid>
            <w:tr>
              <w:tc>
                <w:tcPr>
                  <w:tcW w:type="dxa" w:w="3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4"/>
                      <w:b/>
                    </w:rPr>
                    <w:t>名称</w:t>
                  </w:r>
                </w:p>
              </w:tc>
              <w:tc>
                <w:tcPr>
                  <w:tcW w:type="dxa" w:w="22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具体技术要求</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对接优化</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开放并对接数据接口给业务系统，实现用户、流通数据能够相互通信调用。</w:t>
                  </w:r>
                </w:p>
                <w:p>
                  <w:pPr>
                    <w:pStyle w:val="null3"/>
                    <w:jc w:val="both"/>
                  </w:pPr>
                  <w:r>
                    <w:rPr>
                      <w:rFonts w:ascii="仿宋_GB2312" w:hAnsi="仿宋_GB2312" w:cs="仿宋_GB2312" w:eastAsia="仿宋_GB2312"/>
                      <w:sz w:val="24"/>
                    </w:rPr>
                    <w:t>1.优化三馆一体大数据展示系统，统一相关界面，按照现有展示设备分辨率定制横屏和竖屏两种展示模式。支持多维度数据可视化分析，涵盖读者流量、借阅热度、空间使用率等核心指标；兼容国内外主流数据库接口，实现与图书馆OPAC、门禁、RFID借还等系统实时数据对接；提供自定义仪表盘功能，支持自主配置显示模块。</w:t>
                  </w:r>
                </w:p>
                <w:p>
                  <w:pPr>
                    <w:pStyle w:val="null3"/>
                    <w:jc w:val="both"/>
                  </w:pPr>
                  <w:r>
                    <w:rPr>
                      <w:rFonts w:ascii="仿宋_GB2312" w:hAnsi="仿宋_GB2312" w:cs="仿宋_GB2312" w:eastAsia="仿宋_GB2312"/>
                      <w:sz w:val="24"/>
                    </w:rPr>
                    <w:t>2.优化系统动态展示功能，增补本项目生产数据类型，包含在馆人数、读者人数月度分布、累计到馆人数、借阅排行、热门书、新书推荐等内容。</w:t>
                  </w:r>
                </w:p>
                <w:p>
                  <w:pPr>
                    <w:pStyle w:val="null3"/>
                    <w:jc w:val="both"/>
                  </w:pPr>
                  <w:r>
                    <w:rPr>
                      <w:rFonts w:ascii="仿宋_GB2312" w:hAnsi="仿宋_GB2312" w:cs="仿宋_GB2312" w:eastAsia="仿宋_GB2312"/>
                      <w:sz w:val="24"/>
                    </w:rPr>
                    <w:t>3.动态展示当日不同时段借还分布、总借还册次、借还排行榜TOP10等内容。</w:t>
                  </w:r>
                </w:p>
                <w:p>
                  <w:pPr>
                    <w:pStyle w:val="null3"/>
                    <w:jc w:val="both"/>
                  </w:pPr>
                  <w:r>
                    <w:rPr>
                      <w:rFonts w:ascii="仿宋_GB2312" w:hAnsi="仿宋_GB2312" w:cs="仿宋_GB2312" w:eastAsia="仿宋_GB2312"/>
                      <w:sz w:val="24"/>
                    </w:rPr>
                    <w:t>4.支持展示馆员推荐图书，可自定义配置图书封面、文字描述等内容。</w:t>
                  </w:r>
                </w:p>
                <w:p>
                  <w:pPr>
                    <w:pStyle w:val="null3"/>
                    <w:jc w:val="both"/>
                  </w:pPr>
                  <w:r>
                    <w:rPr>
                      <w:rFonts w:ascii="仿宋_GB2312" w:hAnsi="仿宋_GB2312" w:cs="仿宋_GB2312" w:eastAsia="仿宋_GB2312"/>
                      <w:sz w:val="24"/>
                    </w:rPr>
                    <w:t>5.具备发布馆内活动、公告等功能。</w:t>
                  </w:r>
                </w:p>
                <w:p>
                  <w:pPr>
                    <w:pStyle w:val="null3"/>
                    <w:jc w:val="both"/>
                  </w:pPr>
                  <w:r>
                    <w:rPr>
                      <w:rFonts w:ascii="仿宋_GB2312" w:hAnsi="仿宋_GB2312" w:cs="仿宋_GB2312" w:eastAsia="仿宋_GB2312"/>
                      <w:sz w:val="24"/>
                    </w:rPr>
                    <w:t>6.支持多页面循环显示。</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统一资源访问管理平台</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将</w:t>
                  </w:r>
                  <w:r>
                    <w:rPr>
                      <w:rFonts w:ascii="仿宋_GB2312" w:hAnsi="仿宋_GB2312" w:cs="仿宋_GB2312" w:eastAsia="仿宋_GB2312"/>
                      <w:sz w:val="24"/>
                    </w:rPr>
                    <w:t>具备对接条件的，且</w:t>
                  </w:r>
                  <w:r>
                    <w:rPr>
                      <w:rFonts w:ascii="仿宋_GB2312" w:hAnsi="仿宋_GB2312" w:cs="仿宋_GB2312" w:eastAsia="仿宋_GB2312"/>
                      <w:sz w:val="24"/>
                    </w:rPr>
                    <w:t>分散在</w:t>
                  </w:r>
                  <w:r>
                    <w:rPr>
                      <w:rFonts w:ascii="仿宋_GB2312" w:hAnsi="仿宋_GB2312" w:cs="仿宋_GB2312" w:eastAsia="仿宋_GB2312"/>
                      <w:sz w:val="24"/>
                    </w:rPr>
                    <w:t>陕西省图书馆已购</w:t>
                  </w:r>
                  <w:r>
                    <w:rPr>
                      <w:rFonts w:ascii="仿宋_GB2312" w:hAnsi="仿宋_GB2312" w:cs="仿宋_GB2312" w:eastAsia="仿宋_GB2312"/>
                      <w:sz w:val="24"/>
                    </w:rPr>
                    <w:t>各个数据库、各个</w:t>
                  </w:r>
                  <w:r>
                    <w:rPr>
                      <w:rFonts w:ascii="仿宋_GB2312" w:hAnsi="仿宋_GB2312" w:cs="仿宋_GB2312" w:eastAsia="仿宋_GB2312"/>
                      <w:sz w:val="24"/>
                    </w:rPr>
                    <w:t>馆藏点的纸质及电子</w:t>
                  </w:r>
                  <w:r>
                    <w:rPr>
                      <w:rFonts w:ascii="仿宋_GB2312" w:hAnsi="仿宋_GB2312" w:cs="仿宋_GB2312" w:eastAsia="仿宋_GB2312"/>
                      <w:sz w:val="24"/>
                    </w:rPr>
                    <w:t>资源整合</w:t>
                  </w:r>
                  <w:r>
                    <w:rPr>
                      <w:rFonts w:ascii="仿宋_GB2312" w:hAnsi="仿宋_GB2312" w:cs="仿宋_GB2312" w:eastAsia="仿宋_GB2312"/>
                      <w:sz w:val="24"/>
                    </w:rPr>
                    <w:t>到统一的平台进行管理。图书管理系统及电子资源提供商由用户协调按照本项目标准提供接口。</w:t>
                  </w:r>
                </w:p>
                <w:p>
                  <w:pPr>
                    <w:pStyle w:val="null3"/>
                  </w:pPr>
                  <w:r>
                    <w:rPr>
                      <w:rFonts w:ascii="仿宋_GB2312" w:hAnsi="仿宋_GB2312" w:cs="仿宋_GB2312" w:eastAsia="仿宋_GB2312"/>
                      <w:sz w:val="24"/>
                    </w:rPr>
                    <w:t>2.实现</w:t>
                  </w:r>
                  <w:r>
                    <w:rPr>
                      <w:rFonts w:ascii="仿宋_GB2312" w:hAnsi="仿宋_GB2312" w:cs="仿宋_GB2312" w:eastAsia="仿宋_GB2312"/>
                      <w:sz w:val="24"/>
                    </w:rPr>
                    <w:t>多库结果的统一展现，同时提供不同资源库的检索结果集分库，支持对检索结果的导航与展示。采用异步分布式检索引擎技术以及自适应的检索调度体系，在用户对多个资源同时检索时能够获得良好的响应速度</w:t>
                  </w:r>
                  <w:r>
                    <w:rPr>
                      <w:rFonts w:ascii="仿宋_GB2312" w:hAnsi="仿宋_GB2312" w:cs="仿宋_GB2312" w:eastAsia="仿宋_GB2312"/>
                      <w:sz w:val="24"/>
                    </w:rPr>
                    <w:t>。</w:t>
                  </w:r>
                </w:p>
                <w:p>
                  <w:pPr>
                    <w:pStyle w:val="null3"/>
                  </w:pPr>
                  <w:r>
                    <w:rPr>
                      <w:rFonts w:ascii="仿宋_GB2312" w:hAnsi="仿宋_GB2312" w:cs="仿宋_GB2312" w:eastAsia="仿宋_GB2312"/>
                      <w:sz w:val="24"/>
                    </w:rPr>
                    <w:t>3.程序至少预留两个及以上字段用于通借通还时作为扫码识别文献唯一标识的依据。</w:t>
                  </w:r>
                </w:p>
                <w:p>
                  <w:pPr>
                    <w:pStyle w:val="null3"/>
                  </w:pPr>
                  <w:r>
                    <w:rPr>
                      <w:rFonts w:ascii="仿宋_GB2312" w:hAnsi="仿宋_GB2312" w:cs="仿宋_GB2312" w:eastAsia="仿宋_GB2312"/>
                      <w:sz w:val="24"/>
                    </w:rPr>
                    <w:t>4.检索结果需与电子资源馆内外访问授权进行无缝集成，实现电子资源馆外全文调度与获取，透明获取资源全文。</w:t>
                  </w:r>
                </w:p>
                <w:p>
                  <w:pPr>
                    <w:pStyle w:val="null3"/>
                  </w:pPr>
                  <w:r>
                    <w:rPr>
                      <w:rFonts w:ascii="仿宋_GB2312" w:hAnsi="仿宋_GB2312" w:cs="仿宋_GB2312" w:eastAsia="仿宋_GB2312"/>
                      <w:sz w:val="24"/>
                    </w:rPr>
                    <w:t>5.支持资源库管理，包括自定义和一键元数据信息导出。元数据信息支持录入及中心同步功能。资源库管理支持学科绑定、厂商绑定、资源关联和模块关联。</w:t>
                  </w:r>
                </w:p>
                <w:p>
                  <w:pPr>
                    <w:pStyle w:val="null3"/>
                  </w:pPr>
                  <w:r>
                    <w:rPr>
                      <w:rFonts w:ascii="仿宋_GB2312" w:hAnsi="仿宋_GB2312" w:cs="仿宋_GB2312" w:eastAsia="仿宋_GB2312"/>
                      <w:sz w:val="24"/>
                    </w:rPr>
                    <w:t>6.</w:t>
                  </w:r>
                  <w:r>
                    <w:rPr>
                      <w:rFonts w:ascii="仿宋_GB2312" w:hAnsi="仿宋_GB2312" w:cs="仿宋_GB2312" w:eastAsia="仿宋_GB2312"/>
                      <w:sz w:val="21"/>
                    </w:rPr>
                    <w:t>▲</w:t>
                  </w:r>
                  <w:r>
                    <w:rPr>
                      <w:rFonts w:ascii="仿宋_GB2312" w:hAnsi="仿宋_GB2312" w:cs="仿宋_GB2312" w:eastAsia="仿宋_GB2312"/>
                      <w:sz w:val="24"/>
                    </w:rPr>
                    <w:t>提供</w:t>
                  </w:r>
                  <w:r>
                    <w:rPr>
                      <w:rFonts w:ascii="仿宋_GB2312" w:hAnsi="仿宋_GB2312" w:cs="仿宋_GB2312" w:eastAsia="仿宋_GB2312"/>
                      <w:sz w:val="24"/>
                    </w:rPr>
                    <w:t>资源库统计，可分别按照自定义分类、使用性质、阅读方式、语种、类型、文献层次、数据量、资源标签等进行统计。</w:t>
                  </w:r>
                  <w:r>
                    <w:rPr>
                      <w:rFonts w:ascii="仿宋_GB2312" w:hAnsi="仿宋_GB2312" w:cs="仿宋_GB2312" w:eastAsia="仿宋_GB2312"/>
                      <w:sz w:val="24"/>
                    </w:rPr>
                    <w:t>实现</w:t>
                  </w:r>
                  <w:r>
                    <w:rPr>
                      <w:rFonts w:ascii="仿宋_GB2312" w:hAnsi="仿宋_GB2312" w:cs="仿宋_GB2312" w:eastAsia="仿宋_GB2312"/>
                      <w:sz w:val="24"/>
                    </w:rPr>
                    <w:t>多种图表展示，包括柱状图和饼状图，并且每种分类统计数据都提供标准元数据格式导出</w:t>
                  </w:r>
                  <w:r>
                    <w:rPr>
                      <w:rFonts w:ascii="仿宋_GB2312" w:hAnsi="仿宋_GB2312" w:cs="仿宋_GB2312" w:eastAsia="仿宋_GB2312"/>
                      <w:sz w:val="24"/>
                    </w:rPr>
                    <w:t>。</w:t>
                  </w:r>
                  <w:r>
                    <w:rPr>
                      <w:rFonts w:ascii="仿宋_GB2312" w:hAnsi="仿宋_GB2312" w:cs="仿宋_GB2312" w:eastAsia="仿宋_GB2312"/>
                      <w:sz w:val="24"/>
                    </w:rPr>
                    <w:t>（提供佐证证明材料，包含但不限于系统截图、软著、制造厂商出具的盖鲜章功能说明）</w:t>
                  </w:r>
                </w:p>
                <w:p>
                  <w:pPr>
                    <w:pStyle w:val="null3"/>
                  </w:pPr>
                  <w:r>
                    <w:rPr>
                      <w:rFonts w:ascii="仿宋_GB2312" w:hAnsi="仿宋_GB2312" w:cs="仿宋_GB2312" w:eastAsia="仿宋_GB2312"/>
                      <w:sz w:val="24"/>
                    </w:rPr>
                    <w:t>7.提供</w:t>
                  </w:r>
                  <w:r>
                    <w:rPr>
                      <w:rFonts w:ascii="仿宋_GB2312" w:hAnsi="仿宋_GB2312" w:cs="仿宋_GB2312" w:eastAsia="仿宋_GB2312"/>
                      <w:sz w:val="24"/>
                    </w:rPr>
                    <w:t>数据中心同步功能，</w:t>
                  </w:r>
                  <w:r>
                    <w:rPr>
                      <w:rFonts w:ascii="仿宋_GB2312" w:hAnsi="仿宋_GB2312" w:cs="仿宋_GB2312" w:eastAsia="仿宋_GB2312"/>
                      <w:sz w:val="24"/>
                    </w:rPr>
                    <w:t>支持</w:t>
                  </w:r>
                  <w:r>
                    <w:rPr>
                      <w:rFonts w:ascii="仿宋_GB2312" w:hAnsi="仿宋_GB2312" w:cs="仿宋_GB2312" w:eastAsia="仿宋_GB2312"/>
                      <w:sz w:val="24"/>
                    </w:rPr>
                    <w:t>不少于</w:t>
                  </w:r>
                  <w:r>
                    <w:rPr>
                      <w:rFonts w:ascii="仿宋_GB2312" w:hAnsi="仿宋_GB2312" w:cs="仿宋_GB2312" w:eastAsia="仿宋_GB2312"/>
                      <w:sz w:val="24"/>
                    </w:rPr>
                    <w:t>5</w:t>
                  </w:r>
                  <w:r>
                    <w:rPr>
                      <w:rFonts w:ascii="仿宋_GB2312" w:hAnsi="仿宋_GB2312" w:cs="仿宋_GB2312" w:eastAsia="仿宋_GB2312"/>
                      <w:sz w:val="24"/>
                    </w:rPr>
                    <w:t>00种常用的中外文数据库，用户可以选择同步基础信息和配置信息，支持单条及多条数据同步；</w:t>
                  </w:r>
                </w:p>
                <w:p>
                  <w:pPr>
                    <w:pStyle w:val="null3"/>
                  </w:pPr>
                  <w:r>
                    <w:rPr>
                      <w:rFonts w:ascii="仿宋_GB2312" w:hAnsi="仿宋_GB2312" w:cs="仿宋_GB2312" w:eastAsia="仿宋_GB2312"/>
                      <w:sz w:val="24"/>
                    </w:rPr>
                    <w:t>8.开发数据接口与图书馆馆藏数据库、集中式盘点数据库、3D导航系统进行对接，保障新的功能模块实现过程中，图书馆原有的功能模块能稳定高效地运行。</w:t>
                  </w:r>
                </w:p>
                <w:p>
                  <w:pPr>
                    <w:pStyle w:val="null3"/>
                  </w:pPr>
                  <w:r>
                    <w:rPr>
                      <w:rFonts w:ascii="仿宋_GB2312" w:hAnsi="仿宋_GB2312" w:cs="仿宋_GB2312" w:eastAsia="仿宋_GB2312"/>
                      <w:sz w:val="24"/>
                    </w:rPr>
                    <w:t>9.</w:t>
                  </w:r>
                  <w:r>
                    <w:rPr>
                      <w:rFonts w:ascii="仿宋_GB2312" w:hAnsi="仿宋_GB2312" w:cs="仿宋_GB2312" w:eastAsia="仿宋_GB2312"/>
                      <w:sz w:val="21"/>
                    </w:rPr>
                    <w:t>▲</w:t>
                  </w:r>
                  <w:r>
                    <w:rPr>
                      <w:rFonts w:ascii="仿宋_GB2312" w:hAnsi="仿宋_GB2312" w:cs="仿宋_GB2312" w:eastAsia="仿宋_GB2312"/>
                      <w:sz w:val="24"/>
                    </w:rPr>
                    <w:t>提供禁用词的管理，对于这些禁用词的搜索，系统将自动返回无结果数据并提示违规检索。</w:t>
                  </w:r>
                  <w:r>
                    <w:rPr>
                      <w:rFonts w:ascii="仿宋_GB2312" w:hAnsi="仿宋_GB2312" w:cs="仿宋_GB2312" w:eastAsia="仿宋_GB2312"/>
                      <w:sz w:val="24"/>
                    </w:rPr>
                    <w:t>提供检索日志的记录和查询功能，日志内容包括检索词、检索字段、用户名、</w:t>
                  </w:r>
                  <w:r>
                    <w:rPr>
                      <w:rFonts w:ascii="仿宋_GB2312" w:hAnsi="仿宋_GB2312" w:cs="仿宋_GB2312" w:eastAsia="仿宋_GB2312"/>
                      <w:sz w:val="24"/>
                    </w:rPr>
                    <w:t>IP地址、检索耗时、结果数、检索日期等字段内容</w:t>
                  </w:r>
                  <w:r>
                    <w:rPr>
                      <w:rFonts w:ascii="仿宋_GB2312" w:hAnsi="仿宋_GB2312" w:cs="仿宋_GB2312" w:eastAsia="仿宋_GB2312"/>
                      <w:sz w:val="24"/>
                    </w:rPr>
                    <w:t>。</w:t>
                  </w:r>
                  <w:r>
                    <w:rPr>
                      <w:rFonts w:ascii="仿宋_GB2312" w:hAnsi="仿宋_GB2312" w:cs="仿宋_GB2312" w:eastAsia="仿宋_GB2312"/>
                      <w:sz w:val="24"/>
                    </w:rPr>
                    <w:t>（提供佐证证明材料，包含但不限于系统截图、软著、制造厂商出具的盖鲜章功能说明）</w:t>
                  </w:r>
                </w:p>
                <w:p>
                  <w:pPr>
                    <w:pStyle w:val="null3"/>
                  </w:pPr>
                  <w:r>
                    <w:rPr>
                      <w:rFonts w:ascii="仿宋_GB2312" w:hAnsi="仿宋_GB2312" w:cs="仿宋_GB2312" w:eastAsia="仿宋_GB2312"/>
                      <w:sz w:val="24"/>
                    </w:rPr>
                    <w:t>10.与一卡通、图书馆自动化系统等业务系统实现用户认证集成或单点登录。</w:t>
                  </w:r>
                </w:p>
                <w:p>
                  <w:pPr>
                    <w:pStyle w:val="null3"/>
                  </w:pPr>
                  <w:r>
                    <w:rPr>
                      <w:rFonts w:ascii="仿宋_GB2312" w:hAnsi="仿宋_GB2312" w:cs="仿宋_GB2312" w:eastAsia="仿宋_GB2312"/>
                      <w:sz w:val="24"/>
                    </w:rPr>
                    <w:t>11.</w:t>
                  </w:r>
                  <w:r>
                    <w:rPr>
                      <w:rFonts w:ascii="仿宋_GB2312" w:hAnsi="仿宋_GB2312" w:cs="仿宋_GB2312" w:eastAsia="仿宋_GB2312"/>
                      <w:sz w:val="21"/>
                    </w:rPr>
                    <w:t>▲</w:t>
                  </w:r>
                  <w:r>
                    <w:rPr>
                      <w:rFonts w:ascii="仿宋_GB2312" w:hAnsi="仿宋_GB2312" w:cs="仿宋_GB2312" w:eastAsia="仿宋_GB2312"/>
                      <w:sz w:val="24"/>
                    </w:rPr>
                    <w:t>检索输入软键盘只能出现数字、字母、中英文切换键、确认键。</w:t>
                  </w:r>
                  <w:r>
                    <w:rPr>
                      <w:rFonts w:ascii="仿宋_GB2312" w:hAnsi="仿宋_GB2312" w:cs="仿宋_GB2312" w:eastAsia="仿宋_GB2312"/>
                      <w:sz w:val="24"/>
                    </w:rPr>
                    <w:t>（提供佐证证明材料，包含但不限于系统截图、软著、制造厂商出具的盖鲜章功能说明）</w:t>
                  </w:r>
                </w:p>
                <w:p>
                  <w:pPr>
                    <w:pStyle w:val="null3"/>
                  </w:pPr>
                  <w:r>
                    <w:rPr>
                      <w:rFonts w:ascii="仿宋_GB2312" w:hAnsi="仿宋_GB2312" w:cs="仿宋_GB2312" w:eastAsia="仿宋_GB2312"/>
                      <w:sz w:val="24"/>
                    </w:rPr>
                    <w:t>12.</w:t>
                  </w:r>
                  <w:r>
                    <w:rPr>
                      <w:rFonts w:ascii="仿宋_GB2312" w:hAnsi="仿宋_GB2312" w:cs="仿宋_GB2312" w:eastAsia="仿宋_GB2312"/>
                      <w:sz w:val="21"/>
                    </w:rPr>
                    <w:t>▲</w:t>
                  </w:r>
                  <w:r>
                    <w:rPr>
                      <w:rFonts w:ascii="仿宋_GB2312" w:hAnsi="仿宋_GB2312" w:cs="仿宋_GB2312" w:eastAsia="仿宋_GB2312"/>
                      <w:sz w:val="24"/>
                    </w:rPr>
                    <w:t>所有功能模块为本地化部署，永久使用授权，</w:t>
                  </w:r>
                  <w:r>
                    <w:rPr>
                      <w:rFonts w:ascii="仿宋_GB2312" w:hAnsi="仿宋_GB2312" w:cs="仿宋_GB2312" w:eastAsia="仿宋_GB2312"/>
                      <w:sz w:val="24"/>
                    </w:rPr>
                    <w:t>预留数据传输接口。</w:t>
                  </w:r>
                  <w:r>
                    <w:rPr>
                      <w:rFonts w:ascii="仿宋_GB2312" w:hAnsi="仿宋_GB2312" w:cs="仿宋_GB2312" w:eastAsia="仿宋_GB2312"/>
                      <w:sz w:val="24"/>
                    </w:rPr>
                    <w:t>（提供佐证证明材料，包含但不限于系统截图、软著、制造厂商出具的盖鲜章功能说明）</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手机借还模块开发</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1.手机借还功能模块具备多馆扩展部署能力</w:t>
                  </w:r>
                  <w:r>
                    <w:rPr>
                      <w:rFonts w:ascii="仿宋_GB2312" w:hAnsi="仿宋_GB2312" w:cs="仿宋_GB2312" w:eastAsia="仿宋_GB2312"/>
                      <w:sz w:val="24"/>
                    </w:rPr>
                    <w:t>，</w:t>
                  </w:r>
                  <w:r>
                    <w:rPr>
                      <w:rFonts w:ascii="仿宋_GB2312" w:hAnsi="仿宋_GB2312" w:cs="仿宋_GB2312" w:eastAsia="仿宋_GB2312"/>
                      <w:sz w:val="24"/>
                    </w:rPr>
                    <w:t>完成</w:t>
                  </w:r>
                  <w:r>
                    <w:rPr>
                      <w:rFonts w:ascii="仿宋_GB2312" w:hAnsi="仿宋_GB2312" w:cs="仿宋_GB2312" w:eastAsia="仿宋_GB2312"/>
                      <w:sz w:val="24"/>
                    </w:rPr>
                    <w:t>1个县级图书馆手机借还功能部署，保证</w:t>
                  </w:r>
                  <w:r>
                    <w:rPr>
                      <w:rFonts w:ascii="仿宋_GB2312" w:hAnsi="仿宋_GB2312" w:cs="仿宋_GB2312" w:eastAsia="仿宋_GB2312"/>
                      <w:sz w:val="24"/>
                    </w:rPr>
                    <w:t>其</w:t>
                  </w:r>
                  <w:r>
                    <w:rPr>
                      <w:rFonts w:ascii="仿宋_GB2312" w:hAnsi="仿宋_GB2312" w:cs="仿宋_GB2312" w:eastAsia="仿宋_GB2312"/>
                      <w:sz w:val="24"/>
                    </w:rPr>
                    <w:t>各项功能正常稳定运行。</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.统一身份认证联动：读者在小程序端发起登录/认证请求。平台接收到请求后，通过接口协议的“读者信息查询”指令或直连读者数据库，将读者证号、密码、</w:t>
                  </w:r>
                  <w:r>
                    <w:rPr>
                      <w:rFonts w:ascii="仿宋_GB2312" w:hAnsi="仿宋_GB2312" w:cs="仿宋_GB2312" w:eastAsia="仿宋_GB2312"/>
                      <w:sz w:val="24"/>
                    </w:rPr>
                    <w:t>选择图书馆</w:t>
                  </w:r>
                  <w:r>
                    <w:rPr>
                      <w:rFonts w:ascii="仿宋_GB2312" w:hAnsi="仿宋_GB2312" w:cs="仿宋_GB2312" w:eastAsia="仿宋_GB2312"/>
                      <w:sz w:val="24"/>
                    </w:rPr>
                    <w:t>等信息发送至核心业务系统进行验证。</w:t>
                  </w:r>
                </w:p>
                <w:p>
                  <w:pPr>
                    <w:pStyle w:val="null3"/>
                    <w:jc w:val="both"/>
                  </w:pPr>
                  <w:r>
                    <w:rPr>
                      <w:rFonts w:ascii="仿宋_GB2312" w:hAnsi="仿宋_GB2312" w:cs="仿宋_GB2312" w:eastAsia="仿宋_GB2312"/>
                      <w:sz w:val="24"/>
                    </w:rPr>
                    <w:t>联动数据：读者证号、密码、姓名、读者类型、账户状态（是否欠费、挂失）、可借阅册数等。平台将验证结果和读者信息标准化后返回给小程序，完成统一身份认证。</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.馆藏书目数据聚合联动：平台通过定时任务或数据库同步机制，周期性地从核心业务系统抽取全量或增量的书目数据、馆藏信息、副本状态等，清洗、转换后存入平台的搜索引擎中。</w:t>
                  </w:r>
                </w:p>
                <w:p>
                  <w:pPr>
                    <w:pStyle w:val="null3"/>
                    <w:jc w:val="both"/>
                  </w:pPr>
                  <w:r>
                    <w:rPr>
                      <w:rFonts w:ascii="仿宋_GB2312" w:hAnsi="仿宋_GB2312" w:cs="仿宋_GB2312" w:eastAsia="仿宋_GB2312"/>
                      <w:sz w:val="24"/>
                    </w:rPr>
                    <w:t>联动数据：</w:t>
                  </w:r>
                  <w:r>
                    <w:rPr>
                      <w:rFonts w:ascii="仿宋_GB2312" w:hAnsi="仿宋_GB2312" w:cs="仿宋_GB2312" w:eastAsia="仿宋_GB2312"/>
                      <w:sz w:val="24"/>
                    </w:rPr>
                    <w:t>ISBN、题名、作者、出版社、分类号、馆藏地点、副本条码、图书状态（在馆、借出、预约）等。此联动构建了一个高性能的书目查询副本，为读者提供毫秒级的图书检索服务。</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.图书流通业务实时联动：当读者在小程序端执行“借书”、“还书”、“续借”等操作时，平台将这些业务意图实时转换为精确的接口协议指令，并通过与核心业务系统建立的长连接发送，实时完成业务处理。</w:t>
                  </w:r>
                </w:p>
                <w:p>
                  <w:pPr>
                    <w:pStyle w:val="null3"/>
                    <w:jc w:val="both"/>
                  </w:pPr>
                  <w:r>
                    <w:rPr>
                      <w:rFonts w:ascii="仿宋_GB2312" w:hAnsi="仿宋_GB2312" w:cs="仿宋_GB2312" w:eastAsia="仿宋_GB2312"/>
                      <w:sz w:val="24"/>
                    </w:rPr>
                    <w:t>联动数据：读者标识、图书条码、操作时间、应还日期等。平台作为</w:t>
                  </w:r>
                  <w:r>
                    <w:rPr>
                      <w:rFonts w:ascii="仿宋_GB2312" w:hAnsi="仿宋_GB2312" w:cs="仿宋_GB2312" w:eastAsia="仿宋_GB2312"/>
                      <w:sz w:val="24"/>
                    </w:rPr>
                    <w:t>“事务网关”，确保每一步流通操作的原子性和准确性，并将核心系统的处理结果（成功、失败、失败原因）实时反馈给读者。</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.读者借阅状态与行为分析联动：平台不仅能实时查询读者当前的借阅列表、历史借阅记录，还能通过分析流通日志和借阅数据，形成读者阅读报告和行为画像。</w:t>
                  </w:r>
                </w:p>
                <w:p>
                  <w:pPr>
                    <w:pStyle w:val="null3"/>
                    <w:jc w:val="both"/>
                  </w:pPr>
                  <w:r>
                    <w:rPr>
                      <w:rFonts w:ascii="仿宋_GB2312" w:hAnsi="仿宋_GB2312" w:cs="仿宋_GB2312" w:eastAsia="仿宋_GB2312"/>
                      <w:sz w:val="24"/>
                    </w:rPr>
                    <w:t>联动数据：个人借阅历史、借阅排行榜、阅读偏好（常借的图书分类）、年度阅读量统计等。这些数据一方面为读者提供个性化的阅读总结与推荐，另一方面也为图书馆优化馆藏结构、提升服务水平提供了决策依据。</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1"/>
                    </w:rPr>
                    <w:t>▲</w:t>
                  </w:r>
                  <w:r>
                    <w:rPr>
                      <w:rFonts w:ascii="仿宋_GB2312" w:hAnsi="仿宋_GB2312" w:cs="仿宋_GB2312" w:eastAsia="仿宋_GB2312"/>
                      <w:sz w:val="24"/>
                    </w:rPr>
                    <w:t>所有功能模块为本地化部署，永久使用授权，预留数据传输接口。</w:t>
                  </w:r>
                  <w:r>
                    <w:rPr>
                      <w:rFonts w:ascii="仿宋_GB2312" w:hAnsi="仿宋_GB2312" w:cs="仿宋_GB2312" w:eastAsia="仿宋_GB2312"/>
                      <w:sz w:val="24"/>
                    </w:rPr>
                    <w:t>（提供佐证证明材料，包含但不限于系统截图、软著、制造厂商出具的盖鲜章功能说明）</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门禁改造</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建立</w:t>
                  </w:r>
                  <w:r>
                    <w:rPr>
                      <w:rFonts w:ascii="仿宋_GB2312" w:hAnsi="仿宋_GB2312" w:cs="仿宋_GB2312" w:eastAsia="仿宋_GB2312"/>
                      <w:sz w:val="24"/>
                    </w:rPr>
                    <w:t>RFID门禁管理平台，对三馆区现有的40扇RFID安全门禁（长安路馆14通道、西大街馆2通道、高新馆24通道）进行一体化改造与升级。实现RFID安全门与移动端借还系统的数据联动。</w:t>
                  </w:r>
                </w:p>
                <w:p>
                  <w:pPr>
                    <w:pStyle w:val="null3"/>
                    <w:jc w:val="both"/>
                  </w:pPr>
                  <w:r>
                    <w:rPr>
                      <w:rFonts w:ascii="仿宋_GB2312" w:hAnsi="仿宋_GB2312" w:cs="仿宋_GB2312" w:eastAsia="仿宋_GB2312"/>
                      <w:sz w:val="24"/>
                    </w:rPr>
                    <w:t>1.对RFID安全门全局状态进行总览，包括总设备数、在线/离线数量、今日总人流量、当前未处理报警数量等。</w:t>
                  </w:r>
                </w:p>
                <w:p>
                  <w:pPr>
                    <w:pStyle w:val="null3"/>
                    <w:jc w:val="both"/>
                  </w:pPr>
                  <w:r>
                    <w:rPr>
                      <w:rFonts w:ascii="仿宋_GB2312" w:hAnsi="仿宋_GB2312" w:cs="仿宋_GB2312" w:eastAsia="仿宋_GB2312"/>
                      <w:sz w:val="24"/>
                    </w:rPr>
                    <w:t>2.分馆区查看本馆区RFID安全门，可快速切换不同馆区，查看对应下属的所有RFID安全门状态。</w:t>
                  </w:r>
                </w:p>
                <w:p>
                  <w:pPr>
                    <w:pStyle w:val="null3"/>
                    <w:jc w:val="both"/>
                  </w:pPr>
                  <w:r>
                    <w:rPr>
                      <w:rFonts w:ascii="仿宋_GB2312" w:hAnsi="仿宋_GB2312" w:cs="仿宋_GB2312" w:eastAsia="仿宋_GB2312"/>
                      <w:sz w:val="24"/>
                    </w:rPr>
                    <w:t>3.显示RFID安全门的通信状态：在线、离线、通信断续（记录离线时间与时长）。</w:t>
                  </w:r>
                </w:p>
                <w:p>
                  <w:pPr>
                    <w:pStyle w:val="null3"/>
                    <w:jc w:val="both"/>
                  </w:pPr>
                  <w:r>
                    <w:rPr>
                      <w:rFonts w:ascii="仿宋_GB2312" w:hAnsi="仿宋_GB2312" w:cs="仿宋_GB2312" w:eastAsia="仿宋_GB2312"/>
                      <w:sz w:val="24"/>
                    </w:rPr>
                    <w:t>4.状态实时监控，可对每一套RFID安全门（包含读写器、天线、工控机、配件）的工作状态进行全方位监控。</w:t>
                  </w:r>
                </w:p>
                <w:p>
                  <w:pPr>
                    <w:pStyle w:val="null3"/>
                    <w:jc w:val="both"/>
                  </w:pPr>
                  <w:r>
                    <w:rPr>
                      <w:rFonts w:ascii="仿宋_GB2312" w:hAnsi="仿宋_GB2312" w:cs="仿宋_GB2312" w:eastAsia="仿宋_GB2312"/>
                      <w:sz w:val="24"/>
                    </w:rPr>
                    <w:t>5.基于RFID读卡数据，统计各通道的通行情况，可显示当前各通道的当前通行人数，可按小时、日、周、月等多维度统计指定RFID门禁点或馆区的进出人次。</w:t>
                  </w:r>
                </w:p>
                <w:p>
                  <w:pPr>
                    <w:pStyle w:val="null3"/>
                    <w:jc w:val="both"/>
                  </w:pPr>
                  <w:r>
                    <w:rPr>
                      <w:rFonts w:ascii="仿宋_GB2312" w:hAnsi="仿宋_GB2312" w:cs="仿宋_GB2312" w:eastAsia="仿宋_GB2312"/>
                      <w:sz w:val="24"/>
                    </w:rPr>
                    <w:t>6.集中管理所有设备产生的报警和系统事件，确保问题能被及时发现和处理。</w:t>
                  </w:r>
                </w:p>
                <w:p>
                  <w:pPr>
                    <w:pStyle w:val="null3"/>
                    <w:jc w:val="both"/>
                  </w:pPr>
                  <w:r>
                    <w:rPr>
                      <w:rFonts w:ascii="仿宋_GB2312" w:hAnsi="仿宋_GB2312" w:cs="仿宋_GB2312" w:eastAsia="仿宋_GB2312"/>
                      <w:sz w:val="24"/>
                    </w:rPr>
                    <w:t>7.对RFID安全门进行统一控制，对RFID安全门软件进行配置与更新。</w:t>
                  </w:r>
                </w:p>
                <w:p>
                  <w:pPr>
                    <w:pStyle w:val="null3"/>
                  </w:pPr>
                  <w:r>
                    <w:rPr>
                      <w:rFonts w:ascii="仿宋_GB2312" w:hAnsi="仿宋_GB2312" w:cs="仿宋_GB2312" w:eastAsia="仿宋_GB2312"/>
                      <w:sz w:val="24"/>
                    </w:rPr>
                    <w:t>改造后，当读者携带已通过手机办理借阅的图书通过安全门时，门禁须具备改写图书的</w:t>
                  </w:r>
                  <w:r>
                    <w:rPr>
                      <w:rFonts w:ascii="仿宋_GB2312" w:hAnsi="仿宋_GB2312" w:cs="仿宋_GB2312" w:eastAsia="仿宋_GB2312"/>
                      <w:sz w:val="24"/>
                    </w:rPr>
                    <w:t>RFID安全标识功能，支持自动识别移动借阅图书RFID芯片，不触发误报警，从而保障“移动借阅”新流程在全馆范围内的顺畅运行。预留数据传输接口。</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还书定位终端</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部署</w:t>
                  </w:r>
                  <w:r>
                    <w:rPr>
                      <w:rFonts w:ascii="仿宋_GB2312" w:hAnsi="仿宋_GB2312" w:cs="仿宋_GB2312" w:eastAsia="仿宋_GB2312"/>
                      <w:sz w:val="24"/>
                    </w:rPr>
                    <w:t>24套还书定位终端（</w:t>
                  </w:r>
                  <w:r>
                    <w:rPr>
                      <w:rFonts w:ascii="仿宋_GB2312" w:hAnsi="仿宋_GB2312" w:cs="仿宋_GB2312" w:eastAsia="仿宋_GB2312"/>
                      <w:sz w:val="24"/>
                    </w:rPr>
                    <w:t>长安路馆</w:t>
                  </w:r>
                  <w:r>
                    <w:rPr>
                      <w:rFonts w:ascii="仿宋_GB2312" w:hAnsi="仿宋_GB2312" w:cs="仿宋_GB2312" w:eastAsia="仿宋_GB2312"/>
                      <w:sz w:val="24"/>
                    </w:rPr>
                    <w:t>10</w:t>
                  </w:r>
                  <w:r>
                    <w:rPr>
                      <w:rFonts w:ascii="仿宋_GB2312" w:hAnsi="仿宋_GB2312" w:cs="仿宋_GB2312" w:eastAsia="仿宋_GB2312"/>
                      <w:sz w:val="24"/>
                    </w:rPr>
                    <w:t>套</w:t>
                  </w:r>
                  <w:r>
                    <w:rPr>
                      <w:rFonts w:ascii="仿宋_GB2312" w:hAnsi="仿宋_GB2312" w:cs="仿宋_GB2312" w:eastAsia="仿宋_GB2312"/>
                      <w:sz w:val="24"/>
                    </w:rPr>
                    <w:t>，高新区馆</w:t>
                  </w:r>
                  <w:r>
                    <w:rPr>
                      <w:rFonts w:ascii="仿宋_GB2312" w:hAnsi="仿宋_GB2312" w:cs="仿宋_GB2312" w:eastAsia="仿宋_GB2312"/>
                      <w:sz w:val="24"/>
                    </w:rPr>
                    <w:t>12</w:t>
                  </w:r>
                  <w:r>
                    <w:rPr>
                      <w:rFonts w:ascii="仿宋_GB2312" w:hAnsi="仿宋_GB2312" w:cs="仿宋_GB2312" w:eastAsia="仿宋_GB2312"/>
                      <w:sz w:val="24"/>
                    </w:rPr>
                    <w:t>套</w:t>
                  </w:r>
                  <w:r>
                    <w:rPr>
                      <w:rFonts w:ascii="仿宋_GB2312" w:hAnsi="仿宋_GB2312" w:cs="仿宋_GB2312" w:eastAsia="仿宋_GB2312"/>
                      <w:sz w:val="24"/>
                    </w:rPr>
                    <w:t>，西大街馆</w:t>
                  </w:r>
                  <w:r>
                    <w:rPr>
                      <w:rFonts w:ascii="仿宋_GB2312" w:hAnsi="仿宋_GB2312" w:cs="仿宋_GB2312" w:eastAsia="仿宋_GB2312"/>
                      <w:sz w:val="24"/>
                    </w:rPr>
                    <w:t>2</w:t>
                  </w:r>
                  <w:r>
                    <w:rPr>
                      <w:rFonts w:ascii="仿宋_GB2312" w:hAnsi="仿宋_GB2312" w:cs="仿宋_GB2312" w:eastAsia="仿宋_GB2312"/>
                      <w:sz w:val="24"/>
                    </w:rPr>
                    <w:t>套），定制书柜内嵌还书定位终端，办理过还书手续的图书可放置在定制书柜上存放。可设置还书区域为终端周围</w:t>
                  </w:r>
                  <w:r>
                    <w:rPr>
                      <w:rFonts w:ascii="仿宋_GB2312" w:hAnsi="仿宋_GB2312" w:cs="仿宋_GB2312" w:eastAsia="仿宋_GB2312"/>
                      <w:sz w:val="24"/>
                    </w:rPr>
                    <w:t>≥1米。预留数据传输接口。</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维保</w:t>
                  </w:r>
                </w:p>
              </w:tc>
              <w:tc>
                <w:tcPr>
                  <w:tcW w:type="dxa" w:w="2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针对</w:t>
                  </w:r>
                  <w:r>
                    <w:rPr>
                      <w:rFonts w:ascii="仿宋_GB2312" w:hAnsi="仿宋_GB2312" w:cs="仿宋_GB2312" w:eastAsia="仿宋_GB2312"/>
                      <w:sz w:val="24"/>
                    </w:rPr>
                    <w:t>仓储系统</w:t>
                  </w:r>
                  <w:r>
                    <w:rPr>
                      <w:rFonts w:ascii="仿宋_GB2312" w:hAnsi="仿宋_GB2312" w:cs="仿宋_GB2312" w:eastAsia="仿宋_GB2312"/>
                      <w:sz w:val="24"/>
                    </w:rPr>
                    <w:t>配套数据存储系统维保，包括控制器、磁盘框、磁盘维保延续至</w:t>
                  </w:r>
                  <w:r>
                    <w:rPr>
                      <w:rFonts w:ascii="仿宋_GB2312" w:hAnsi="仿宋_GB2312" w:cs="仿宋_GB2312" w:eastAsia="仿宋_GB2312"/>
                      <w:sz w:val="24"/>
                    </w:rPr>
                    <w:t>2027年底。维保包含免费技术支持、硬件维修。本项目除存储系统外，自验收合格后提供免费维保3年。</w:t>
                  </w:r>
                </w:p>
              </w:tc>
            </w:tr>
          </w:tbl>
          <w:p>
            <w:pPr>
              <w:pStyle w:val="null3"/>
              <w:jc w:val="both"/>
            </w:pPr>
            <w:r>
              <w:rPr>
                <w:rFonts w:ascii="仿宋_GB2312" w:hAnsi="仿宋_GB2312" w:cs="仿宋_GB2312" w:eastAsia="仿宋_GB2312"/>
                <w:sz w:val="24"/>
                <w:b/>
              </w:rPr>
              <w:t>三、预期效益</w:t>
            </w:r>
          </w:p>
          <w:p>
            <w:pPr>
              <w:pStyle w:val="null3"/>
              <w:ind w:firstLine="480"/>
              <w:jc w:val="both"/>
            </w:pPr>
            <w:r>
              <w:rPr>
                <w:rFonts w:ascii="仿宋_GB2312" w:hAnsi="仿宋_GB2312" w:cs="仿宋_GB2312" w:eastAsia="仿宋_GB2312"/>
                <w:sz w:val="24"/>
              </w:rPr>
              <w:t>（一）服务效能显著提升</w:t>
            </w:r>
          </w:p>
          <w:p>
            <w:pPr>
              <w:pStyle w:val="null3"/>
              <w:ind w:firstLine="480"/>
              <w:jc w:val="both"/>
            </w:pPr>
            <w:r>
              <w:rPr>
                <w:rFonts w:ascii="仿宋_GB2312" w:hAnsi="仿宋_GB2312" w:cs="仿宋_GB2312" w:eastAsia="仿宋_GB2312"/>
                <w:sz w:val="24"/>
              </w:rPr>
              <w:t>通过平台功能优化扩展，实现仓储平台数据收集、上传的稳定性、准确定、利用率。实现读者借还服务的全流程自助操作，无需现场排队等待。</w:t>
            </w:r>
          </w:p>
          <w:p>
            <w:pPr>
              <w:pStyle w:val="null3"/>
              <w:ind w:firstLine="480"/>
              <w:jc w:val="both"/>
            </w:pPr>
            <w:r>
              <w:rPr>
                <w:rFonts w:ascii="仿宋_GB2312" w:hAnsi="仿宋_GB2312" w:cs="仿宋_GB2312" w:eastAsia="仿宋_GB2312"/>
                <w:sz w:val="24"/>
              </w:rPr>
              <w:t>（二）促进公共文化服务均等化</w:t>
            </w:r>
          </w:p>
          <w:p>
            <w:pPr>
              <w:pStyle w:val="null3"/>
              <w:ind w:firstLine="480"/>
              <w:jc w:val="both"/>
            </w:pPr>
            <w:r>
              <w:rPr>
                <w:rFonts w:ascii="仿宋_GB2312" w:hAnsi="仿宋_GB2312" w:cs="仿宋_GB2312" w:eastAsia="仿宋_GB2312"/>
                <w:sz w:val="24"/>
              </w:rPr>
              <w:t>凭借强大的平台化能力，依托国家平台，将各省图的优质资源与服务模式快速复制共享，弥补各馆智慧化建设资源不足的短板，缩小各地区公共文化服务的差距，推动全国公共文化服务均等化。</w:t>
            </w:r>
          </w:p>
          <w:p>
            <w:pPr>
              <w:pStyle w:val="null3"/>
              <w:ind w:firstLine="480"/>
              <w:jc w:val="both"/>
            </w:pPr>
            <w:r>
              <w:rPr>
                <w:rFonts w:ascii="仿宋_GB2312" w:hAnsi="仿宋_GB2312" w:cs="仿宋_GB2312" w:eastAsia="仿宋_GB2312"/>
                <w:sz w:val="24"/>
              </w:rPr>
              <w:t>（三）强化品牌形象与影响力</w:t>
            </w:r>
          </w:p>
          <w:p>
            <w:pPr>
              <w:pStyle w:val="null3"/>
              <w:ind w:firstLine="480"/>
              <w:jc w:val="both"/>
            </w:pPr>
            <w:r>
              <w:rPr>
                <w:rFonts w:ascii="仿宋_GB2312" w:hAnsi="仿宋_GB2312" w:cs="仿宋_GB2312" w:eastAsia="仿宋_GB2312"/>
                <w:sz w:val="24"/>
              </w:rPr>
              <w:t>通过降低借阅门槛、提升服务便捷性，有效激发全民阅读兴趣，提高馆藏文献资源的周转率与利用率。</w:t>
            </w:r>
          </w:p>
          <w:p>
            <w:pPr>
              <w:pStyle w:val="null3"/>
              <w:ind w:firstLine="482"/>
              <w:jc w:val="both"/>
            </w:pPr>
            <w:r>
              <w:rPr>
                <w:rFonts w:ascii="仿宋_GB2312" w:hAnsi="仿宋_GB2312" w:cs="仿宋_GB2312" w:eastAsia="仿宋_GB2312"/>
                <w:sz w:val="24"/>
                <w:b/>
              </w:rPr>
              <w:t>四、售后服务</w:t>
            </w:r>
          </w:p>
          <w:p>
            <w:pPr>
              <w:pStyle w:val="null3"/>
              <w:ind w:firstLine="480"/>
              <w:jc w:val="both"/>
            </w:pPr>
            <w:r>
              <w:rPr>
                <w:rFonts w:ascii="仿宋_GB2312" w:hAnsi="仿宋_GB2312" w:cs="仿宋_GB2312" w:eastAsia="仿宋_GB2312"/>
                <w:sz w:val="24"/>
              </w:rPr>
              <w:t>（一）投标商应提供承诺函，承诺无条件配合原系统维保商工作，确保仓储平台联动的存储系统能够正常运行。</w:t>
            </w:r>
          </w:p>
          <w:p>
            <w:pPr>
              <w:pStyle w:val="null3"/>
              <w:ind w:firstLine="480"/>
              <w:jc w:val="both"/>
            </w:pPr>
            <w:r>
              <w:rPr>
                <w:rFonts w:ascii="仿宋_GB2312" w:hAnsi="仿宋_GB2312" w:cs="仿宋_GB2312" w:eastAsia="仿宋_GB2312"/>
                <w:sz w:val="24"/>
              </w:rPr>
              <w:t>（二）投标商及所投产品生产商应提供承诺函，承诺所有项目实施中的接口对接不另外收取接口和对接费用；凡项目内要求预留数据接口的，交付后，无论质保期内外，与用户购买的第三方产品对接时，按需配置接口数量，配合技术对接工作，不得另外收取对接及接口费用。</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成交供应商</w:t>
            </w:r>
            <w:r>
              <w:rPr>
                <w:rFonts w:ascii="仿宋_GB2312" w:hAnsi="仿宋_GB2312" w:cs="仿宋_GB2312" w:eastAsia="仿宋_GB2312"/>
                <w:sz w:val="24"/>
              </w:rPr>
              <w:t>应提供售后技术服务工程师名单及联系方式，并提供</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小时服务热线电话。紧急故障时，工程师半小时响应，</w:t>
            </w:r>
            <w:r>
              <w:rPr>
                <w:rFonts w:ascii="仿宋_GB2312" w:hAnsi="仿宋_GB2312" w:cs="仿宋_GB2312" w:eastAsia="仿宋_GB2312"/>
                <w:sz w:val="24"/>
              </w:rPr>
              <w:t>2</w:t>
            </w:r>
            <w:r>
              <w:rPr>
                <w:rFonts w:ascii="仿宋_GB2312" w:hAnsi="仿宋_GB2312" w:cs="仿宋_GB2312" w:eastAsia="仿宋_GB2312"/>
                <w:sz w:val="24"/>
              </w:rPr>
              <w:t>小时内到达现场，对项目内所涉及的所有软硬件产品，由</w:t>
            </w:r>
            <w:r>
              <w:rPr>
                <w:rFonts w:ascii="仿宋_GB2312" w:hAnsi="仿宋_GB2312" w:cs="仿宋_GB2312" w:eastAsia="仿宋_GB2312"/>
                <w:sz w:val="24"/>
              </w:rPr>
              <w:t>成交供应商</w:t>
            </w:r>
            <w:r>
              <w:rPr>
                <w:rFonts w:ascii="仿宋_GB2312" w:hAnsi="仿宋_GB2312" w:cs="仿宋_GB2312" w:eastAsia="仿宋_GB2312"/>
                <w:sz w:val="24"/>
              </w:rPr>
              <w:t>售后统一协调指挥处理。</w:t>
            </w:r>
          </w:p>
          <w:p>
            <w:pPr>
              <w:pStyle w:val="null3"/>
              <w:ind w:firstLine="480"/>
              <w:jc w:val="both"/>
            </w:pPr>
            <w:r>
              <w:rPr>
                <w:rFonts w:ascii="仿宋_GB2312" w:hAnsi="仿宋_GB2312" w:cs="仿宋_GB2312" w:eastAsia="仿宋_GB2312"/>
                <w:sz w:val="24"/>
              </w:rPr>
              <w:t>（四）工期</w:t>
            </w:r>
          </w:p>
          <w:p>
            <w:pPr>
              <w:pStyle w:val="null3"/>
              <w:ind w:firstLine="480"/>
              <w:jc w:val="both"/>
            </w:pPr>
            <w:r>
              <w:rPr>
                <w:rFonts w:ascii="仿宋_GB2312" w:hAnsi="仿宋_GB2312" w:cs="仿宋_GB2312" w:eastAsia="仿宋_GB2312"/>
                <w:sz w:val="24"/>
              </w:rPr>
              <w:t>本项目要求工期自签订合同生效后</w:t>
            </w:r>
            <w:r>
              <w:rPr>
                <w:rFonts w:ascii="仿宋_GB2312" w:hAnsi="仿宋_GB2312" w:cs="仿宋_GB2312" w:eastAsia="仿宋_GB2312"/>
                <w:sz w:val="24"/>
              </w:rPr>
              <w:t>45</w:t>
            </w:r>
            <w:r>
              <w:rPr>
                <w:rFonts w:ascii="仿宋_GB2312" w:hAnsi="仿宋_GB2312" w:cs="仿宋_GB2312" w:eastAsia="仿宋_GB2312"/>
                <w:sz w:val="24"/>
              </w:rPr>
              <w:t>日历日内完成，不包含验收时间，验收时间由双方协商。</w:t>
            </w:r>
          </w:p>
          <w:p>
            <w:pPr>
              <w:pStyle w:val="null3"/>
              <w:ind w:firstLine="482"/>
              <w:jc w:val="both"/>
            </w:pPr>
            <w:r>
              <w:rPr>
                <w:rFonts w:ascii="仿宋_GB2312" w:hAnsi="仿宋_GB2312" w:cs="仿宋_GB2312" w:eastAsia="仿宋_GB2312"/>
                <w:sz w:val="24"/>
                <w:b/>
              </w:rPr>
              <w:t>五、培训</w:t>
            </w:r>
          </w:p>
          <w:p>
            <w:pPr>
              <w:pStyle w:val="null3"/>
            </w:pPr>
            <w:r>
              <w:rPr>
                <w:rFonts w:ascii="仿宋_GB2312" w:hAnsi="仿宋_GB2312" w:cs="仿宋_GB2312" w:eastAsia="仿宋_GB2312"/>
                <w:sz w:val="24"/>
              </w:rPr>
              <w:t>成交供应商</w:t>
            </w:r>
            <w:r>
              <w:rPr>
                <w:rFonts w:ascii="仿宋_GB2312" w:hAnsi="仿宋_GB2312" w:cs="仿宋_GB2312" w:eastAsia="仿宋_GB2312"/>
                <w:sz w:val="24"/>
              </w:rPr>
              <w:t>在软件、设备安装调试完毕后，需组织关于业务系统的理论知识、设备原理和操作维护的集中培训。参与学习培训人数不超过</w:t>
            </w:r>
            <w:r>
              <w:rPr>
                <w:rFonts w:ascii="仿宋_GB2312" w:hAnsi="仿宋_GB2312" w:cs="仿宋_GB2312" w:eastAsia="仿宋_GB2312"/>
                <w:sz w:val="24"/>
              </w:rPr>
              <w:t>10</w:t>
            </w:r>
            <w:r>
              <w:rPr>
                <w:rFonts w:ascii="仿宋_GB2312" w:hAnsi="仿宋_GB2312" w:cs="仿宋_GB2312" w:eastAsia="仿宋_GB2312"/>
                <w:sz w:val="24"/>
              </w:rPr>
              <w:t>人，时间不超过</w:t>
            </w:r>
            <w:r>
              <w:rPr>
                <w:rFonts w:ascii="仿宋_GB2312" w:hAnsi="仿宋_GB2312" w:cs="仿宋_GB2312" w:eastAsia="仿宋_GB2312"/>
                <w:sz w:val="24"/>
              </w:rPr>
              <w:t>1</w:t>
            </w:r>
            <w:r>
              <w:rPr>
                <w:rFonts w:ascii="仿宋_GB2312" w:hAnsi="仿宋_GB2312" w:cs="仿宋_GB2312" w:eastAsia="仿宋_GB2312"/>
                <w:sz w:val="24"/>
              </w:rPr>
              <w:t>天，培训所涉及所有费用由中标方承担。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本项目要求工期自签订合同生效后45日历日内完成，不包含验收时间，验收时间由双方协商。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 初步验收：系统开发部署完成，所有功能模块经采购人测试确认符合招标要求后，进行初步验收。 2. 最终验收：系统试运行期满，运行稳定，无重大故障，且所有交付物齐全后，由采购人组织专家进行最终验收。 3. 验收依据：以本招标文件、中标人的投标文件及双方签订的合同为主要验收依据。 4.验收依据： （1）合同文本、合同附件、招标文件。 （2）国内相应的标准、规范。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进度款，供应商按照合同要求完成项目并通过最终验收，采购人确认通过后。，达到付款条件起20个工作日内，支付合同总金额的50.0%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如甲方的代表认定乙方不能达到甲方的业务要求，则有权要求乙方更换服务团队或进行相应的质量更改。并且，如因乙方的服务不能达到甲方业务要求而对项目的时间进度或质量造成影响，则甲方有权解除本合同，并要求乙方赔偿相应的损失。 2. 因乙方原因不能按时完成任务，则每超过一天乙方应向甲方支付本合同开发费用总额的1.5‰作为违约金，如果逾期超过30天，则甲方有权解除本合同，并要求乙方赔偿相当于总合同金额20%的损失。 3. 如甲方无正当理由不能按时付款，每逾期一天甲方向乙方支付应付未付金额的1.5‰作为违约金；逾期30天以上，乙方有权解除本合同。 4.如因乙方无故停工，或因乙方原因不能满足甲方最终软件需求，造成项目不能完成时，甲方有权解除本合同，并要求乙方赔偿相应的损失。 双方因本合同产生的或与本合同有关的一切争议，应本着实事求是的原则友好协商解决。如达不成协议时，任何一方均有权向西安仲裁委员会提起仲裁。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（1）因纸质版资料存档需要，投标供应商需提供纸质响应文件正本1份、副本1份。 递交地址：西安市雁塔区朱雀大街南段69号长丰园三区5号楼9层9006室，（1.请于开标截止时间2个工作日内递交；2.如邮寄不接受到付。）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以来任意1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提供2025年10月以来任意1个月的社会保障资金缴存单据或社保机构开具的社会保险参保缴费情况证明。依法不需要缴纳社会保障资金的供应商应提供相关文件证明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近3年内在经营活动中无重大违法记录</w:t>
            </w:r>
          </w:p>
        </w:tc>
        <w:tc>
          <w:tcPr>
            <w:tcW w:type="dxa" w:w="3322"/>
          </w:tcPr>
          <w:p>
            <w:pPr>
              <w:pStyle w:val="null3"/>
            </w:pPr>
            <w:r>
              <w:rPr>
                <w:rFonts w:ascii="仿宋_GB2312" w:hAnsi="仿宋_GB2312" w:cs="仿宋_GB2312" w:eastAsia="仿宋_GB2312"/>
              </w:rPr>
              <w:t>近3年内在经营活动中无重大违法记录：参加政府采购活动前3年内在经营活动中没有重大违法记录的书面声明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投标的，须提供法定代表人委托授权书和被授权人提交投标文件截止时间前两年内任意一个月的社会保障资金（养老保险或医疗保险）的缴纳证明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本项目不接受联合体投标：本项目不接受联合体投标（提供声明函）</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商务应答表 供应商应提交的相关资格证明材料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服务要求和技术参数</w:t>
            </w:r>
          </w:p>
        </w:tc>
        <w:tc>
          <w:tcPr>
            <w:tcW w:type="dxa" w:w="2492"/>
          </w:tcPr>
          <w:p>
            <w:pPr>
              <w:pStyle w:val="null3"/>
            </w:pPr>
            <w:r>
              <w:rPr>
                <w:rFonts w:ascii="仿宋_GB2312" w:hAnsi="仿宋_GB2312" w:cs="仿宋_GB2312" w:eastAsia="仿宋_GB2312"/>
              </w:rPr>
              <w:t>根据第三部分采购内容及技术要求中的响应情况进行打分。 1、标★为实质性要求，供应商必须响应并满足。 2、标“▲”为重要参数，每有一项不满足的扣2分，非“▲”参数，每有一项不满足的扣1分，扣完20分为止。 注：提供佐证证明材料的，可包含但不限于系统截图、软著、制造厂商出具的盖鲜章功能说明，不提供或内容不符的，按不满足扣分。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项目理解与整体部署</w:t>
            </w:r>
          </w:p>
        </w:tc>
        <w:tc>
          <w:tcPr>
            <w:tcW w:type="dxa" w:w="2492"/>
          </w:tcPr>
          <w:p>
            <w:pPr>
              <w:pStyle w:val="null3"/>
            </w:pPr>
            <w:r>
              <w:rPr>
                <w:rFonts w:ascii="仿宋_GB2312" w:hAnsi="仿宋_GB2312" w:cs="仿宋_GB2312" w:eastAsia="仿宋_GB2312"/>
              </w:rPr>
              <w:t>包含但不限于项目整体及主要技术功能需求理解、项目整体部署计划等内容。 1、整体需求及功能需求理解全面、目标任务明确、项目整体部署方案科学合理，可行性强得7-10分； 2、整体需求及功能需求理解一般、目标任务基本明确、项目整体部署方案可行性较强得3-6分； 3、项目功能需求理解较差、目标任务不明确、项目整体部署方案可行性差得0-2分。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包括但不限于总体架构设计、业务逻辑架构、数据保密、数据对接等内容： 1、项目设计思路清晰、业务逻辑架构清晰、数据保密措施完善、数据对接方案合理10-15分； 2、项目设计思路基本清晰、业务逻辑架构基本清晰、数据保密措施较完善、数据对接方案基本合理得5-9分； 3、项目设计思路不清晰、业务逻辑架构不清晰、数据保密措施不完善、数据对接方案不合理得0-4分。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包括但不限于项目组织管理、人员配备、系统安装调试、进度管控等内容： 1、项目组织管理合理，人员配备得当，系统安装调试合理，进度安排得当得10-15分； 2、项目组织管理基本合理，人员配备基本得当，系统安装调试基本合理，进度安排基本得当得5-9分； 3、项目组织管理不合理，人员配备不得当，系统安装调试不合理，进度安排不得当得0-4分。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运维维护方案</w:t>
            </w:r>
          </w:p>
        </w:tc>
        <w:tc>
          <w:tcPr>
            <w:tcW w:type="dxa" w:w="2492"/>
          </w:tcPr>
          <w:p>
            <w:pPr>
              <w:pStyle w:val="null3"/>
            </w:pPr>
            <w:r>
              <w:rPr>
                <w:rFonts w:ascii="仿宋_GB2312" w:hAnsi="仿宋_GB2312" w:cs="仿宋_GB2312" w:eastAsia="仿宋_GB2312"/>
              </w:rPr>
              <w:t>包括但不限于运维内容、安排计划、故障处理、软件升级等内容。 1、运维维护内容全面、运维计划科学合理、故障处理措施完善、软件升级方案明确得8-10分； 2、运维维护内容较全面、运维计划较科学合理、故障处理措施较完善、软件升级方案较明确得4-7分； 3、运维维护内容不全面、运维计划不科学合理、故障处理措施不完善、软件升级方案不明确得0-3分。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包括但不限于质量目标、质量控制措施、质量承诺等内容： 1、质量目标明确，质量控制措施完善，质量承诺详细得4-5分； 2、质量目标较明确，质量控制措施较完善，质量承诺较详细得2-3分； 3、质量目标不明确，质量控制措施不完善，质量承诺不详细得0-1分。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包括但不限于系统操作、使用人员培训等内容： 1、培训计划、培训内容全面，对象明确，方式得当，流程清晰得4-5分； 2、培训计划、培训内容基本全面，对象较明确，方式基本得当，流程较清晰得2-3分； 3、培训计划、培训内容不全面，对象不明确，方式不得当，流程不清晰得0-1分。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售后及服务承诺</w:t>
            </w:r>
          </w:p>
        </w:tc>
        <w:tc>
          <w:tcPr>
            <w:tcW w:type="dxa" w:w="2492"/>
          </w:tcPr>
          <w:p>
            <w:pPr>
              <w:pStyle w:val="null3"/>
            </w:pPr>
            <w:r>
              <w:rPr>
                <w:rFonts w:ascii="仿宋_GB2312" w:hAnsi="仿宋_GB2312" w:cs="仿宋_GB2312" w:eastAsia="仿宋_GB2312"/>
              </w:rPr>
              <w:t>包括但不限于、售后服务体系、售后服务承诺、售后服务人员等内容： 1、体系健全，人员配备合理，售后承诺及服务承诺明确得4-5分； 2、体系较健全，人员配备较合理，售后承诺及服务承诺较明确得2-3分； 3、体系不健全，人员配备不合理，售后承诺及服务承诺不明确得0-1分。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 2023年1 月至今，完成类似项目的业绩（以合同为准，复印件加盖公章）。每提供一个有效业绩得1分，最高得5分。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 价格最低的响应报价为评标基准价，其价格分为满分。其他供 应商的价格分统一按照下列公式计算： 价格分=(评标基准价／响应报价)×10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