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版本号：【KRDL】K3-260506520260528001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2026年校园网与数据中心运维服务项目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【KRDL】K3-2605065</w:t>
      </w:r>
      <w:r>
        <w:br/>
      </w:r>
      <w:r>
        <w:br/>
      </w:r>
      <w:r>
        <w:br/>
      </w:r>
    </w:p>
    <w:p>
      <w:pPr>
        <w:pStyle w:val="null3"/>
        <w:jc w:val="center"/>
        <w:outlineLvl w:val="2"/>
      </w:pPr>
      <w:r>
        <w:rPr>
          <w:rFonts w:ascii="仿宋_GB2312" w:hAnsi="仿宋_GB2312" w:cs="仿宋_GB2312" w:eastAsia="仿宋_GB2312"/>
          <w:sz w:val="28"/>
          <w:b/>
        </w:rPr>
        <w:t>西安音乐学院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西安音乐学院</w:t>
      </w:r>
      <w:r>
        <w:rPr>
          <w:rFonts w:ascii="仿宋_GB2312" w:hAnsi="仿宋_GB2312" w:cs="仿宋_GB2312" w:eastAsia="仿宋_GB2312"/>
        </w:rPr>
        <w:t>委托，拟对</w:t>
      </w:r>
      <w:r>
        <w:rPr>
          <w:rFonts w:ascii="仿宋_GB2312" w:hAnsi="仿宋_GB2312" w:cs="仿宋_GB2312" w:eastAsia="仿宋_GB2312"/>
        </w:rPr>
        <w:t>2026年校园网与数据中心运维服务项目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【KRDL】K3-2605065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2026年校园网与数据中心运维服务项目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本项目采购校园网与数据中心信息化专业运维服务，保障学校校园网络与数据中心基础设施环境的正常、安全、稳定运行，具体内容及要求详见竞争性磋商文件、答疑文件等所包含的全部内容。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1、主体资格：供应商为向采购人提供服务的法人或其他组织</w:t>
      </w:r>
    </w:p>
    <w:p>
      <w:pPr>
        <w:pStyle w:val="null3"/>
      </w:pPr>
      <w:r>
        <w:rPr>
          <w:rFonts w:ascii="仿宋_GB2312" w:hAnsi="仿宋_GB2312" w:cs="仿宋_GB2312" w:eastAsia="仿宋_GB2312"/>
        </w:rPr>
        <w:t>2、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西安音乐学院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陕西省西安市长安中路108号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国有资产管理处</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029-88667464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张晨、马玉娇、王昭、姚瑶、刘昆、代光艳、王森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029-89563179、15109119970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代理服务费收费标准：参照国家计委颁发的《采购代理服务收费管理暂行办法》（计价格[2002]1980号）以及国家发展和改革委员会办公厅颁发的《关于采购代理服务收费有关问题的通知》（发改办价格[2003] 857号）的有关规定标准，向招标代理机构一次付清代理服务费。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西安音乐学院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西安音乐学院</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西安音乐学院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以本项目合同约定为准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联系人：张晨、马玉娇</w:t>
      </w:r>
    </w:p>
    <w:p>
      <w:pPr>
        <w:pStyle w:val="null3"/>
      </w:pPr>
      <w:r>
        <w:rPr>
          <w:rFonts w:ascii="仿宋_GB2312" w:hAnsi="仿宋_GB2312" w:cs="仿宋_GB2312" w:eastAsia="仿宋_GB2312"/>
        </w:rPr>
        <w:t>联系电话：15109119970</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本项目采购校园网与数据中心信息化专业运维服务，保障学校校园网络与数据中心基础设施环境的正常、安全、稳定运行，具体内容及要求详见竞争性磋商文件、答疑文件等所包含的全部内容。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240,000.00</w:t>
      </w:r>
    </w:p>
    <w:p>
      <w:pPr>
        <w:pStyle w:val="null3"/>
      </w:pPr>
      <w:r>
        <w:rPr>
          <w:rFonts w:ascii="仿宋_GB2312" w:hAnsi="仿宋_GB2312" w:cs="仿宋_GB2312" w:eastAsia="仿宋_GB2312"/>
        </w:rPr>
        <w:t>采购包最高限价（元）: 240,000.00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西安音乐学院2026年校园网与数据中心运维服务项目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标的名称：西安音乐学院2026年校园网与数据中心运维服务项目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b/>
              </w:rPr>
              <w:t>一</w:t>
            </w:r>
            <w:r>
              <w:rPr>
                <w:rFonts w:ascii="仿宋_GB2312" w:hAnsi="仿宋_GB2312" w:cs="仿宋_GB2312" w:eastAsia="仿宋_GB2312"/>
                <w:sz w:val="22"/>
                <w:b/>
              </w:rPr>
              <w:t>、</w:t>
            </w:r>
            <w:r>
              <w:rPr>
                <w:rFonts w:ascii="仿宋_GB2312" w:hAnsi="仿宋_GB2312" w:cs="仿宋_GB2312" w:eastAsia="仿宋_GB2312"/>
                <w:sz w:val="22"/>
                <w:b/>
              </w:rPr>
              <w:t>驻场运维</w:t>
            </w:r>
            <w:r>
              <w:rPr>
                <w:rFonts w:ascii="仿宋_GB2312" w:hAnsi="仿宋_GB2312" w:cs="仿宋_GB2312" w:eastAsia="仿宋_GB2312"/>
                <w:sz w:val="22"/>
                <w:b/>
              </w:rPr>
              <w:t>服务要求</w:t>
            </w:r>
          </w:p>
          <w:p>
            <w:pPr>
              <w:pStyle w:val="null3"/>
              <w:ind w:firstLine="440"/>
              <w:jc w:val="both"/>
            </w:pPr>
            <w:r>
              <w:rPr>
                <w:rFonts w:ascii="仿宋_GB2312" w:hAnsi="仿宋_GB2312" w:cs="仿宋_GB2312" w:eastAsia="仿宋_GB2312"/>
                <w:sz w:val="22"/>
              </w:rPr>
              <w:t>（一）资产梳理服务</w:t>
            </w:r>
          </w:p>
          <w:p>
            <w:pPr>
              <w:pStyle w:val="null3"/>
              <w:ind w:firstLine="440"/>
              <w:jc w:val="both"/>
            </w:pPr>
            <w:r>
              <w:rPr>
                <w:rFonts w:ascii="仿宋_GB2312" w:hAnsi="仿宋_GB2312" w:cs="仿宋_GB2312" w:eastAsia="仿宋_GB2312"/>
                <w:sz w:val="22"/>
              </w:rPr>
              <w:t>对校园网和数据中心设备、机柜、光纤配线、信息点等进行摸底，建立完整、准确、详实的信息化基础设施资产台账，按照基础信息、管理信息、安全信息、系统信息等相关信息进行采集、整理及更新。使用学校的</w:t>
            </w:r>
            <w:r>
              <w:rPr>
                <w:rFonts w:ascii="仿宋_GB2312" w:hAnsi="仿宋_GB2312" w:cs="仿宋_GB2312" w:eastAsia="仿宋_GB2312"/>
                <w:sz w:val="22"/>
              </w:rPr>
              <w:t>IT资源管理运维平台，对校园网IP地址资源进行网格化分配和管理，实现资产数据的采集与更新，进一步完善资产信息，形成真实准确、</w:t>
            </w:r>
            <w:r>
              <w:rPr>
                <w:rFonts w:ascii="仿宋_GB2312" w:hAnsi="仿宋_GB2312" w:cs="仿宋_GB2312" w:eastAsia="仿宋_GB2312"/>
                <w:sz w:val="21"/>
              </w:rPr>
              <w:t>全面详细、方便可查的学校信息化基础设施资产数据库。实时维护更新学校网络拓扑、数据中心基础架构图等重要信息资产数据。</w:t>
            </w:r>
          </w:p>
          <w:p>
            <w:pPr>
              <w:pStyle w:val="null3"/>
              <w:ind w:firstLine="440"/>
              <w:jc w:val="both"/>
            </w:pPr>
            <w:r>
              <w:rPr>
                <w:rFonts w:ascii="仿宋_GB2312" w:hAnsi="仿宋_GB2312" w:cs="仿宋_GB2312" w:eastAsia="仿宋_GB2312"/>
                <w:sz w:val="22"/>
              </w:rPr>
              <w:t>（二）巡检服务</w:t>
            </w:r>
          </w:p>
          <w:p>
            <w:pPr>
              <w:pStyle w:val="null3"/>
              <w:ind w:firstLine="440"/>
              <w:jc w:val="both"/>
            </w:pPr>
            <w:r>
              <w:rPr>
                <w:rFonts w:ascii="仿宋_GB2312" w:hAnsi="仿宋_GB2312" w:cs="仿宋_GB2312" w:eastAsia="仿宋_GB2312"/>
                <w:sz w:val="22"/>
              </w:rPr>
              <w:t>制定详尽、可行的巡检计划，使用学校</w:t>
            </w:r>
            <w:r>
              <w:rPr>
                <w:rFonts w:ascii="仿宋_GB2312" w:hAnsi="仿宋_GB2312" w:cs="仿宋_GB2312" w:eastAsia="仿宋_GB2312"/>
                <w:sz w:val="22"/>
              </w:rPr>
              <w:t>IT资源管理运维平台，认真全面地完成信息化基础设施的日常监测与巡检，发现问题及时处理，按照故障管理机制及时总结汇报，输出《运维服务日报》。巡检内容包括但不限于以下内容：</w:t>
            </w:r>
          </w:p>
          <w:p>
            <w:pPr>
              <w:pStyle w:val="null3"/>
              <w:ind w:firstLine="440"/>
              <w:jc w:val="both"/>
            </w:pPr>
            <w:r>
              <w:rPr>
                <w:rFonts w:ascii="仿宋_GB2312" w:hAnsi="仿宋_GB2312" w:cs="仿宋_GB2312" w:eastAsia="仿宋_GB2312"/>
                <w:sz w:val="22"/>
              </w:rPr>
              <w:t>1.机房基础环境巡检</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1）每日对校园网络设备、机房等设备进行日常巡检工作，巡检设备的各个指标状况，巡检完成后形成巡检报告，并按要求时间节点提供巡检报告。</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2）每日对校园网络拓扑中的线路和设备实时监测：包括资源名称、端口信息、连接信息、链路类型、性能指标、信息指标、告警数量等。其中设备的信息指标包括：资源名称、IP地址、MAC地址、持续运行时间、设备说明等。设备的性能指标包括：CPU平均利用率、内存利用率、Ping时延等；链路的信息指标包括：链路名称、链路说明、链路类型、链路带宽：链路的性能指标包括：带宽利用率、上行带宽利用率、下行带宽利用率、上行流量、下行流量、广播包率、丢包率、单播包率、组播包率、错包率等，输出《网络系统日志分析报告》《网络流量监控报告》。</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3）每日检查机房（包括楼栋弱电间）电力系统、空调系统、消防系统、通风系统等是否正常运行。出现故障及时维修，确保机房环境安全与稳定。</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4）每季度对学校所有机房、相关设备等进行一次保养性维护，包括设备除尘、排除故障隐患等，以确认所有设备工作正常。</w:t>
            </w:r>
          </w:p>
          <w:p>
            <w:pPr>
              <w:pStyle w:val="null3"/>
              <w:ind w:firstLine="440"/>
              <w:jc w:val="both"/>
            </w:pPr>
            <w:r>
              <w:rPr>
                <w:rFonts w:ascii="仿宋_GB2312" w:hAnsi="仿宋_GB2312" w:cs="仿宋_GB2312" w:eastAsia="仿宋_GB2312"/>
                <w:sz w:val="22"/>
              </w:rPr>
              <w:t>2.网络服务巡检</w:t>
            </w:r>
          </w:p>
          <w:p>
            <w:pPr>
              <w:pStyle w:val="null3"/>
              <w:ind w:firstLine="440"/>
              <w:jc w:val="both"/>
            </w:pPr>
            <w:r>
              <w:rPr>
                <w:rFonts w:ascii="仿宋_GB2312" w:hAnsi="仿宋_GB2312" w:cs="仿宋_GB2312" w:eastAsia="仿宋_GB2312"/>
                <w:sz w:val="22"/>
              </w:rPr>
              <w:t>每日对</w:t>
            </w:r>
            <w:r>
              <w:rPr>
                <w:rFonts w:ascii="仿宋_GB2312" w:hAnsi="仿宋_GB2312" w:cs="仿宋_GB2312" w:eastAsia="仿宋_GB2312"/>
                <w:sz w:val="22"/>
              </w:rPr>
              <w:t>DNS、DHCP、认证计费等网络服务进行巡检，巡检内容包括但不限于以下内容：服务运行状态、负载与资源、日志告警、地址池状态、异常排查等。</w:t>
            </w:r>
          </w:p>
          <w:p>
            <w:pPr>
              <w:pStyle w:val="null3"/>
              <w:ind w:firstLine="440"/>
              <w:jc w:val="both"/>
            </w:pPr>
            <w:r>
              <w:rPr>
                <w:rFonts w:ascii="仿宋_GB2312" w:hAnsi="仿宋_GB2312" w:cs="仿宋_GB2312" w:eastAsia="仿宋_GB2312"/>
                <w:sz w:val="22"/>
              </w:rPr>
              <w:t>3.网络设备和链路巡检</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每日对校园网络接入设备实施实时监测，发现网络中的IP地址，并计算网段的容量、使用率、在线IP数等指标；同时，实时更新所发现接入设备的IP地址、MAC地址、所属网段、上联设备名称、上联设备接口等信息。</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2）每月对网络设备进行安全配置合规检查，对照等保2.0或教育行业标准，检查项包括但不限于：是否存在默认密码/弱口令、是否启用了不安全的协议（如TELNET、HTTP、SNMPv1/v2c）、访问控制列表（ACL）是否存在过宽放行规则、是否关闭了不必要的端口和服务等。</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3）每季度按照计划查看运行配置与最后一次保存配置是否一致，将配置文件进行备份，统一保存在采购人指定的介质中，输出《XX配置信息表》。</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4）每日对校园网通信链路进行巡检，针对校园网链路故障，及时进行故障定位、抢修与恢复，确保校园网通信基础设施正常工作。针对新建网络信息点，结合校园网整体情况，负责端口与线路规划，对接施工人员进行建设。根据通信线路的重要程度和网络保障需求，尽快排除故障、确保网络可用。</w:t>
            </w:r>
          </w:p>
          <w:p>
            <w:pPr>
              <w:pStyle w:val="null3"/>
              <w:ind w:firstLine="440"/>
              <w:jc w:val="both"/>
            </w:pPr>
            <w:r>
              <w:rPr>
                <w:rFonts w:ascii="仿宋_GB2312" w:hAnsi="仿宋_GB2312" w:cs="仿宋_GB2312" w:eastAsia="仿宋_GB2312"/>
                <w:sz w:val="22"/>
              </w:rPr>
              <w:t>4.数据中心巡检</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1）每日检查服务器的外观、温度、有无故障指示灯、硬件运行状况、系统日志、系统补丁、CPU使用情况、内存使用情况等的检查。</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2）每日对模块化机房温湿度控制、供电、网络等设备运行情况进行巡检，关注告警，排除故障，保障模块化机房安全、稳定、高校运行。</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3）每日对超融合设备、虚拟化平台、数据中心网络设备、运维管理平台等进行巡检，监控和优化虚拟化资源使用情况及异常、数据中心上下行网络流量变化及异常、平台告警并及时处置。</w:t>
            </w:r>
          </w:p>
          <w:p>
            <w:pPr>
              <w:pStyle w:val="null3"/>
              <w:ind w:firstLine="440"/>
              <w:jc w:val="both"/>
            </w:pPr>
            <w:r>
              <w:rPr>
                <w:rFonts w:ascii="仿宋_GB2312" w:hAnsi="仿宋_GB2312" w:cs="仿宋_GB2312" w:eastAsia="仿宋_GB2312"/>
                <w:sz w:val="22"/>
              </w:rPr>
              <w:t>（三）评估优化服务</w:t>
            </w:r>
          </w:p>
          <w:p>
            <w:pPr>
              <w:pStyle w:val="null3"/>
              <w:ind w:firstLine="440"/>
              <w:jc w:val="both"/>
            </w:pPr>
            <w:r>
              <w:rPr>
                <w:rFonts w:ascii="仿宋_GB2312" w:hAnsi="仿宋_GB2312" w:cs="仿宋_GB2312" w:eastAsia="仿宋_GB2312"/>
                <w:sz w:val="22"/>
              </w:rPr>
              <w:t>每半年对信息化基础设施提供全面的系统评估，分析性能瓶颈等问题，提供相应的性能调试等优化改善服务，生成技术服务报告。优化和规范使用网络机房的标识，包括但不限于功能性标识、警示性标识和管理性标识等。</w:t>
            </w:r>
          </w:p>
          <w:p>
            <w:pPr>
              <w:pStyle w:val="null3"/>
              <w:ind w:firstLine="440"/>
              <w:jc w:val="both"/>
            </w:pPr>
            <w:r>
              <w:rPr>
                <w:rFonts w:ascii="仿宋_GB2312" w:hAnsi="仿宋_GB2312" w:cs="仿宋_GB2312" w:eastAsia="仿宋_GB2312"/>
                <w:sz w:val="22"/>
              </w:rPr>
              <w:t>每半年对室内外区域的无线信号盲区、弱覆盖及同频干扰问题进行全面排查，依据实际使用场景对</w:t>
            </w:r>
            <w:r>
              <w:rPr>
                <w:rFonts w:ascii="仿宋_GB2312" w:hAnsi="仿宋_GB2312" w:cs="仿宋_GB2312" w:eastAsia="仿宋_GB2312"/>
                <w:sz w:val="22"/>
              </w:rPr>
              <w:t>AP的安装位置、发射功率及信道分配进行调整，以提升无线接入的稳定性与连续性，输出《网络系统优化方案》《网络系统优化运行报告》。</w:t>
            </w:r>
          </w:p>
          <w:p>
            <w:pPr>
              <w:pStyle w:val="null3"/>
              <w:ind w:firstLine="440"/>
              <w:jc w:val="both"/>
            </w:pPr>
            <w:r>
              <w:rPr>
                <w:rFonts w:ascii="仿宋_GB2312" w:hAnsi="仿宋_GB2312" w:cs="仿宋_GB2312" w:eastAsia="仿宋_GB2312"/>
                <w:sz w:val="22"/>
              </w:rPr>
              <w:t>每半年开展网络设备配置与运行评估优化、基础网络服务评估优化、业务流量与带宽性能优化、机房及综合布线评估优化等工作。</w:t>
            </w:r>
          </w:p>
          <w:p>
            <w:pPr>
              <w:pStyle w:val="null3"/>
              <w:ind w:firstLine="440"/>
              <w:jc w:val="both"/>
            </w:pPr>
            <w:r>
              <w:rPr>
                <w:rFonts w:ascii="仿宋_GB2312" w:hAnsi="仿宋_GB2312" w:cs="仿宋_GB2312" w:eastAsia="仿宋_GB2312"/>
                <w:sz w:val="22"/>
              </w:rPr>
              <w:t>每月检查所有物理服务器和虚拟化主机的操作系统（麒麟</w:t>
            </w:r>
            <w:r>
              <w:rPr>
                <w:rFonts w:ascii="仿宋_GB2312" w:hAnsi="仿宋_GB2312" w:cs="仿宋_GB2312" w:eastAsia="仿宋_GB2312"/>
                <w:sz w:val="22"/>
              </w:rPr>
              <w:t>/Linux）事件日志/系统日志，识别重复出现的错误、警告（如磁盘扇区重映射、内存ECC错误、网卡丢包等）。对照安全基线，检查系统补丁级别、关闭不必要的端口和服务，并更新主机固件/驱动程序到供应商推荐的稳定版本。</w:t>
            </w:r>
          </w:p>
          <w:p>
            <w:pPr>
              <w:pStyle w:val="null3"/>
              <w:ind w:firstLine="440"/>
              <w:jc w:val="both"/>
            </w:pPr>
            <w:r>
              <w:rPr>
                <w:rFonts w:ascii="仿宋_GB2312" w:hAnsi="仿宋_GB2312" w:cs="仿宋_GB2312" w:eastAsia="仿宋_GB2312"/>
                <w:sz w:val="22"/>
              </w:rPr>
              <w:t>每月分析</w:t>
            </w:r>
            <w:r>
              <w:rPr>
                <w:rFonts w:ascii="仿宋_GB2312" w:hAnsi="仿宋_GB2312" w:cs="仿宋_GB2312" w:eastAsia="仿宋_GB2312"/>
                <w:sz w:val="22"/>
              </w:rPr>
              <w:t>学校</w:t>
            </w:r>
            <w:r>
              <w:rPr>
                <w:rFonts w:ascii="仿宋_GB2312" w:hAnsi="仿宋_GB2312" w:cs="仿宋_GB2312" w:eastAsia="仿宋_GB2312"/>
                <w:sz w:val="22"/>
              </w:rPr>
              <w:t>超融合平台及虚拟机的</w:t>
            </w:r>
            <w:r>
              <w:rPr>
                <w:rFonts w:ascii="仿宋_GB2312" w:hAnsi="仿宋_GB2312" w:cs="仿宋_GB2312" w:eastAsia="仿宋_GB2312"/>
                <w:sz w:val="22"/>
              </w:rPr>
              <w:t>CPU、内存、存储IO及网络带宽利用率，识别并处理“资源僵尸虚机”（长期低负载）或“资源瓶颈虚机”（持续高负载）。根据分析结果动态调整虚拟机的资源分配（如增加vCPU、内存或迁移负载），确保宿主机资源均衡，避免单点性能瓶颈。</w:t>
            </w:r>
          </w:p>
          <w:p>
            <w:pPr>
              <w:pStyle w:val="null3"/>
              <w:ind w:firstLine="440"/>
              <w:jc w:val="both"/>
            </w:pPr>
            <w:r>
              <w:rPr>
                <w:rFonts w:ascii="仿宋_GB2312" w:hAnsi="仿宋_GB2312" w:cs="仿宋_GB2312" w:eastAsia="仿宋_GB2312"/>
                <w:sz w:val="22"/>
              </w:rPr>
              <w:t>（四）故障响应服务</w:t>
            </w:r>
          </w:p>
          <w:p>
            <w:pPr>
              <w:pStyle w:val="null3"/>
              <w:ind w:firstLine="440"/>
              <w:jc w:val="both"/>
            </w:pPr>
            <w:r>
              <w:rPr>
                <w:rFonts w:ascii="仿宋_GB2312" w:hAnsi="仿宋_GB2312" w:cs="仿宋_GB2312" w:eastAsia="仿宋_GB2312"/>
                <w:sz w:val="22"/>
              </w:rPr>
              <w:t>提供</w:t>
            </w:r>
            <w:r>
              <w:rPr>
                <w:rFonts w:ascii="仿宋_GB2312" w:hAnsi="仿宋_GB2312" w:cs="仿宋_GB2312" w:eastAsia="仿宋_GB2312"/>
                <w:sz w:val="22"/>
              </w:rPr>
              <w:t>7×24全年全天候报修服务响应；接到故障通知后，根据服务类型，按照流程及时响应处理；初次响应时间最迟不高于10分钟；服务结束后完成《XX故障分析处理报告》并及时汇报。</w:t>
            </w:r>
          </w:p>
          <w:p>
            <w:pPr>
              <w:pStyle w:val="null3"/>
              <w:ind w:firstLine="440"/>
              <w:jc w:val="both"/>
            </w:pPr>
            <w:r>
              <w:rPr>
                <w:rFonts w:ascii="仿宋_GB2312" w:hAnsi="仿宋_GB2312" w:cs="仿宋_GB2312" w:eastAsia="仿宋_GB2312"/>
                <w:sz w:val="22"/>
              </w:rPr>
              <w:t>（五）重要保障服务</w:t>
            </w:r>
          </w:p>
          <w:p>
            <w:pPr>
              <w:pStyle w:val="null3"/>
              <w:ind w:firstLine="440"/>
              <w:jc w:val="both"/>
            </w:pPr>
            <w:r>
              <w:rPr>
                <w:rFonts w:ascii="仿宋_GB2312" w:hAnsi="仿宋_GB2312" w:cs="仿宋_GB2312" w:eastAsia="仿宋_GB2312"/>
                <w:sz w:val="22"/>
              </w:rPr>
              <w:t>提供全国两会期间、各类招生考试、研究生考试、四六级考试等重要时期、重要节点、重点业务、重大活动的全方位技术服务保障。在重点业务保障期间，</w:t>
            </w:r>
            <w:r>
              <w:rPr>
                <w:rFonts w:ascii="仿宋_GB2312" w:hAnsi="仿宋_GB2312" w:cs="仿宋_GB2312" w:eastAsia="仿宋_GB2312"/>
                <w:sz w:val="22"/>
              </w:rPr>
              <w:t>成交单位</w:t>
            </w:r>
            <w:r>
              <w:rPr>
                <w:rFonts w:ascii="仿宋_GB2312" w:hAnsi="仿宋_GB2312" w:cs="仿宋_GB2312" w:eastAsia="仿宋_GB2312"/>
                <w:sz w:val="22"/>
              </w:rPr>
              <w:t>须安排富有经验和更强业务能力的技术人员与团队进行现场值守，提供技术支持和备品备件，做好服务保障。通过主动式的预防保障服务与现场驻场的零响应延时服务来保证业务应用及其信息化基础设施的正常运行。针对重点保障业务（包括但不限于相关设备设施、通信线路、信息系统等），形成可行性的保障工作方案与应急预案；在保障期间，提前安排（或与学校沟通确定时间）对相关业务信息化资源进行细致检查分析，根据业务的使用情况调整优化相关资源的配置，做好迎接业务高峰的技术应对准备工作。</w:t>
            </w:r>
          </w:p>
          <w:p>
            <w:pPr>
              <w:pStyle w:val="null3"/>
              <w:ind w:firstLine="440"/>
              <w:jc w:val="both"/>
            </w:pPr>
            <w:r>
              <w:rPr>
                <w:rFonts w:ascii="仿宋_GB2312" w:hAnsi="仿宋_GB2312" w:cs="仿宋_GB2312" w:eastAsia="仿宋_GB2312"/>
                <w:sz w:val="22"/>
              </w:rPr>
              <w:t>（六）应急演练服务</w:t>
            </w:r>
          </w:p>
          <w:p>
            <w:pPr>
              <w:pStyle w:val="null3"/>
              <w:ind w:firstLine="440"/>
              <w:jc w:val="both"/>
            </w:pPr>
            <w:r>
              <w:rPr>
                <w:rFonts w:ascii="仿宋_GB2312" w:hAnsi="仿宋_GB2312" w:cs="仿宋_GB2312" w:eastAsia="仿宋_GB2312"/>
                <w:sz w:val="22"/>
              </w:rPr>
              <w:t>制定校园网与数据中心应急演练方案并定期开展实战演练，查漏补缺，不断提升信息化基础设施运维应急响应能力。每半年开展</w:t>
            </w:r>
            <w:r>
              <w:rPr>
                <w:rFonts w:ascii="仿宋_GB2312" w:hAnsi="仿宋_GB2312" w:cs="仿宋_GB2312" w:eastAsia="仿宋_GB2312"/>
                <w:sz w:val="22"/>
              </w:rPr>
              <w:t>1次应急演练，主要针对偶发的故障处理与响应展开，熟悉故障处理流程，强化服务意识，降低故障事件的影响。</w:t>
            </w:r>
            <w:r>
              <w:rPr>
                <w:rFonts w:ascii="仿宋_GB2312" w:hAnsi="仿宋_GB2312" w:cs="仿宋_GB2312" w:eastAsia="仿宋_GB2312"/>
                <w:sz w:val="22"/>
              </w:rPr>
              <w:t>成交单位</w:t>
            </w:r>
            <w:r>
              <w:rPr>
                <w:rFonts w:ascii="仿宋_GB2312" w:hAnsi="仿宋_GB2312" w:cs="仿宋_GB2312" w:eastAsia="仿宋_GB2312"/>
                <w:sz w:val="22"/>
              </w:rPr>
              <w:t>根据学校实际，制定具体的应急演练方案内容、实施计划，由学校最终确定执行。演练结束后，及时进行工作总结，输出应急演练总结报告，为后续的持续性工作改进提供方向和建议。</w:t>
            </w:r>
          </w:p>
          <w:p>
            <w:pPr>
              <w:pStyle w:val="null3"/>
              <w:ind w:firstLine="440"/>
              <w:jc w:val="both"/>
            </w:pPr>
            <w:r>
              <w:rPr>
                <w:rFonts w:ascii="仿宋_GB2312" w:hAnsi="仿宋_GB2312" w:cs="仿宋_GB2312" w:eastAsia="仿宋_GB2312"/>
                <w:sz w:val="22"/>
              </w:rPr>
              <w:t>（七）制度制定和培训服务</w:t>
            </w:r>
          </w:p>
          <w:p>
            <w:pPr>
              <w:pStyle w:val="null3"/>
              <w:ind w:firstLine="440"/>
              <w:jc w:val="both"/>
            </w:pPr>
            <w:r>
              <w:rPr>
                <w:rFonts w:ascii="仿宋_GB2312" w:hAnsi="仿宋_GB2312" w:cs="仿宋_GB2312" w:eastAsia="仿宋_GB2312"/>
                <w:sz w:val="22"/>
              </w:rPr>
              <w:t>1.制定工作总结汇报制度，按照周、月等时间周期整理、统计运维服务数量、内容等工作总体情况；将所有事件服务和故障处理进行科学分类，形成统计报表；针对高频率事件提出合理的、可行的技术建议与解决方案，按照文档管理制度，及时提交相关报告。</w:t>
            </w:r>
          </w:p>
          <w:p>
            <w:pPr>
              <w:pStyle w:val="null3"/>
              <w:ind w:firstLine="440"/>
              <w:jc w:val="both"/>
            </w:pPr>
            <w:r>
              <w:rPr>
                <w:rFonts w:ascii="仿宋_GB2312" w:hAnsi="仿宋_GB2312" w:cs="仿宋_GB2312" w:eastAsia="仿宋_GB2312"/>
                <w:sz w:val="22"/>
              </w:rPr>
              <w:t>2.</w:t>
            </w:r>
            <w:r>
              <w:rPr>
                <w:rFonts w:ascii="仿宋_GB2312" w:hAnsi="仿宋_GB2312" w:cs="仿宋_GB2312" w:eastAsia="仿宋_GB2312"/>
                <w:sz w:val="22"/>
              </w:rPr>
              <w:t>成交单位</w:t>
            </w:r>
            <w:r>
              <w:rPr>
                <w:rFonts w:ascii="仿宋_GB2312" w:hAnsi="仿宋_GB2312" w:cs="仿宋_GB2312" w:eastAsia="仿宋_GB2312"/>
                <w:sz w:val="22"/>
              </w:rPr>
              <w:t>应对学校现有网络情况进行深入了解，构建合理的运维服务体系，制定可行的运行保障机制，及时响应用户问题需求，提出可行性的解决方案，包括但不限于业务梳理分类、系统隐患预警分析、重大维护工作协同处理、按期全面巡检、模板式交付与管理等。</w:t>
            </w:r>
          </w:p>
          <w:p>
            <w:pPr>
              <w:pStyle w:val="null3"/>
              <w:ind w:firstLine="440"/>
              <w:jc w:val="both"/>
            </w:pPr>
            <w:r>
              <w:rPr>
                <w:rFonts w:ascii="仿宋_GB2312" w:hAnsi="仿宋_GB2312" w:cs="仿宋_GB2312" w:eastAsia="仿宋_GB2312"/>
                <w:sz w:val="22"/>
              </w:rPr>
              <w:t>3.根据学校实际需要，制定和完善信息化基础设施运维服务管理制度，包括但不限于事件管理、问题管理、安全管理、配置管理、变更管理、发布管理以及应急响应预案等，强化主动运维能力。根据学校现行的网络运维等管理制度，做好在新老数据中心业务迁移时的相关规划、标准制定、平稳迁移。</w:t>
            </w:r>
          </w:p>
          <w:p>
            <w:pPr>
              <w:pStyle w:val="null3"/>
              <w:ind w:firstLine="440"/>
              <w:jc w:val="both"/>
            </w:pPr>
            <w:r>
              <w:rPr>
                <w:rFonts w:ascii="仿宋_GB2312" w:hAnsi="仿宋_GB2312" w:cs="仿宋_GB2312" w:eastAsia="仿宋_GB2312"/>
                <w:sz w:val="22"/>
              </w:rPr>
              <w:t>4.根据学校实际情况，制定培训计划，合理安排培训内容，进一步提升学校运维管理人员的技术能力。服务期内开展至少1次技术培训，培训的内容由学校和</w:t>
            </w:r>
            <w:r>
              <w:rPr>
                <w:rFonts w:ascii="仿宋_GB2312" w:hAnsi="仿宋_GB2312" w:cs="仿宋_GB2312" w:eastAsia="仿宋_GB2312"/>
                <w:sz w:val="22"/>
              </w:rPr>
              <w:t>成交单位</w:t>
            </w:r>
            <w:r>
              <w:rPr>
                <w:rFonts w:ascii="仿宋_GB2312" w:hAnsi="仿宋_GB2312" w:cs="仿宋_GB2312" w:eastAsia="仿宋_GB2312"/>
                <w:sz w:val="22"/>
              </w:rPr>
              <w:t>共同商定，主要方向包括但不限于网络通信、虚拟化、数据中心运维等。</w:t>
            </w:r>
          </w:p>
          <w:p>
            <w:pPr>
              <w:pStyle w:val="null3"/>
              <w:ind w:firstLine="440"/>
              <w:jc w:val="both"/>
            </w:pPr>
            <w:r>
              <w:rPr>
                <w:rFonts w:ascii="仿宋_GB2312" w:hAnsi="仿宋_GB2312" w:cs="仿宋_GB2312" w:eastAsia="仿宋_GB2312"/>
                <w:sz w:val="22"/>
              </w:rPr>
              <w:t>（八）备品备件服务</w:t>
            </w:r>
          </w:p>
          <w:p>
            <w:pPr>
              <w:pStyle w:val="null3"/>
              <w:ind w:firstLine="440"/>
              <w:jc w:val="both"/>
            </w:pPr>
            <w:r>
              <w:rPr>
                <w:rFonts w:ascii="仿宋_GB2312" w:hAnsi="仿宋_GB2312" w:cs="仿宋_GB2312" w:eastAsia="仿宋_GB2312"/>
                <w:sz w:val="22"/>
              </w:rPr>
              <w:t>对于服务范围内脱离质保期的设备，</w:t>
            </w:r>
            <w:r>
              <w:rPr>
                <w:rFonts w:ascii="仿宋_GB2312" w:hAnsi="仿宋_GB2312" w:cs="仿宋_GB2312" w:eastAsia="仿宋_GB2312"/>
                <w:sz w:val="22"/>
              </w:rPr>
              <w:t>成交单位</w:t>
            </w:r>
            <w:r>
              <w:rPr>
                <w:rFonts w:ascii="仿宋_GB2312" w:hAnsi="仿宋_GB2312" w:cs="仿宋_GB2312" w:eastAsia="仿宋_GB2312"/>
                <w:sz w:val="22"/>
              </w:rPr>
              <w:t>须提出可行性的备品备件保障解决方案，确保校园网络正常运行。制定备品备件制度，针对原厂过保的网络产品，制定合理的备品备件清单，明确备品备件的品目和数量，建立西安本地的备品备件库，当硬件故障出现时，可以快速的进入故障恢复流程，加快故障恢复进程，最大限度的保障学校信息基础设施的安全稳定运行。</w:t>
            </w:r>
          </w:p>
          <w:p>
            <w:pPr>
              <w:pStyle w:val="null3"/>
              <w:ind w:firstLine="440"/>
              <w:jc w:val="both"/>
            </w:pPr>
            <w:r>
              <w:rPr>
                <w:rFonts w:ascii="仿宋_GB2312" w:hAnsi="仿宋_GB2312" w:cs="仿宋_GB2312" w:eastAsia="仿宋_GB2312"/>
                <w:sz w:val="22"/>
              </w:rPr>
              <w:t>（九）运维驻场人员要求</w:t>
            </w:r>
          </w:p>
          <w:p>
            <w:pPr>
              <w:pStyle w:val="null3"/>
              <w:ind w:firstLine="440"/>
              <w:jc w:val="both"/>
            </w:pPr>
            <w:r>
              <w:rPr>
                <w:rFonts w:ascii="仿宋_GB2312" w:hAnsi="仿宋_GB2312" w:cs="仿宋_GB2312" w:eastAsia="仿宋_GB2312"/>
                <w:sz w:val="22"/>
              </w:rPr>
              <w:t>要求提供</w:t>
            </w:r>
            <w:r>
              <w:rPr>
                <w:rFonts w:ascii="仿宋_GB2312" w:hAnsi="仿宋_GB2312" w:cs="仿宋_GB2312" w:eastAsia="仿宋_GB2312"/>
                <w:sz w:val="22"/>
              </w:rPr>
              <w:t>1名运维专职人员驻场，提供工作日不少于5*8小时的现场驻场服务，7*24小时应急服务保障；提供1名二线运维专家（工作年限≥10年）全年≥130天的现场项目管理及技术支持（春季学期和秋季学期周一周三周五驻场，寒暑假周二和周四驻场）。当有紧急任务或是批量任务时，</w:t>
            </w:r>
            <w:r>
              <w:rPr>
                <w:rFonts w:ascii="仿宋_GB2312" w:hAnsi="仿宋_GB2312" w:cs="仿宋_GB2312" w:eastAsia="仿宋_GB2312"/>
                <w:sz w:val="22"/>
              </w:rPr>
              <w:t>成交单位</w:t>
            </w:r>
            <w:r>
              <w:rPr>
                <w:rFonts w:ascii="仿宋_GB2312" w:hAnsi="仿宋_GB2312" w:cs="仿宋_GB2312" w:eastAsia="仿宋_GB2312"/>
                <w:sz w:val="22"/>
              </w:rPr>
              <w:t>须临时增派应急工程师进场服务，以保证进度要求。所安排人员可进行夜间值班工作，服务地点为西安音乐学院。</w:t>
            </w:r>
          </w:p>
          <w:p>
            <w:pPr>
              <w:pStyle w:val="null3"/>
              <w:ind w:firstLine="440"/>
              <w:jc w:val="both"/>
            </w:pPr>
            <w:r>
              <w:rPr>
                <w:rFonts w:ascii="仿宋_GB2312" w:hAnsi="仿宋_GB2312" w:cs="仿宋_GB2312" w:eastAsia="仿宋_GB2312"/>
                <w:sz w:val="22"/>
              </w:rPr>
              <w:t>1.驻场人员资质要求</w:t>
            </w:r>
          </w:p>
          <w:p>
            <w:pPr>
              <w:pStyle w:val="null3"/>
              <w:ind w:firstLine="440"/>
              <w:jc w:val="both"/>
            </w:pPr>
            <w:r>
              <w:rPr>
                <w:rFonts w:ascii="仿宋_GB2312" w:hAnsi="仿宋_GB2312" w:cs="仿宋_GB2312" w:eastAsia="仿宋_GB2312"/>
                <w:sz w:val="22"/>
              </w:rPr>
              <w:t>本科及以上学历，计算机或网络工程相关专业，</w:t>
            </w:r>
            <w:r>
              <w:rPr>
                <w:rFonts w:ascii="仿宋_GB2312" w:hAnsi="仿宋_GB2312" w:cs="仿宋_GB2312" w:eastAsia="仿宋_GB2312"/>
                <w:sz w:val="22"/>
              </w:rPr>
              <w:t>3年以上校园网和数据中心运维工作经验，拥有相关认证证书（或其他同级别网络方向证书）。必须为</w:t>
            </w:r>
            <w:r>
              <w:rPr>
                <w:rFonts w:ascii="仿宋_GB2312" w:hAnsi="仿宋_GB2312" w:cs="仿宋_GB2312" w:eastAsia="仿宋_GB2312"/>
                <w:sz w:val="22"/>
              </w:rPr>
              <w:t>成交单位</w:t>
            </w:r>
            <w:r>
              <w:rPr>
                <w:rFonts w:ascii="仿宋_GB2312" w:hAnsi="仿宋_GB2312" w:cs="仿宋_GB2312" w:eastAsia="仿宋_GB2312"/>
                <w:sz w:val="22"/>
              </w:rPr>
              <w:t>现职人员，提供劳动合同</w:t>
            </w:r>
            <w:r>
              <w:rPr>
                <w:rFonts w:ascii="仿宋_GB2312" w:hAnsi="仿宋_GB2312" w:cs="仿宋_GB2312" w:eastAsia="仿宋_GB2312"/>
                <w:sz w:val="22"/>
              </w:rPr>
              <w:t>/交纳社保的证明和身份证明，驻场实施本次信息化基础设施运维服务项目。</w:t>
            </w:r>
          </w:p>
          <w:p>
            <w:pPr>
              <w:pStyle w:val="null3"/>
              <w:ind w:firstLine="440"/>
              <w:jc w:val="both"/>
            </w:pPr>
            <w:r>
              <w:rPr>
                <w:rFonts w:ascii="仿宋_GB2312" w:hAnsi="仿宋_GB2312" w:cs="仿宋_GB2312" w:eastAsia="仿宋_GB2312"/>
                <w:sz w:val="22"/>
              </w:rPr>
              <w:t>要求人员进场后，学校有权进行监督与管理，并根据工作完成情况以及服务满意度等，有权要求</w:t>
            </w:r>
            <w:r>
              <w:rPr>
                <w:rFonts w:ascii="仿宋_GB2312" w:hAnsi="仿宋_GB2312" w:cs="仿宋_GB2312" w:eastAsia="仿宋_GB2312"/>
                <w:sz w:val="22"/>
              </w:rPr>
              <w:t>成交单位</w:t>
            </w:r>
            <w:r>
              <w:rPr>
                <w:rFonts w:ascii="仿宋_GB2312" w:hAnsi="仿宋_GB2312" w:cs="仿宋_GB2312" w:eastAsia="仿宋_GB2312"/>
                <w:sz w:val="22"/>
              </w:rPr>
              <w:t>更换驻场技术人员，直至满足要求为止。驻场人员的工作地点在学校校内，学校安排工位及协调办理门禁通行权限；工作时间严格执行学校的工作时间与安排，运维服务单位负责驻场人员的所有安全及其保险，所发生的一切安全事件均与西安音乐学院无关。</w:t>
            </w:r>
          </w:p>
          <w:p>
            <w:pPr>
              <w:pStyle w:val="null3"/>
              <w:ind w:firstLine="440"/>
              <w:jc w:val="both"/>
            </w:pPr>
            <w:r>
              <w:rPr>
                <w:rFonts w:ascii="仿宋_GB2312" w:hAnsi="仿宋_GB2312" w:cs="仿宋_GB2312" w:eastAsia="仿宋_GB2312"/>
                <w:sz w:val="22"/>
              </w:rPr>
              <w:t>2.驻场人员技能要求</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运维人员须充分了解学校现有信息化基础设施情况，熟练掌握网络与数据中心相关技术，包括但不限于网络、无线、安全、虚拟化等方向技术；熟悉思科、华三、华为、锐捷、曙光、联想、浪潮、爱数等设备及指令体系，跨厂商设备互联配置，熟练掌握交换路由技能并具有独立进行网络障碍定位排除能力。熟悉运用学校的IT资源管理平台。</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2）运维人员须熟练掌握数据中心网络安全配置，包括网络及安全设备管理、安全域划分、安全策略优化、数据中心防火墙配置等技术。要求具备数据中心虚拟化平台和主流是私有云平台维护能力，精通超融合和私有云平台的原理和硬软件技术要点，可对超融合系统进行调试与维护，具备安装服务器操作系统与运维能力。能够完成对虚拟机的部署和管理，能够对优化虚拟化环境的性能和资源利用。熟练掌握Linux常用命令，熟悉Mysql、Oracle、Apcche、Nginx、FTP、DNS、docker、主流AI大模型服务的安装和配置，具备丰富的Linux、Zabbix、hadoop等运维经验。熟悉运用学校的IT资源管理平台。</w:t>
            </w:r>
          </w:p>
          <w:p>
            <w:pPr>
              <w:pStyle w:val="null3"/>
              <w:ind w:firstLine="440"/>
              <w:jc w:val="both"/>
            </w:pPr>
            <w:r>
              <w:rPr>
                <w:rFonts w:ascii="仿宋_GB2312" w:hAnsi="仿宋_GB2312" w:cs="仿宋_GB2312" w:eastAsia="仿宋_GB2312"/>
                <w:sz w:val="22"/>
              </w:rPr>
              <w:t>3.驻场人员岗位职责要求</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1）保障校园网络稳定运行；</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2）协助开展布线管理、IP管理、子网规划、认证与计费策略、带宽、路由及交换策略等网络规划设计和管理；</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3）协助校园网出口区设备正常运行，负责出口路由和负载策略配置、nat配置、安全策略配置和防护、出口流量分析和控制等；</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4）保障核心交换区和有线网络区各类设备正常运行，负责监控、配置、备份、版本更新、合规性等设备管理，提高设备可靠性；</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5）保障无线网络区各类设备正常运行，负责监控、配置、备份、版本更新、合规性等设备管理，定期检测无线网覆盖盲区、AP掉线率和漫游切换成功率，规划SSID、频谱及强度，设计无线AP覆盖范围和密度，开展无线网络调优；</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6）协助管理DHCP、计费认证系统、WEBVPN、流量日志系统等网络基础服务；</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7）负责网络管理运维平台建设和管理，建立网络运行指标体系和基线，监测网络运行情况，提升校园网络服务质量；</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8）负责及时处置、分析各类网络故障，降低故障率；</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9）负责主机维护，设备上下架，建立和更新主机资产信息，发生服务器设备的硬件故障后向保修厂商报修，跟踪报修进展与结果，并提供配件支持。</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10）负责系统（操作系统与中间件）的安装、优化、系统配置、监测、升级、补丁安装、故障诊断和修复等。维护备份系统，保障其能正常运作，并提供技术支持。</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11）负责</w:t>
            </w:r>
            <w:r>
              <w:rPr>
                <w:rFonts w:ascii="仿宋_GB2312" w:hAnsi="仿宋_GB2312" w:cs="仿宋_GB2312" w:eastAsia="仿宋_GB2312"/>
                <w:sz w:val="22"/>
              </w:rPr>
              <w:t>学校</w:t>
            </w:r>
            <w:r>
              <w:rPr>
                <w:rFonts w:ascii="仿宋_GB2312" w:hAnsi="仿宋_GB2312" w:cs="仿宋_GB2312" w:eastAsia="仿宋_GB2312"/>
                <w:sz w:val="22"/>
              </w:rPr>
              <w:t>超融合平台软件的安装、升级和维护，对超融合平台高可用、监控、备份、迁移等功能进行维护。将超融合平台虚拟化主机加入云平台，管理</w:t>
            </w:r>
            <w:r>
              <w:rPr>
                <w:rFonts w:ascii="仿宋_GB2312" w:hAnsi="仿宋_GB2312" w:cs="仿宋_GB2312" w:eastAsia="仿宋_GB2312"/>
                <w:sz w:val="22"/>
              </w:rPr>
              <w:t>学校</w:t>
            </w:r>
            <w:r>
              <w:rPr>
                <w:rFonts w:ascii="仿宋_GB2312" w:hAnsi="仿宋_GB2312" w:cs="仿宋_GB2312" w:eastAsia="仿宋_GB2312"/>
                <w:sz w:val="22"/>
              </w:rPr>
              <w:t>超融合模版和虚拟机。协助学校完成私有云平台建设、系统迁移和运行管理。</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12）数据中心存储系统和网络的日常维护和优化，协助使用方对存储管理软件进行维护和存储资源的划分，日常存储容量分配和回收。发生存储设备的硬件故障后向保修厂商报修，跟踪报修进展与结果，并提供配件支持。定期保存数据中心网络设备配置，优化网络性能和管理，确保数据中心网络运行稳定。</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13）负责数据中心信息系统的运维与管理，要求监控和及时报告信息系统故障，及时排查和修复故障，确保信息系统的稳定性和性能。要求对信息系统的数据管理和备份，确保数据的安全性和完整性。要求协助学校对新的信息系统进行部署，确保应用系统的可用性和稳定性。</w:t>
            </w:r>
          </w:p>
          <w:p>
            <w:pPr>
              <w:pStyle w:val="null3"/>
              <w:ind w:firstLine="440"/>
              <w:jc w:val="both"/>
            </w:pPr>
            <w:r>
              <w:rPr>
                <w:rFonts w:ascii="仿宋_GB2312" w:hAnsi="仿宋_GB2312" w:cs="仿宋_GB2312" w:eastAsia="仿宋_GB2312"/>
                <w:sz w:val="22"/>
              </w:rPr>
              <w:t>4.二线运维专家要求</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1）统筹整体网络运维工作规划、人员分工、日常巡检安排。</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2）对接学校需求、上报运维周报、月报、整改方案、优化方案等。</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3）把控项目服务质量、落实考核标准、协调甲乙双方沟通对接。</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4）处理一线解决不了的复杂网络故障：核心交换机、汇聚链路、路由协议、VLAN、ACL、无线 AC/AP 集群等故障。</w:t>
            </w:r>
          </w:p>
          <w:p>
            <w:pPr>
              <w:pStyle w:val="null3"/>
              <w:ind w:firstLine="440"/>
              <w:jc w:val="both"/>
            </w:pPr>
            <w:r>
              <w:rPr>
                <w:rFonts w:ascii="仿宋_GB2312" w:hAnsi="仿宋_GB2312" w:cs="仿宋_GB2312" w:eastAsia="仿宋_GB2312"/>
                <w:sz w:val="22"/>
              </w:rPr>
              <w:t>5.二线技术支持服务团队资质要求</w:t>
            </w:r>
          </w:p>
          <w:p>
            <w:pPr>
              <w:pStyle w:val="null3"/>
              <w:ind w:firstLine="440"/>
              <w:jc w:val="both"/>
            </w:pPr>
            <w:r>
              <w:rPr>
                <w:rFonts w:ascii="仿宋_GB2312" w:hAnsi="仿宋_GB2312" w:cs="仿宋_GB2312" w:eastAsia="仿宋_GB2312"/>
                <w:sz w:val="22"/>
              </w:rPr>
              <w:t>要求</w:t>
            </w:r>
            <w:r>
              <w:rPr>
                <w:rFonts w:ascii="仿宋_GB2312" w:hAnsi="仿宋_GB2312" w:cs="仿宋_GB2312" w:eastAsia="仿宋_GB2312"/>
                <w:sz w:val="22"/>
              </w:rPr>
              <w:t>成交单位</w:t>
            </w:r>
            <w:r>
              <w:rPr>
                <w:rFonts w:ascii="仿宋_GB2312" w:hAnsi="仿宋_GB2312" w:cs="仿宋_GB2312" w:eastAsia="仿宋_GB2312"/>
                <w:sz w:val="22"/>
              </w:rPr>
              <w:t>提供技术团队均由各技术领域的资深技术专家组成，技术领域包含：服务器、存储、网络、无线、安全、虚拟化、操作系统、数据库、中间件、备份等；具备相关认证证书的高级工程师对相关信息系统进行预防性检查，并提交工作报告。学校如有突发事件或重大事项需技术支持服务团队到场支持，需在</w:t>
            </w:r>
            <w:r>
              <w:rPr>
                <w:rFonts w:ascii="仿宋_GB2312" w:hAnsi="仿宋_GB2312" w:cs="仿宋_GB2312" w:eastAsia="仿宋_GB2312"/>
                <w:sz w:val="22"/>
              </w:rPr>
              <w:t>1小时内赶到甲方指定现场。技术支持服务团队资质要求如下：</w:t>
            </w:r>
          </w:p>
          <w:tbl>
            <w:tblPr>
              <w:tblBorders>
                <w:top w:val="none" w:color="000000" w:sz="4"/>
                <w:left w:val="none" w:color="000000" w:sz="4"/>
                <w:bottom w:val="none" w:color="000000" w:sz="4"/>
                <w:right w:val="none" w:color="000000" w:sz="4"/>
                <w:insideH w:val="none"/>
                <w:insideV w:val="none"/>
              </w:tblBorders>
            </w:tblPr>
            <w:tblGrid>
              <w:gridCol w:w="367"/>
              <w:gridCol w:w="820"/>
              <w:gridCol w:w="1354"/>
            </w:tblGrid>
            <w:tr>
              <w:tc>
                <w:tcPr>
                  <w:tcW w:type="dxa" w:w="36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20" w:after="120"/>
                    <w:ind w:firstLine="420"/>
                    <w:jc w:val="both"/>
                  </w:pPr>
                  <w:r>
                    <w:rPr>
                      <w:rFonts w:ascii="仿宋_GB2312" w:hAnsi="仿宋_GB2312" w:cs="仿宋_GB2312" w:eastAsia="仿宋_GB2312"/>
                      <w:sz w:val="22"/>
                    </w:rPr>
                    <w:t>序号</w:t>
                  </w:r>
                </w:p>
              </w:tc>
              <w:tc>
                <w:tcPr>
                  <w:tcW w:type="dxa" w:w="82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20" w:after="120"/>
                    <w:jc w:val="center"/>
                  </w:pPr>
                  <w:r>
                    <w:rPr>
                      <w:rFonts w:ascii="仿宋_GB2312" w:hAnsi="仿宋_GB2312" w:cs="仿宋_GB2312" w:eastAsia="仿宋_GB2312"/>
                      <w:sz w:val="22"/>
                    </w:rPr>
                    <w:t>名称</w:t>
                  </w:r>
                </w:p>
              </w:tc>
              <w:tc>
                <w:tcPr>
                  <w:tcW w:type="dxa" w:w="135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20" w:after="120"/>
                    <w:ind w:firstLine="420"/>
                    <w:jc w:val="center"/>
                  </w:pPr>
                  <w:r>
                    <w:rPr>
                      <w:rFonts w:ascii="仿宋_GB2312" w:hAnsi="仿宋_GB2312" w:cs="仿宋_GB2312" w:eastAsia="仿宋_GB2312"/>
                      <w:sz w:val="22"/>
                    </w:rPr>
                    <w:t>资质要求</w:t>
                  </w:r>
                </w:p>
              </w:tc>
            </w:tr>
            <w:tr>
              <w:tc>
                <w:tcPr>
                  <w:tcW w:type="dxa" w:w="3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rFonts w:ascii="仿宋_GB2312" w:hAnsi="仿宋_GB2312" w:cs="仿宋_GB2312" w:eastAsia="仿宋_GB2312"/>
                      <w:sz w:val="22"/>
                    </w:rPr>
                    <w:t>1</w:t>
                  </w:r>
                </w:p>
              </w:tc>
              <w:tc>
                <w:tcPr>
                  <w:tcW w:type="dxa" w:w="8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20" w:after="120"/>
                    <w:jc w:val="center"/>
                  </w:pPr>
                  <w:r>
                    <w:rPr>
                      <w:rFonts w:ascii="仿宋_GB2312" w:hAnsi="仿宋_GB2312" w:cs="仿宋_GB2312" w:eastAsia="仿宋_GB2312"/>
                      <w:sz w:val="22"/>
                    </w:rPr>
                    <w:t>网</w:t>
                  </w:r>
                  <w:r>
                    <w:rPr>
                      <w:rFonts w:ascii="仿宋_GB2312" w:hAnsi="仿宋_GB2312" w:cs="仿宋_GB2312" w:eastAsia="仿宋_GB2312"/>
                      <w:sz w:val="22"/>
                    </w:rPr>
                    <w:t>络</w:t>
                  </w:r>
                  <w:r>
                    <w:rPr>
                      <w:rFonts w:ascii="仿宋_GB2312" w:hAnsi="仿宋_GB2312" w:cs="仿宋_GB2312" w:eastAsia="仿宋_GB2312"/>
                      <w:sz w:val="22"/>
                    </w:rPr>
                    <w:t>工程师</w:t>
                  </w:r>
                </w:p>
              </w:tc>
              <w:tc>
                <w:tcPr>
                  <w:tcW w:type="dxa" w:w="135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20" w:after="120"/>
                    <w:ind w:firstLine="420"/>
                    <w:jc w:val="center"/>
                  </w:pPr>
                  <w:r>
                    <w:rPr>
                      <w:rFonts w:ascii="仿宋_GB2312" w:hAnsi="仿宋_GB2312" w:cs="仿宋_GB2312" w:eastAsia="仿宋_GB2312"/>
                      <w:sz w:val="22"/>
                    </w:rPr>
                    <w:t>HCIE或H3CIE或CCIE或</w:t>
                  </w:r>
                  <w:r>
                    <w:rPr>
                      <w:rFonts w:ascii="仿宋_GB2312" w:hAnsi="仿宋_GB2312" w:cs="仿宋_GB2312" w:eastAsia="仿宋_GB2312"/>
                      <w:sz w:val="22"/>
                    </w:rPr>
                    <w:t>同等</w:t>
                  </w:r>
                  <w:r>
                    <w:rPr>
                      <w:rFonts w:ascii="仿宋_GB2312" w:hAnsi="仿宋_GB2312" w:cs="仿宋_GB2312" w:eastAsia="仿宋_GB2312"/>
                      <w:sz w:val="22"/>
                    </w:rPr>
                    <w:t>资质</w:t>
                  </w:r>
                </w:p>
              </w:tc>
            </w:tr>
            <w:tr>
              <w:tc>
                <w:tcPr>
                  <w:tcW w:type="dxa" w:w="3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rFonts w:ascii="仿宋_GB2312" w:hAnsi="仿宋_GB2312" w:cs="仿宋_GB2312" w:eastAsia="仿宋_GB2312"/>
                      <w:sz w:val="22"/>
                    </w:rPr>
                    <w:t>2</w:t>
                  </w:r>
                </w:p>
              </w:tc>
              <w:tc>
                <w:tcPr>
                  <w:tcW w:type="dxa" w:w="8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20" w:after="120"/>
                    <w:jc w:val="center"/>
                  </w:pPr>
                  <w:r>
                    <w:rPr>
                      <w:rFonts w:ascii="仿宋_GB2312" w:hAnsi="仿宋_GB2312" w:cs="仿宋_GB2312" w:eastAsia="仿宋_GB2312"/>
                      <w:sz w:val="22"/>
                    </w:rPr>
                    <w:t>安全工程师</w:t>
                  </w:r>
                </w:p>
              </w:tc>
              <w:tc>
                <w:tcPr>
                  <w:tcW w:type="dxa" w:w="135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20" w:after="120"/>
                    <w:ind w:firstLine="420"/>
                    <w:jc w:val="center"/>
                  </w:pPr>
                  <w:r>
                    <w:rPr>
                      <w:rFonts w:ascii="仿宋_GB2312" w:hAnsi="仿宋_GB2312" w:cs="仿宋_GB2312" w:eastAsia="仿宋_GB2312"/>
                      <w:sz w:val="22"/>
                    </w:rPr>
                    <w:t>CISP或</w:t>
                  </w:r>
                  <w:r>
                    <w:rPr>
                      <w:rFonts w:ascii="仿宋_GB2312" w:hAnsi="仿宋_GB2312" w:cs="仿宋_GB2312" w:eastAsia="仿宋_GB2312"/>
                      <w:sz w:val="22"/>
                    </w:rPr>
                    <w:t>同等</w:t>
                  </w:r>
                  <w:r>
                    <w:rPr>
                      <w:rFonts w:ascii="仿宋_GB2312" w:hAnsi="仿宋_GB2312" w:cs="仿宋_GB2312" w:eastAsia="仿宋_GB2312"/>
                      <w:sz w:val="22"/>
                    </w:rPr>
                    <w:t>资质</w:t>
                  </w:r>
                </w:p>
              </w:tc>
            </w:tr>
            <w:tr>
              <w:tc>
                <w:tcPr>
                  <w:tcW w:type="dxa" w:w="3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20" w:after="120"/>
                    <w:jc w:val="center"/>
                  </w:pPr>
                  <w:r>
                    <w:rPr>
                      <w:rFonts w:ascii="仿宋_GB2312" w:hAnsi="仿宋_GB2312" w:cs="仿宋_GB2312" w:eastAsia="仿宋_GB2312"/>
                      <w:sz w:val="22"/>
                    </w:rPr>
                    <w:t>3</w:t>
                  </w:r>
                </w:p>
              </w:tc>
              <w:tc>
                <w:tcPr>
                  <w:tcW w:type="dxa" w:w="8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20" w:after="120"/>
                    <w:ind w:firstLine="420"/>
                    <w:jc w:val="center"/>
                  </w:pPr>
                  <w:r>
                    <w:rPr>
                      <w:rFonts w:ascii="仿宋_GB2312" w:hAnsi="仿宋_GB2312" w:cs="仿宋_GB2312" w:eastAsia="仿宋_GB2312"/>
                      <w:sz w:val="22"/>
                    </w:rPr>
                    <w:t>基础环境工程师</w:t>
                  </w:r>
                </w:p>
              </w:tc>
              <w:tc>
                <w:tcPr>
                  <w:tcW w:type="dxa" w:w="135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20" w:after="120"/>
                    <w:ind w:firstLine="420"/>
                    <w:jc w:val="center"/>
                  </w:pPr>
                  <w:r>
                    <w:rPr>
                      <w:rFonts w:ascii="仿宋_GB2312" w:hAnsi="仿宋_GB2312" w:cs="仿宋_GB2312" w:eastAsia="仿宋_GB2312"/>
                      <w:sz w:val="22"/>
                    </w:rPr>
                    <w:t>数字能源或同等资质</w:t>
                  </w:r>
                  <w:r>
                    <w:rPr>
                      <w:rFonts w:ascii="仿宋_GB2312" w:hAnsi="仿宋_GB2312" w:cs="仿宋_GB2312" w:eastAsia="仿宋_GB2312"/>
                      <w:sz w:val="22"/>
                    </w:rPr>
                    <w:t>/项目经验</w:t>
                  </w:r>
                </w:p>
              </w:tc>
            </w:tr>
          </w:tbl>
          <w:p>
            <w:pPr>
              <w:pStyle w:val="null3"/>
              <w:jc w:val="both"/>
              <w:outlineLvl w:val="3"/>
            </w:pPr>
            <w:r>
              <w:rPr>
                <w:rFonts w:ascii="仿宋_GB2312" w:hAnsi="仿宋_GB2312" w:cs="仿宋_GB2312" w:eastAsia="仿宋_GB2312"/>
                <w:sz w:val="22"/>
                <w:b/>
              </w:rPr>
              <w:t>6.考核要求</w:t>
            </w:r>
          </w:p>
          <w:p>
            <w:pPr>
              <w:pStyle w:val="null3"/>
            </w:pPr>
            <w:r>
              <w:rPr>
                <w:rFonts w:ascii="仿宋_GB2312" w:hAnsi="仿宋_GB2312" w:cs="仿宋_GB2312" w:eastAsia="仿宋_GB2312"/>
                <w:sz w:val="22"/>
              </w:rPr>
              <w:t>驻场人员严格遵守西安音乐学院的各项管理规定。服务期内未经学校同意不得随意更换驻场人员，驻场人员的技术能力若不满足学校要求的，供应商必须无条件立即更换，每更换一名技术人员，服务期顺延</w:t>
            </w:r>
            <w:r>
              <w:rPr>
                <w:rFonts w:ascii="仿宋_GB2312" w:hAnsi="仿宋_GB2312" w:cs="仿宋_GB2312" w:eastAsia="仿宋_GB2312"/>
                <w:sz w:val="22"/>
              </w:rPr>
              <w:t>30天；如乙方驻场人员变动两次（含）以上，出现一次甲方扣除成交价的10%；乙方未按时按量按质提供服务，甲方拒付所有服务费用；如因乙方驻场人员造成学校网络安全事件（事故）发生，乙方需承担相应责任。</w:t>
            </w:r>
            <w:r>
              <w:rPr>
                <w:rFonts w:ascii="仿宋_GB2312" w:hAnsi="仿宋_GB2312" w:cs="仿宋_GB2312" w:eastAsia="仿宋_GB2312"/>
                <w:sz w:val="22"/>
              </w:rPr>
              <w:t>具体考核方案参考《西安音乐学院</w:t>
            </w:r>
            <w:r>
              <w:rPr>
                <w:rFonts w:ascii="仿宋_GB2312" w:hAnsi="仿宋_GB2312" w:cs="仿宋_GB2312" w:eastAsia="仿宋_GB2312"/>
                <w:sz w:val="22"/>
              </w:rPr>
              <w:t>校园网和数据中心</w:t>
            </w:r>
            <w:r>
              <w:rPr>
                <w:rFonts w:ascii="仿宋_GB2312" w:hAnsi="仿宋_GB2312" w:cs="仿宋_GB2312" w:eastAsia="仿宋_GB2312"/>
                <w:sz w:val="22"/>
              </w:rPr>
              <w:t>服务质量考核方案》。</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合作期间采购人将对供应商服务情况进行满意度评分： 1.考核结果为优秀的，全额支付当期运维服务费，予以服务履约表彰，优先考虑后续合作续约； 2.考核结果为合格的，督促优化运维服务，限期整改薄弱环节； 3.考核结果为不合格的，终止服务合作，列入合作黑名单； 4.月度、半年考核结果纳入年度综合考核，作为运维费用结算的核心依据。</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西安音乐学院指定地点。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成交供应商按采购人要求完成服务内容并达到采购人相关要求，质量按本采购文件的服务内容验收。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进度款，甲方按照项目进度支付费用，项目中期验收合格后，乙方开具50%增值税发票，达到付款条件起30个工作日内，支付合同总金额的50.0%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进度款，待项目完成并验收合格后，乙方开具50%增值税发票，达到付款条件起30个工作日内，支付合同总金额的50.0%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以本项目合同约定为准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1.服务质量：符合采购人对本项目的服务要求。 2.成交单位应在成交结果发布后2日内提供与电子化交易平台上传一致的纸质响应文件3份。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供应商为向采购人提供服务的法人或其他组织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具体内容详见本章异常低价审查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响应文件是否按竞争性磋商文件要求签署、盖章的</w:t>
            </w:r>
          </w:p>
        </w:tc>
        <w:tc>
          <w:tcPr>
            <w:tcW w:type="dxa" w:w="3322"/>
          </w:tcPr>
          <w:p>
            <w:pPr>
              <w:pStyle w:val="null3"/>
            </w:pPr>
            <w:r>
              <w:rPr>
                <w:rFonts w:ascii="仿宋_GB2312" w:hAnsi="仿宋_GB2312" w:cs="仿宋_GB2312" w:eastAsia="仿宋_GB2312"/>
              </w:rPr>
              <w:t>响应文件应当按竞争性磋商文件要求签署、盖章，否则磋商小组应当将其响应文件作为无效处理。</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报价是否超过竞争性磋商文件中规定的最高限价的</w:t>
            </w:r>
          </w:p>
        </w:tc>
        <w:tc>
          <w:tcPr>
            <w:tcW w:type="dxa" w:w="3322"/>
          </w:tcPr>
          <w:p>
            <w:pPr>
              <w:pStyle w:val="null3"/>
            </w:pPr>
            <w:r>
              <w:rPr>
                <w:rFonts w:ascii="仿宋_GB2312" w:hAnsi="仿宋_GB2312" w:cs="仿宋_GB2312" w:eastAsia="仿宋_GB2312"/>
              </w:rPr>
              <w:t>响应文件的报价应当不超过竞争性磋商文件中规定的最高限价，否则磋商小组应当将其响应文件作为无效处理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响应文件未含有采购人不能接受的附加条件的或其他情形，否则磋商小组应当将其响应文件作为无效处理</w:t>
            </w:r>
          </w:p>
        </w:tc>
        <w:tc>
          <w:tcPr>
            <w:tcW w:type="dxa" w:w="1661"/>
          </w:tcPr>
          <w:p>
            <w:pPr>
              <w:pStyle w:val="null3"/>
            </w:pPr>
            <w:r>
              <w:rPr>
                <w:rFonts w:ascii="仿宋_GB2312" w:hAnsi="仿宋_GB2312" w:cs="仿宋_GB2312" w:eastAsia="仿宋_GB2312"/>
              </w:rPr>
              <w:t>服务内容及服务邀请应答表 商务应答表 服务费用说明一览表.docx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响应文件未发现法律、法规和竞争性磋商文件规定的其他无效情形，否则磋商小组应当将其响应文件作为无效处理</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供应商应授权合法的人员参加本项目竞争性磋商活动全过程</w:t>
            </w:r>
          </w:p>
        </w:tc>
        <w:tc>
          <w:tcPr>
            <w:tcW w:type="dxa" w:w="3322"/>
          </w:tcPr>
          <w:p>
            <w:pPr>
              <w:pStyle w:val="null3"/>
            </w:pPr>
            <w:r>
              <w:rPr>
                <w:rFonts w:ascii="仿宋_GB2312" w:hAnsi="仿宋_GB2312" w:cs="仿宋_GB2312" w:eastAsia="仿宋_GB2312"/>
              </w:rPr>
              <w:t>法定代表人直接参加的须提供法定代表人身份证并与营业执照上信息一致；法定代表人授权代表参加的须提供法定代表人授权书及被授权人在本单位证明近三个月内任意一个月的社保缴纳证明资料</w:t>
            </w:r>
          </w:p>
        </w:tc>
        <w:tc>
          <w:tcPr>
            <w:tcW w:type="dxa" w:w="1661"/>
          </w:tcPr>
          <w:p>
            <w:pPr>
              <w:pStyle w:val="null3"/>
            </w:pPr>
            <w:r>
              <w:rPr>
                <w:rFonts w:ascii="仿宋_GB2312" w:hAnsi="仿宋_GB2312" w:cs="仿宋_GB2312" w:eastAsia="仿宋_GB2312"/>
              </w:rPr>
              <w:t>法定代表人身份证明书.docx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服务要求的响应</w:t>
            </w:r>
          </w:p>
        </w:tc>
        <w:tc>
          <w:tcPr>
            <w:tcW w:type="dxa" w:w="2492"/>
          </w:tcPr>
          <w:p>
            <w:pPr>
              <w:pStyle w:val="null3"/>
            </w:pPr>
            <w:r>
              <w:rPr>
                <w:rFonts w:ascii="仿宋_GB2312" w:hAnsi="仿宋_GB2312" w:cs="仿宋_GB2312" w:eastAsia="仿宋_GB2312"/>
              </w:rPr>
              <w:t>供应商针对服务要求响应情况进行评审，共46项内容，完全响应并满足服务要求的得24分，每负偏离一项扣0.5分，扣完为止。 备注：相应的各服务要求均需提供佐证材料。佐证材料为供应商认为可以佐证参数响应性的材料。供应商对材料的真实性、完整性、有效性及针对性承担责任，自行承担因材料提供不全导致服务要求被认定为不满足或负偏离的风险。</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提供的服务方案进行阐述，方案包括①资产梳理；②巡检服务；③评估优化服务；④故障响应服务；⑤重要保障服务；⑥应急演练服务；⑦工作报告；⑧备品备件服务；⑨运维驻场人员要求；共9项内容，每项满分3分，总分27分。 其中，每项以具体内容与本项目及采购需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 团队</w:t>
            </w:r>
          </w:p>
        </w:tc>
        <w:tc>
          <w:tcPr>
            <w:tcW w:type="dxa" w:w="2492"/>
          </w:tcPr>
          <w:p>
            <w:pPr>
              <w:pStyle w:val="null3"/>
            </w:pPr>
            <w:r>
              <w:rPr>
                <w:rFonts w:ascii="仿宋_GB2312" w:hAnsi="仿宋_GB2312" w:cs="仿宋_GB2312" w:eastAsia="仿宋_GB2312"/>
              </w:rPr>
              <w:t>供应商提供的服务团队配备情况需包含①人员配置情况表；②核心成员具备的专业资质及同类项目服务经验；③各流程节点岗位职责划分，共3项内容，每项满分3分，总分9分。 其中，每项以具体内容与本项目及采购需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服务团队配备情况.docx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供应商提供针对本项目的突发事件处理方案，包括：①应急保证措施；②维修响应时间及维修方案。 共2项内容，每项满分3分，总分6分。 其中，每项以具体内容与本项目及采购需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 方案</w:t>
            </w:r>
          </w:p>
        </w:tc>
        <w:tc>
          <w:tcPr>
            <w:tcW w:type="dxa" w:w="2492"/>
          </w:tcPr>
          <w:p>
            <w:pPr>
              <w:pStyle w:val="null3"/>
            </w:pPr>
            <w:r>
              <w:rPr>
                <w:rFonts w:ascii="仿宋_GB2312" w:hAnsi="仿宋_GB2312" w:cs="仿宋_GB2312" w:eastAsia="仿宋_GB2312"/>
              </w:rPr>
              <w:t>制定完善的技术培训方案和措施，包含①培训计划；②时间、地点；③培训人数。 共3项内容，每项满分3分，总分9分。 其中，每项以具体内容与本项目及采购需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 业绩</w:t>
            </w:r>
          </w:p>
        </w:tc>
        <w:tc>
          <w:tcPr>
            <w:tcW w:type="dxa" w:w="2492"/>
          </w:tcPr>
          <w:p>
            <w:pPr>
              <w:pStyle w:val="null3"/>
            </w:pPr>
            <w:r>
              <w:rPr>
                <w:rFonts w:ascii="仿宋_GB2312" w:hAnsi="仿宋_GB2312" w:cs="仿宋_GB2312" w:eastAsia="仿宋_GB2312"/>
              </w:rPr>
              <w:t>供应商需提供近三年来（2023年5月1日起至今的）类似业绩证明材料，每提供一项有效合同得2.5分，最高得10分。供应商需提供合同的复印件或扫描件加盖公章，未提供的或无效合同均不得分。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业绩表.pdf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服务费用说明一览表.docx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即满足磋商文件要求且最后报价最低的供应商的价格为磋商基准价，其价格分为满分。其他供应商的价格分统一按照下列公式计算：磋商报价得分=（磋商基准价/最后磋商报价）×15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10.00%的扣除，用扣除后的价格参加评审。承接本项目的供应商符合相应条件时，给予10.00%的价格扣除，即：评标价=磋商最后报价×（1-10.00%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详见附件：服务团队配备情况.docx</w:t>
      </w:r>
    </w:p>
    <w:p>
      <w:pPr>
        <w:pStyle w:val="null3"/>
        <w:ind w:firstLine="960"/>
      </w:pPr>
      <w:r>
        <w:rPr>
          <w:rFonts w:ascii="仿宋_GB2312" w:hAnsi="仿宋_GB2312" w:cs="仿宋_GB2312" w:eastAsia="仿宋_GB2312"/>
        </w:rPr>
        <w:t>详见附件：业绩表.pdf</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详见附件：服务费用说明一览表.docx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