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版本号：FHGJ26(ZBQ)363-00220260709001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2026年监测预警平台维护升级</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FHGJ26(ZBQ)363-002</w:t>
      </w:r>
      <w:r>
        <w:br/>
      </w:r>
      <w:r>
        <w:br/>
      </w:r>
      <w:r>
        <w:br/>
      </w:r>
    </w:p>
    <w:p>
      <w:pPr>
        <w:pStyle w:val="null3"/>
        <w:jc w:val="center"/>
        <w:outlineLvl w:val="2"/>
      </w:pPr>
      <w:r>
        <w:rPr>
          <w:rFonts w:ascii="仿宋_GB2312" w:hAnsi="仿宋_GB2312" w:cs="仿宋_GB2312" w:eastAsia="仿宋_GB2312"/>
          <w:sz w:val="28"/>
          <w:b/>
        </w:rPr>
        <w:t>省地质环境监测总站</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省地质环境监测总站</w:t>
      </w:r>
      <w:r>
        <w:rPr>
          <w:rFonts w:ascii="仿宋_GB2312" w:hAnsi="仿宋_GB2312" w:cs="仿宋_GB2312" w:eastAsia="仿宋_GB2312"/>
        </w:rPr>
        <w:t>委托，拟对</w:t>
      </w:r>
      <w:r>
        <w:rPr>
          <w:rFonts w:ascii="仿宋_GB2312" w:hAnsi="仿宋_GB2312" w:cs="仿宋_GB2312" w:eastAsia="仿宋_GB2312"/>
        </w:rPr>
        <w:t>2026年监测预警平台维护升级</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FHGJ26(ZBQ)363-002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2026年监测预警平台维护升级</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1.对陕西省地质灾害监测预警信息系统进行年度维护与功能升级，保障现有已接入监测设备数据稳定传输、处理、存储与展示。 2.支撑2026年新建监测点资料录入与数据接入，确保新增点位正常上线、数据实时入库。 3.开展平台、服务器、数据库、网络安全日常维护，按等级保护要求完成安全加固与漏洞整改。 4.在预警信息处置、监测点管理、设备管理三大领域优化提升功能不少于15项，包含预警流程优化、数据质控、查询统计、权限管理、运维模块、综合展示等内容。 5.开发监测预警微信小程序，支持扫码查看监测设备数据，设备运维与点位核查的信息维护，与平台端数据互联互通等。 6.提供系统操作培训、技术支撑、故障处置，安排专人响应问题，保障平台全年稳定运行。 7.根据总站数据清洗研究成果，开发数据清洗模块，提高数据质量。 8.提升驾驶舱实用性，建设数据统计导出，多条件监测点查询与导出功能，支持降雨量等专题查询。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1、承诺：提供具有履行本项目合同所必需的设备和专业能力的承诺；</w:t>
      </w:r>
    </w:p>
    <w:p>
      <w:pPr>
        <w:pStyle w:val="null3"/>
      </w:pPr>
      <w:r>
        <w:rPr>
          <w:rFonts w:ascii="仿宋_GB2312" w:hAnsi="仿宋_GB2312" w:cs="仿宋_GB2312" w:eastAsia="仿宋_GB2312"/>
        </w:rPr>
        <w:t>2、声明函：本项目不接受联合体投标；单位负责人为同一人或者存在控股、管理关系的不同单位，不得参加同一项目的投标；并提供“国家企业信用信息公示系统”内股东截图。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省地质环境监测总站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陕西省西安市碑林区雁塔北路100号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陕西省地质环境监测总站（陕西省地质灾害中心）经办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029-87851040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陕西省西安市碑林区长安北路113号大话南门壹中心14楼11401室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13992541220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说明：合同签订15个工作日内，乙方向甲方支付合同总金额5%的履约保证金； 服务期满并通过甲方组织验收，且乙方将项目成果资料汇交甲方后，甲方在30日内将履约保证金无息退还乙方。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国家发展和改革委员会办公厅关于招标代理服务收费有关问题的通知》（发改办价格〔2003〕857号）及（发改办价格〔2011〕534号）规定计取，代理服务费最终以中标价为取费基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省地质环境监测总站</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省地质环境监测总站</w:t>
      </w:r>
      <w:r>
        <w:rPr>
          <w:rFonts w:ascii="仿宋_GB2312" w:hAnsi="仿宋_GB2312" w:cs="仿宋_GB2312" w:eastAsia="仿宋_GB2312"/>
        </w:rPr>
        <w:t>负责解释。除上述磋商文件内容，其他内容由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省地质环境监测总站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联系人：史璇</w:t>
      </w:r>
    </w:p>
    <w:p>
      <w:pPr>
        <w:pStyle w:val="null3"/>
      </w:pPr>
      <w:r>
        <w:rPr>
          <w:rFonts w:ascii="仿宋_GB2312" w:hAnsi="仿宋_GB2312" w:cs="仿宋_GB2312" w:eastAsia="仿宋_GB2312"/>
        </w:rPr>
        <w:t>联系电话：1399251220</w:t>
      </w:r>
    </w:p>
    <w:p>
      <w:pPr>
        <w:pStyle w:val="null3"/>
      </w:pPr>
      <w:r>
        <w:rPr>
          <w:rFonts w:ascii="仿宋_GB2312" w:hAnsi="仿宋_GB2312" w:cs="仿宋_GB2312" w:eastAsia="仿宋_GB2312"/>
        </w:rPr>
        <w:t>地址： 陕西省西安市碑林区长安北路113号大话南门壹中心14楼11401室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1.对陕西省地质灾害监测预警信息系统进行年度维护与功能升级，保障现有已接入监测设备数据稳定传输、处理、存储与展示。 2.支撑2026年新建监测点资料录入与数据接入，确保新增点位正常上线、数据实时入库。 3.开展平台、服务器、数据库、网络安全日常维护，按等级保护要求完成安全加固与漏洞整改。 4.在预警信息处置、监测点管理、设备管理三大领域优化提升功能不少于15项，包含预警流程优化、数据质控、查询统计、权限管理、运维模块、综合展示等内容。 5.开发监测预警微信小程序，支持扫码查看监测设备数据，设备运维与点位核查的信息维护，与平台端数据互联互通等。 6.提供系统操作培训、技术支撑、故障处置，安排专人响应问题，保障平台全年稳定运行。 7.根据总站数据清洗研究成果，开发数据清洗模块，提高数据质量。 8.提升驾驶舱实用性，建设数据统计导出，多条件监测点查询与导出功能，支持降雨量等专题查询。</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2026年监测预警平台维护升级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标的名称：2026年监测预警平台维护升级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采购内容</w:t>
            </w:r>
          </w:p>
          <w:p>
            <w:pPr>
              <w:pStyle w:val="null3"/>
              <w:ind w:firstLine="480"/>
            </w:pPr>
            <w:r>
              <w:rPr>
                <w:rFonts w:ascii="仿宋_GB2312" w:hAnsi="仿宋_GB2312" w:cs="仿宋_GB2312" w:eastAsia="仿宋_GB2312"/>
              </w:rPr>
              <w:t>1.对陕西省地质灾害监测预警信息系统进行年度维护与功能升级，保障现有已接入监测设备数据稳定传输、处理、存储与展示。</w:t>
            </w:r>
          </w:p>
          <w:p>
            <w:pPr>
              <w:pStyle w:val="null3"/>
              <w:ind w:firstLine="480"/>
            </w:pPr>
            <w:r>
              <w:rPr>
                <w:rFonts w:ascii="仿宋_GB2312" w:hAnsi="仿宋_GB2312" w:cs="仿宋_GB2312" w:eastAsia="仿宋_GB2312"/>
              </w:rPr>
              <w:t>2.支撑2026年新建监测点资料录入与数据接入，确保新增点位正常上线、数据实时入库。</w:t>
            </w:r>
          </w:p>
          <w:p>
            <w:pPr>
              <w:pStyle w:val="null3"/>
              <w:ind w:firstLine="480"/>
            </w:pPr>
            <w:r>
              <w:rPr>
                <w:rFonts w:ascii="仿宋_GB2312" w:hAnsi="仿宋_GB2312" w:cs="仿宋_GB2312" w:eastAsia="仿宋_GB2312"/>
              </w:rPr>
              <w:t>3.开展平台、服务器、数据库、网络安全日常维护，按等级保护要求完成安全加固与漏洞整改。</w:t>
            </w:r>
          </w:p>
          <w:p>
            <w:pPr>
              <w:pStyle w:val="null3"/>
              <w:ind w:firstLine="480"/>
            </w:pPr>
            <w:r>
              <w:rPr>
                <w:rFonts w:ascii="仿宋_GB2312" w:hAnsi="仿宋_GB2312" w:cs="仿宋_GB2312" w:eastAsia="仿宋_GB2312"/>
              </w:rPr>
              <w:t>4.在预警信息处置、监测点管理、设备管理三大领域优化提升功能不少于15项，包含预警流程优化、数据质控、查询统计、权限管理、运维模块、综合展示等内容。</w:t>
            </w:r>
          </w:p>
          <w:p>
            <w:pPr>
              <w:pStyle w:val="null3"/>
              <w:ind w:firstLine="480"/>
            </w:pPr>
            <w:r>
              <w:rPr>
                <w:rFonts w:ascii="仿宋_GB2312" w:hAnsi="仿宋_GB2312" w:cs="仿宋_GB2312" w:eastAsia="仿宋_GB2312"/>
              </w:rPr>
              <w:t>5.开发监测预警微信小程序，支持扫码查看监测设备数据，设备运维与点位核查的信息维护，与平台端数据互联互通等。</w:t>
            </w:r>
          </w:p>
          <w:p>
            <w:pPr>
              <w:pStyle w:val="null3"/>
              <w:ind w:firstLine="480"/>
            </w:pPr>
            <w:r>
              <w:rPr>
                <w:rFonts w:ascii="仿宋_GB2312" w:hAnsi="仿宋_GB2312" w:cs="仿宋_GB2312" w:eastAsia="仿宋_GB2312"/>
              </w:rPr>
              <w:t>6.提供系统操作培训、技术支撑、故障处置，安排专人响应问题，保障平台全年稳定运行。</w:t>
            </w:r>
          </w:p>
          <w:p>
            <w:pPr>
              <w:pStyle w:val="null3"/>
              <w:ind w:firstLine="480"/>
            </w:pPr>
            <w:r>
              <w:rPr>
                <w:rFonts w:ascii="仿宋_GB2312" w:hAnsi="仿宋_GB2312" w:cs="仿宋_GB2312" w:eastAsia="仿宋_GB2312"/>
              </w:rPr>
              <w:t>7.根据总站数据清洗研究成果，开发数据清洗模块，提高数据质量。</w:t>
            </w:r>
          </w:p>
          <w:p>
            <w:pPr>
              <w:pStyle w:val="null3"/>
              <w:ind w:firstLine="480"/>
            </w:pPr>
            <w:r>
              <w:rPr>
                <w:rFonts w:ascii="仿宋_GB2312" w:hAnsi="仿宋_GB2312" w:cs="仿宋_GB2312" w:eastAsia="仿宋_GB2312"/>
              </w:rPr>
              <w:t>8.提升驾驶舱实用性，建设数据统计导出，多条件监测点查询与导出功能，支持降雨量等专题查询</w:t>
            </w:r>
            <w:r>
              <w:rPr>
                <w:rFonts w:ascii="仿宋_GB2312" w:hAnsi="仿宋_GB2312" w:cs="仿宋_GB2312" w:eastAsia="仿宋_GB2312"/>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二</w:t>
            </w:r>
            <w:r>
              <w:rPr>
                <w:rFonts w:ascii="仿宋_GB2312" w:hAnsi="仿宋_GB2312" w:cs="仿宋_GB2312" w:eastAsia="仿宋_GB2312"/>
                <w:b/>
              </w:rPr>
              <w:t>、技术要求</w:t>
            </w:r>
          </w:p>
          <w:p>
            <w:pPr>
              <w:pStyle w:val="null3"/>
              <w:ind w:firstLine="400"/>
            </w:pPr>
            <w:r>
              <w:rPr>
                <w:rFonts w:ascii="仿宋_GB2312" w:hAnsi="仿宋_GB2312" w:cs="仿宋_GB2312" w:eastAsia="仿宋_GB2312"/>
              </w:rPr>
              <w:t>1.</w:t>
            </w:r>
            <w:r>
              <w:rPr>
                <w:rFonts w:ascii="仿宋_GB2312" w:hAnsi="仿宋_GB2312" w:cs="仿宋_GB2312" w:eastAsia="仿宋_GB2312"/>
              </w:rPr>
              <w:t>平台运行稳定可靠，数据接入及时准确，现有点位与</w:t>
            </w:r>
            <w:r>
              <w:rPr>
                <w:rFonts w:ascii="仿宋_GB2312" w:hAnsi="仿宋_GB2312" w:cs="仿宋_GB2312" w:eastAsia="仿宋_GB2312"/>
              </w:rPr>
              <w:t>2026年新建点位数据无丢失、无延迟。</w:t>
            </w:r>
          </w:p>
          <w:p>
            <w:pPr>
              <w:pStyle w:val="null3"/>
              <w:ind w:firstLine="400"/>
            </w:pPr>
            <w:r>
              <w:rPr>
                <w:rFonts w:ascii="仿宋_GB2312" w:hAnsi="仿宋_GB2312" w:cs="仿宋_GB2312" w:eastAsia="仿宋_GB2312"/>
              </w:rPr>
              <w:t>2.</w:t>
            </w:r>
            <w:r>
              <w:rPr>
                <w:rFonts w:ascii="仿宋_GB2312" w:hAnsi="仿宋_GB2312" w:cs="仿宋_GB2312" w:eastAsia="仿宋_GB2312"/>
              </w:rPr>
              <w:t>功能优化满足实际业务需求，预警规则、数据质控、查询统计、设备状态管理等模块运行正常。</w:t>
            </w:r>
          </w:p>
          <w:p>
            <w:pPr>
              <w:pStyle w:val="null3"/>
              <w:ind w:firstLine="400"/>
            </w:pPr>
            <w:r>
              <w:rPr>
                <w:rFonts w:ascii="仿宋_GB2312" w:hAnsi="仿宋_GB2312" w:cs="仿宋_GB2312" w:eastAsia="仿宋_GB2312"/>
              </w:rPr>
              <w:t>3.</w:t>
            </w:r>
            <w:r>
              <w:rPr>
                <w:rFonts w:ascii="仿宋_GB2312" w:hAnsi="仿宋_GB2312" w:cs="仿宋_GB2312" w:eastAsia="仿宋_GB2312"/>
              </w:rPr>
              <w:t>系统故障</w:t>
            </w:r>
            <w:r>
              <w:rPr>
                <w:rFonts w:ascii="仿宋_GB2312" w:hAnsi="仿宋_GB2312" w:cs="仿宋_GB2312" w:eastAsia="仿宋_GB2312"/>
              </w:rPr>
              <w:t>24小时内响应处置，定期数据备份，敏感信息加密，符合网络安全与等保规范。</w:t>
            </w:r>
          </w:p>
          <w:p>
            <w:pPr>
              <w:pStyle w:val="null3"/>
              <w:ind w:firstLine="400"/>
            </w:pPr>
            <w:r>
              <w:rPr>
                <w:rFonts w:ascii="仿宋_GB2312" w:hAnsi="仿宋_GB2312" w:cs="仿宋_GB2312" w:eastAsia="仿宋_GB2312"/>
              </w:rPr>
              <w:t>4.</w:t>
            </w:r>
            <w:r>
              <w:rPr>
                <w:rFonts w:ascii="仿宋_GB2312" w:hAnsi="仿宋_GB2312" w:cs="仿宋_GB2312" w:eastAsia="仿宋_GB2312"/>
              </w:rPr>
              <w:t>各模块数据保持一致，与省级相关平台接口对接正常，数据互通准确。</w:t>
            </w:r>
          </w:p>
          <w:p>
            <w:pPr>
              <w:pStyle w:val="null3"/>
              <w:ind w:firstLine="400"/>
            </w:pPr>
            <w:r>
              <w:rPr>
                <w:rFonts w:ascii="仿宋_GB2312" w:hAnsi="仿宋_GB2312" w:cs="仿宋_GB2312" w:eastAsia="仿宋_GB2312"/>
              </w:rPr>
              <w:t>5.</w:t>
            </w:r>
            <w:r>
              <w:rPr>
                <w:rFonts w:ascii="仿宋_GB2312" w:hAnsi="仿宋_GB2312" w:cs="仿宋_GB2312" w:eastAsia="仿宋_GB2312"/>
              </w:rPr>
              <w:t>提供完整的用户手册、接口文档、源代码及技术支持，确保功能可落地、可运维。</w:t>
            </w:r>
          </w:p>
          <w:p>
            <w:pPr>
              <w:pStyle w:val="null3"/>
              <w:ind w:firstLine="400"/>
            </w:pPr>
            <w:r>
              <w:rPr>
                <w:rFonts w:ascii="仿宋_GB2312" w:hAnsi="仿宋_GB2312" w:cs="仿宋_GB2312" w:eastAsia="仿宋_GB2312"/>
              </w:rPr>
              <w:t>6.按要求完成功能开发、测试、上线与验收，确保按期交付。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具有履行合同所必需的人员，满足项目需求。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1.具有独立法人资格，具备地质灾害监测预警平台开发、信息系统集成与维护能力。 2.具有地质灾害监测预警平台或同类信息化系统开发、升级、维护项目经验。 3.2023年5月1日以来具有类似平台维护升级业绩，并提供合同证明材料。 4.拥有专职技术团队，具备前端、后端、GIS、数据库等技术人员，可保障项目实施与售后。 5.具有完善的实施方案、进度计划、质量保障与安全管理措施。 6.符合国家、行业关于信息系统建设、网络安全、地质灾害监测相关标准规范。</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自本合同签订之日起一个自然年。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（一）提交成果 1.合同签订后15个工作日内提交《2026年监测预警平台维护升级实施方案》； 2.2026年12月前提交《监测预警平台维护升级成果报告》； 3.验收后提交用户手册、系统源代码、测试报告、验收资料等全套成果。 （二）项目验收 1.乙方提交验收申请后，甲方在15个工作日内组织验收，费用由乙方承担。 2.验收内容：系统运行稳定性、数据接入完整性、15项功能优化和微信小程序完成情况、资料齐全性和安全合规性。 3.满足合同要求、功能正常、资料完整，视为验收合格。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进度款，合同签订15日内，乙方向甲方支付合同总金额5%的履约保证金并提交合同全额增值税发票后，甲方向乙方约定账户支付合同总金额60%的进度款，达到付款条件起15个工作日内，支付合同总金额的60.0%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进度款，乙方提交的实施方案经甲方组织验收通过后20日内，甲方向乙方约定的账户支付合同总金额40%的进度款，达到付款条件起20个工作日内，支付合同总金额的40.0%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7.1乙方未按约定时间完成功能开发或成果提交，每逾期1个工作日，按合同总额1‰支付违约金；逾期超30日，甲方有权解除合同。 7.2功能不达标、系统不稳定，乙方应15日内完成整改；整改后仍不满足要求，甲方可解约，乙方退还已付款，并承担合同总额15%违约金。 7.3因乙方原因造成数据丢失、系统瘫痪、安全事件，由乙方承担全部责任与损失。 7.4不可抗力导致履约延迟，双方互不追责，期限相应顺延。 7.5按照《中华人民共和国民法典》中的相关条款执行。 7.6中标人未按合同要求提供服务或服务质量不能满足技术要求，且在规定时间内未达到采购要求及合同约定的，采购人有权终止合同，同时报请监管部门对其违约行为进行追究。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1.采购标的对应的中小企业划分标准所属行业为软件和信息技术服务业。2.落实的政府采购政策： （1）财政部、工业和信息化部关于印发《政府采购促进中小企业发展管理办法》的通知-财库〔2020〕46号；（2）关于进一步加大政府采购支持中小企业力度的通知-财库〔2022〕19号；（3）财政部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中国人民银行西安分行关于深入推进政府采购信用融资业务的通知-陕财办采〔2023〕5号；（15）国务院办公厅关于在政府采购中实施本国产品标准及相关政策的通知国办发〔2026〕34号；（16）《财政部 工业和信息化部关于贯彻落实&lt;国务院办公厅关于在政府采购中实施本国产品标准及相关政策的通知&gt;的意见》（财库〔2026〕30 号）；（17）《关于推动解决政府采购异常低价问题的通知》（财库〔2026〕 2号）；（18）如有最新颁布的政府采购政策，按最新的文件执行。3.中标人中标后向招标代理公司提交纸质投标文件叁份、U盘贰份（纸质投标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的法人、其他组织或自然人，并出具合法有效的营业执照或事业单位法人证书等国家规定的相关证明，自然人参与的提供其身份证明； 2、财务状况报告：法人提供经审计的2024或2025年度的财务报告（成立时间至投标文件递交截止时间不足一年的可提供成立后任意时段的资产负债表）或投标文件递交截止时间前六个月内银行出具的资信证明或政府采购信用担保机构出具的担保函；其他组织和自然人提供银行出具的资信证明或财务报表或政府采购信用担保机构出具的担保函。根据《财政部关于注册会计师行业统一监管平台上线运行的通知》财办〔2022〕32号文件要求，审计报告须有清晰可扫描查询的二维码，若审计报告未赋码视为无效。 3、税收缴纳证明：提供投标文件截止时间一年内至少一个月的依法缴纳税收的相关凭据（时间以税款所属日期为准、税种须至少包含增值税或企业所得税），凭据应有税务机关或代收机关的公章或业务专用章。依法免税或无须缴纳税收的投标人，应提供相应证明文件； 4、社会保障资金缴纳证明：提供投标文件截止时间一年内至少一个月的社会保障资金缴存单据或社保机构开具的社会保险参保缴费情况证明或完税证明，单据或证明上应有社保机构或代收机构的公章或业务专用章；（依法不需要缴纳社会保障资金的投标供应商应提供相关证明） 5、信用主体查询及声明：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法人提供经审计的2024或2025年度的财务报告（成立时间至投标文件递交截止时间不足一年的可提供成立后任意时段的资产负债表）或投标文件递交截止时间前六个月内银行出具的资信证明或政府采购信用担保机构出具的担保函；其他组织和自然人提供银行出具的资信证明或财务报表或政府采购信用担保机构出具的担保函。根据《财政部关于注册会计师行业统一监管平台上线运行的通知》财办〔2022〕32号文件要求，审计报告须有清晰可扫描查询的二维码，若审计报告未赋码视为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提供具有履行本项目合同所必需的设备和专业能力的承诺；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本项目不接受联合体投标；单位负责人为同一人或者存在控股、管理关系的不同单位，不得参加同一项目的投标；并提供“国家企业信用信息公示系统”内股东截图。</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（1）货币单位符合磋商文件要求 （2）报价符合唯一性要求 （3）未超出采购包最高限价 （4）符合《报价表》《标的清单》的填报要求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及授权代表投标截止日前一年内已缴存的至少一个月的社会保险参保缴费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完全响应磋商文件要求的各项技术及服务、商务实质性条款。</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签章均符合磋商文件要求，且无遗漏。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符合法律、法规和竞争性磋商文件中规的其他实质性要求</w:t>
            </w:r>
          </w:p>
        </w:tc>
        <w:tc>
          <w:tcPr>
            <w:tcW w:type="dxa" w:w="3322"/>
          </w:tcPr>
          <w:p>
            <w:pPr>
              <w:pStyle w:val="null3"/>
            </w:pPr>
            <w:r>
              <w:rPr>
                <w:rFonts w:ascii="仿宋_GB2312" w:hAnsi="仿宋_GB2312" w:cs="仿宋_GB2312" w:eastAsia="仿宋_GB2312"/>
              </w:rPr>
              <w:t>符合法律、法规和竞争性磋商文件中规定的其他实质性要求（合格）不符合法律、法规和竞争性磋商文件中规定的其他实质性要求（不合格）</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根据对项目的理解，提供2026年监测预警平台维护升级整体技术方案。包括但不限于：①项目背景及项目工作目标的理解与认识②服务范围、服务内容理解与认识③服务标准的理解与认识④各种协调措施等。 二、评审标准 1、完整性：方案须全面，对评审内容中的各项要求有详细描述及说明； 2、可实施性：切合本项目实际情况，实施步骤清晰、合理； 3、针对性：方案能够紧扣项目实际情况，内容科学合理。 三、赋分标准（满分12分） ①项目背景及项目工作目标的理解与认识：每完全满足一项评审标准得1分，满分3分； ②服务范围、服务内容理解与认识: 每完全满足一项评审标准得1分，满分3分； ③服务标准的理解与认识:每完全满足一项评审标准得1分，满分3分。 ④各种协调措施：每完全满足一项评审标准得1分，满分3分。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数据安全保障措施</w:t>
            </w:r>
          </w:p>
        </w:tc>
        <w:tc>
          <w:tcPr>
            <w:tcW w:type="dxa" w:w="2492"/>
          </w:tcPr>
          <w:p>
            <w:pPr>
              <w:pStyle w:val="null3"/>
            </w:pPr>
            <w:r>
              <w:rPr>
                <w:rFonts w:ascii="仿宋_GB2312" w:hAnsi="仿宋_GB2312" w:cs="仿宋_GB2312" w:eastAsia="仿宋_GB2312"/>
              </w:rPr>
              <w:t>一、评审内容 供应商提供项目实施过程中的安全保障措施，方案内容包括但不限于：①安全目标管理体系及制度②安全服务响应时间保障措施。 二、评审标准 1、可实施性：切合本项目实际情况，实施步骤清晰、合理； 2、针对性：方案能够紧扣项目实际情况，内容科学合理。 三、赋分标准（满分4分） ①安全目标管理体系及制度：每完全满足一个评审标准得1分，满分2分； ②安全服务响应时间保障措施：每完全满足一个评审标准得1分，满分2分；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一、评审内容 供应商提供针对本项目的工作进度安排，方案内容括但不限于：①服务工作进度安排计划②确保服务期进度的保证措施。 二、评审标准 1、完整性：方案须全面，对评审内容中的各项要求有详细描述及说明； 2、可实施性：切合本项目实际情况，实施步骤清晰、合理； 3、针对性：方案能够紧扣项目实际情况，内容科学合理。 三、赋分标准（满分6分） ①服务工作进度安排计划：每完全满足一个评审标准得1分，满分3分； ②确保服务期进度的保证措施：每完全满足一个评审标准得1分，满分3分；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预期成果</w:t>
            </w:r>
          </w:p>
        </w:tc>
        <w:tc>
          <w:tcPr>
            <w:tcW w:type="dxa" w:w="2492"/>
          </w:tcPr>
          <w:p>
            <w:pPr>
              <w:pStyle w:val="null3"/>
            </w:pPr>
            <w:r>
              <w:rPr>
                <w:rFonts w:ascii="仿宋_GB2312" w:hAnsi="仿宋_GB2312" w:cs="仿宋_GB2312" w:eastAsia="仿宋_GB2312"/>
              </w:rPr>
              <w:t>一、评审内容 针对本项目提供详细的①预期成果目标、②成果目标分析、③成果达成进度及措施 二、评审标准 1、完整性：方案须全面，对评审内容中的各项要求有详细描述及说明； 2、可实施性：切合本项目实际情况，实施步骤清晰、合理； 三、赋分标准（满分6分） ①预期成果：每完全满足一个评审标准得1分，满分2分； ②预期目标分析：每完全满足一个评审标准得1分，满分2分； ③成果达成进度及措施，每完全满足一个评审标准得1分，满分2分；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售后服务承诺及培训</w:t>
            </w:r>
          </w:p>
        </w:tc>
        <w:tc>
          <w:tcPr>
            <w:tcW w:type="dxa" w:w="2492"/>
          </w:tcPr>
          <w:p>
            <w:pPr>
              <w:pStyle w:val="null3"/>
            </w:pPr>
            <w:r>
              <w:rPr>
                <w:rFonts w:ascii="仿宋_GB2312" w:hAnsi="仿宋_GB2312" w:cs="仿宋_GB2312" w:eastAsia="仿宋_GB2312"/>
              </w:rPr>
              <w:t>一、评审内容 根据本项目采购需求提供售后服务承诺及培训方案，包括但不限于：①售后服务方案（质保期、售后服务团队）②维护服务要求响应承诺③售后服务响应时间承诺④培训计划及组织方案。 二、评审标准 1、完整性：方案须全面，对评审内容中的各项要求有详细描述及说明； 2、可实施性：切合本项目实际情况，实施步骤清晰、合理； 3、针对性：方案能够紧扣项目实际情况，内容科学合理。 三、赋分标准（满分12分） ①售后服务方案（质保期、售后服务团队）：每完全满足一个评审标准得1分，满分3分。 ②维护服务要求响应承诺：每完全满足一个评审标准得1分，满分3分。 ③售后服务响应时间承诺：每完全满足一个评审标准得1分，满分3分。 ④培训计划及组织方案：每完全满足一个评审标准得1分，满分3分。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提供安排专人响应问题，保障平台全年稳定运行的承诺书，每提供1人得2.5分，满分5分。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供应商认证证书</w:t>
            </w:r>
          </w:p>
        </w:tc>
        <w:tc>
          <w:tcPr>
            <w:tcW w:type="dxa" w:w="2492"/>
          </w:tcPr>
          <w:p>
            <w:pPr>
              <w:pStyle w:val="null3"/>
            </w:pPr>
            <w:r>
              <w:rPr>
                <w:rFonts w:ascii="仿宋_GB2312" w:hAnsi="仿宋_GB2312" w:cs="仿宋_GB2312" w:eastAsia="仿宋_GB2312"/>
              </w:rPr>
              <w:t>管理体系认证证书（质量管理体系）：供应商须提供在有效期内的证书扫描件，有效证书扫描件得5分，满分5分。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具有专业化的技术队伍，出具国家认可的计算机或电子信息等相关类别的专业技术资格证书（职称），每个中级证书得5分，每个高级证书得10分，该项得分最高不超过20分；（同一人同类证书以最高级别为准）。 注：须提供相关证书复印件加盖公章等证明材料。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提供近三年（2023年6月1日至今）承担过同类项目业绩，每份计10分，满分20分。（业绩以合同签订时间为准，提供合同复印件或扫描件加盖公章）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 2.满足磋商文件实质性要求且最后报价最低的供应商的价格为磋商基准价，其价格分为满分10分 3.磋商报价得分=(磋商基准价/最终磋商报价）×10的公式计算得分 （因落实政府采购政策进行价格调整的，以调整后的价格计算评标基准价和投标报价，详见磋商文件本部分政府采购政策评分标准，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详见附件：业务委托合同（监测预警平台维护升级）.docx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