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D218DD">
      <w:pPr>
        <w:keepNext w:val="0"/>
        <w:keepLines w:val="0"/>
        <w:pageBreakBefore w:val="0"/>
        <w:widowControl w:val="0"/>
        <w:shd w:val="clear"/>
        <w:kinsoku/>
        <w:wordWrap/>
        <w:overflowPunct/>
        <w:topLinePunct w:val="0"/>
        <w:autoSpaceDE/>
        <w:autoSpaceDN/>
        <w:bidi w:val="0"/>
        <w:adjustRightInd/>
        <w:snapToGrid/>
        <w:spacing w:before="157" w:beforeLines="50" w:after="157" w:afterLines="50" w:line="360" w:lineRule="auto"/>
        <w:textAlignment w:val="auto"/>
        <w:rPr>
          <w:rFonts w:hint="eastAsia" w:ascii="宋体" w:hAnsi="宋体" w:eastAsia="宋体" w:cs="宋体"/>
          <w:b/>
          <w:color w:val="auto"/>
          <w:spacing w:val="0"/>
          <w:w w:val="100"/>
          <w:sz w:val="24"/>
          <w:szCs w:val="24"/>
          <w:highlight w:val="none"/>
        </w:rPr>
      </w:pPr>
      <w:bookmarkStart w:id="0" w:name="_GoBack"/>
      <w:bookmarkEnd w:id="0"/>
      <w:r>
        <w:rPr>
          <w:rFonts w:hint="eastAsia" w:ascii="宋体" w:hAnsi="宋体" w:eastAsia="宋体" w:cs="宋体"/>
          <w:b/>
          <w:color w:val="auto"/>
          <w:spacing w:val="0"/>
          <w:w w:val="100"/>
          <w:sz w:val="24"/>
          <w:szCs w:val="24"/>
          <w:highlight w:val="none"/>
        </w:rPr>
        <w:t>附件</w:t>
      </w:r>
    </w:p>
    <w:p w14:paraId="69BB01FA">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jc w:val="both"/>
        <w:textAlignment w:val="auto"/>
        <w:rPr>
          <w:rFonts w:hint="eastAsia" w:ascii="宋体" w:hAnsi="宋体" w:eastAsia="宋体" w:cs="宋体"/>
          <w:color w:val="auto"/>
          <w:spacing w:val="0"/>
          <w:w w:val="100"/>
          <w:kern w:val="0"/>
          <w:sz w:val="24"/>
          <w:szCs w:val="24"/>
          <w:highlight w:val="none"/>
          <w:shd w:val="clear" w:color="auto" w:fill="FFFFFF"/>
        </w:rPr>
      </w:pPr>
      <w:r>
        <w:rPr>
          <w:rFonts w:hint="eastAsia" w:ascii="宋体" w:hAnsi="宋体" w:eastAsia="宋体" w:cs="宋体"/>
          <w:b/>
          <w:bCs/>
          <w:color w:val="auto"/>
          <w:spacing w:val="0"/>
          <w:w w:val="100"/>
          <w:sz w:val="24"/>
          <w:szCs w:val="24"/>
          <w:highlight w:val="none"/>
          <w:lang w:val="en-US" w:eastAsia="zh-CN"/>
        </w:rPr>
        <w:t>一、</w:t>
      </w:r>
      <w:r>
        <w:rPr>
          <w:rFonts w:hint="eastAsia" w:ascii="宋体" w:hAnsi="宋体" w:cs="宋体"/>
          <w:b/>
          <w:bCs/>
          <w:color w:val="auto"/>
          <w:spacing w:val="0"/>
          <w:w w:val="100"/>
          <w:sz w:val="24"/>
          <w:szCs w:val="24"/>
          <w:highlight w:val="none"/>
          <w:lang w:val="en-US" w:eastAsia="zh-CN"/>
        </w:rPr>
        <w:t>“</w:t>
      </w:r>
      <w:r>
        <w:rPr>
          <w:rFonts w:hint="eastAsia" w:ascii="宋体" w:hAnsi="宋体" w:eastAsia="宋体" w:cs="宋体"/>
          <w:b/>
          <w:bCs/>
          <w:color w:val="auto"/>
          <w:spacing w:val="0"/>
          <w:w w:val="100"/>
          <w:sz w:val="24"/>
          <w:szCs w:val="24"/>
          <w:highlight w:val="none"/>
        </w:rPr>
        <w:t>政采贷”业务介绍</w:t>
      </w:r>
    </w:p>
    <w:p w14:paraId="1F221AE5">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宋体" w:hAnsi="宋体" w:eastAsia="宋体" w:cs="宋体"/>
          <w:color w:val="auto"/>
          <w:spacing w:val="0"/>
          <w:w w:val="100"/>
          <w:sz w:val="24"/>
          <w:szCs w:val="24"/>
          <w:highlight w:val="none"/>
          <w:lang w:val="en-US" w:eastAsia="zh-CN"/>
        </w:rPr>
      </w:pPr>
      <w:r>
        <w:rPr>
          <w:rFonts w:hint="eastAsia" w:ascii="宋体" w:hAnsi="宋体" w:eastAsia="宋体" w:cs="宋体"/>
          <w:color w:val="auto"/>
          <w:spacing w:val="0"/>
          <w:w w:val="100"/>
          <w:sz w:val="24"/>
          <w:szCs w:val="24"/>
          <w:highlight w:val="none"/>
          <w:lang w:val="en-US" w:eastAsia="zh-CN"/>
        </w:rPr>
        <w:t>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4109E153">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hint="eastAsia" w:ascii="宋体" w:hAnsi="宋体" w:eastAsia="宋体" w:cs="宋体"/>
          <w:b/>
          <w:bCs/>
          <w:color w:val="auto"/>
          <w:spacing w:val="0"/>
          <w:w w:val="100"/>
          <w:sz w:val="24"/>
          <w:szCs w:val="24"/>
          <w:highlight w:val="none"/>
        </w:rPr>
      </w:pPr>
      <w:r>
        <w:rPr>
          <w:rFonts w:hint="eastAsia" w:ascii="宋体" w:hAnsi="宋体" w:eastAsia="宋体" w:cs="宋体"/>
          <w:color w:val="auto"/>
          <w:spacing w:val="0"/>
          <w:w w:val="100"/>
          <w:sz w:val="24"/>
          <w:szCs w:val="24"/>
          <w:highlight w:val="none"/>
          <w:lang w:val="en-US" w:eastAsia="zh-CN"/>
        </w:rPr>
        <w:t>二、</w:t>
      </w:r>
      <w:r>
        <w:rPr>
          <w:rFonts w:hint="eastAsia" w:ascii="宋体" w:hAnsi="宋体" w:eastAsia="宋体" w:cs="宋体"/>
          <w:b/>
          <w:bCs/>
          <w:color w:val="auto"/>
          <w:spacing w:val="0"/>
          <w:w w:val="100"/>
          <w:sz w:val="24"/>
          <w:szCs w:val="24"/>
          <w:highlight w:val="none"/>
        </w:rPr>
        <w:t>供应商融资申请操作手册</w:t>
      </w:r>
    </w:p>
    <w:p w14:paraId="672220B2">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5D8962BE">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业务办理流程简介</w:t>
      </w:r>
    </w:p>
    <w:p w14:paraId="608B1AFD">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2DF4F2C2">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业务流程简图如下：</w:t>
      </w:r>
    </w:p>
    <w:p w14:paraId="37EAA445">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12840" cy="3211195"/>
            <wp:effectExtent l="0" t="0" r="16510" b="825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4"/>
                    <a:stretch>
                      <a:fillRect/>
                    </a:stretch>
                  </pic:blipFill>
                  <pic:spPr>
                    <a:xfrm>
                      <a:off x="0" y="0"/>
                      <a:ext cx="6212840" cy="3211195"/>
                    </a:xfrm>
                    <a:prstGeom prst="rect">
                      <a:avLst/>
                    </a:prstGeom>
                    <a:noFill/>
                    <a:ln w="9525">
                      <a:noFill/>
                    </a:ln>
                  </pic:spPr>
                </pic:pic>
              </a:graphicData>
            </a:graphic>
          </wp:inline>
        </w:drawing>
      </w:r>
    </w:p>
    <w:p w14:paraId="58CA6B84">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未签订采购合同申请流程</w:t>
      </w:r>
    </w:p>
    <w:p w14:paraId="1CAAD1C2">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11570" cy="3230245"/>
            <wp:effectExtent l="0" t="0" r="17780" b="8255"/>
            <wp:docPr id="14"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7"/>
                    <pic:cNvPicPr>
                      <a:picLocks noChangeAspect="1"/>
                    </pic:cNvPicPr>
                  </pic:nvPicPr>
                  <pic:blipFill>
                    <a:blip r:embed="rId5"/>
                    <a:stretch>
                      <a:fillRect/>
                    </a:stretch>
                  </pic:blipFill>
                  <pic:spPr>
                    <a:xfrm>
                      <a:off x="0" y="0"/>
                      <a:ext cx="6211570" cy="3230245"/>
                    </a:xfrm>
                    <a:prstGeom prst="rect">
                      <a:avLst/>
                    </a:prstGeom>
                    <a:noFill/>
                    <a:ln w="9525">
                      <a:noFill/>
                    </a:ln>
                  </pic:spPr>
                </pic:pic>
              </a:graphicData>
            </a:graphic>
          </wp:inline>
        </w:drawing>
      </w:r>
    </w:p>
    <w:p w14:paraId="750B10E5">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已签订采购合同申请流程</w:t>
      </w:r>
    </w:p>
    <w:p w14:paraId="7A8AA2E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1、首页</w:t>
      </w:r>
    </w:p>
    <w:p w14:paraId="318B0283">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系统首页主要呈现省政府采购合同融资相关政策法规、申请基本流程、成交数据统计，及供应商帮助内容，供应商企业可由“我的账户”登录，如下图：</w:t>
      </w:r>
    </w:p>
    <w:p w14:paraId="56A0F13E">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21095" cy="3560445"/>
            <wp:effectExtent l="0" t="0" r="8255" b="1905"/>
            <wp:docPr id="15"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descr="IMG_258"/>
                    <pic:cNvPicPr>
                      <a:picLocks noChangeAspect="1"/>
                    </pic:cNvPicPr>
                  </pic:nvPicPr>
                  <pic:blipFill>
                    <a:blip r:embed="rId6"/>
                    <a:stretch>
                      <a:fillRect/>
                    </a:stretch>
                  </pic:blipFill>
                  <pic:spPr>
                    <a:xfrm>
                      <a:off x="0" y="0"/>
                      <a:ext cx="6221095" cy="3560445"/>
                    </a:xfrm>
                    <a:prstGeom prst="rect">
                      <a:avLst/>
                    </a:prstGeom>
                    <a:noFill/>
                    <a:ln w="9525">
                      <a:noFill/>
                    </a:ln>
                  </pic:spPr>
                </pic:pic>
              </a:graphicData>
            </a:graphic>
          </wp:inline>
        </w:drawing>
      </w:r>
    </w:p>
    <w:p w14:paraId="6A5D9621">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2、登录及企业资料确认</w:t>
      </w:r>
    </w:p>
    <w:p w14:paraId="495EF24B">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2.1账号登录</w:t>
      </w:r>
    </w:p>
    <w:p w14:paraId="5C43D387">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陕西省政府采购网的注册用户，点击首页右上角“我的账户”按钮，凭企业统一信用代码直接登录，默认密码为123456，即进入首页默认账号登录，如下图：</w:t>
      </w:r>
    </w:p>
    <w:p w14:paraId="077E5915">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45860" cy="2994025"/>
            <wp:effectExtent l="0" t="0" r="2540" b="15875"/>
            <wp:docPr id="18"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IMG_259"/>
                    <pic:cNvPicPr>
                      <a:picLocks noChangeAspect="1"/>
                    </pic:cNvPicPr>
                  </pic:nvPicPr>
                  <pic:blipFill>
                    <a:blip r:embed="rId7"/>
                    <a:stretch>
                      <a:fillRect/>
                    </a:stretch>
                  </pic:blipFill>
                  <pic:spPr>
                    <a:xfrm>
                      <a:off x="0" y="0"/>
                      <a:ext cx="6245860" cy="2994025"/>
                    </a:xfrm>
                    <a:prstGeom prst="rect">
                      <a:avLst/>
                    </a:prstGeom>
                    <a:noFill/>
                    <a:ln w="9525">
                      <a:noFill/>
                    </a:ln>
                  </pic:spPr>
                </pic:pic>
              </a:graphicData>
            </a:graphic>
          </wp:inline>
        </w:drawing>
      </w:r>
    </w:p>
    <w:p w14:paraId="7F448140">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初次登录的平台的用户，需修改登录密码，并绑定在陕西省政府采购网预留的手机号，绑定手机后,提示绑定成功，返回首页。</w:t>
      </w:r>
    </w:p>
    <w:p w14:paraId="08312D10">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2.2企业资料确认</w:t>
      </w:r>
    </w:p>
    <w:p w14:paraId="5A684823">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供应商企业首次登录成功后须确认或补全企业资料，点击“提交”按钮，提示修改成功：：</w:t>
      </w:r>
    </w:p>
    <w:p w14:paraId="495B9B01">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199505" cy="3799840"/>
            <wp:effectExtent l="0" t="0" r="10795" b="10160"/>
            <wp:docPr id="23"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descr="IMG_260"/>
                    <pic:cNvPicPr>
                      <a:picLocks noChangeAspect="1"/>
                    </pic:cNvPicPr>
                  </pic:nvPicPr>
                  <pic:blipFill>
                    <a:blip r:embed="rId8"/>
                    <a:stretch>
                      <a:fillRect/>
                    </a:stretch>
                  </pic:blipFill>
                  <pic:spPr>
                    <a:xfrm>
                      <a:off x="0" y="0"/>
                      <a:ext cx="6199505" cy="3799840"/>
                    </a:xfrm>
                    <a:prstGeom prst="rect">
                      <a:avLst/>
                    </a:prstGeom>
                    <a:noFill/>
                    <a:ln w="9525">
                      <a:noFill/>
                    </a:ln>
                  </pic:spPr>
                </pic:pic>
              </a:graphicData>
            </a:graphic>
          </wp:inline>
        </w:drawing>
      </w:r>
    </w:p>
    <w:p w14:paraId="7D73C208">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资料保存成功，即可以开始使用本系统所有功能。</w:t>
      </w:r>
    </w:p>
    <w:p w14:paraId="50E25B9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3、可融资项目及融资意向</w:t>
      </w:r>
    </w:p>
    <w:p w14:paraId="22950E9A">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3.1查看可融资项目</w:t>
      </w:r>
    </w:p>
    <w:p w14:paraId="752353EA">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如果企业有中标项目或成交合同，在“可融资项目”菜单中可见所有项目和合同的列表，如下图：</w:t>
      </w:r>
    </w:p>
    <w:p w14:paraId="27CD53FE">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21730" cy="3174365"/>
            <wp:effectExtent l="0" t="0" r="7620" b="6985"/>
            <wp:docPr id="16"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descr="IMG_261"/>
                    <pic:cNvPicPr>
                      <a:picLocks noChangeAspect="1"/>
                    </pic:cNvPicPr>
                  </pic:nvPicPr>
                  <pic:blipFill>
                    <a:blip r:embed="rId9"/>
                    <a:stretch>
                      <a:fillRect/>
                    </a:stretch>
                  </pic:blipFill>
                  <pic:spPr>
                    <a:xfrm>
                      <a:off x="0" y="0"/>
                      <a:ext cx="6221730" cy="3174365"/>
                    </a:xfrm>
                    <a:prstGeom prst="rect">
                      <a:avLst/>
                    </a:prstGeom>
                    <a:noFill/>
                    <a:ln w="9525">
                      <a:noFill/>
                    </a:ln>
                  </pic:spPr>
                </pic:pic>
              </a:graphicData>
            </a:graphic>
          </wp:inline>
        </w:drawing>
      </w:r>
    </w:p>
    <w:p w14:paraId="406DE4A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在列表页选择需要融资的项目或合同，点击“申请贷款”按钮开始发起融资申请，跳转到填写融资意向书页面。</w:t>
      </w:r>
    </w:p>
    <w:p w14:paraId="7466F396">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如果可融资项目较多，可通过输入关键字搜索相关中标项目或成交合同。</w:t>
      </w:r>
    </w:p>
    <w:p w14:paraId="5315C372">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3.2、填写信用融资意向书</w:t>
      </w:r>
    </w:p>
    <w:p w14:paraId="3EE5BB71">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35A3AF28">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640195" cy="8249285"/>
            <wp:effectExtent l="0" t="0" r="8255" b="18415"/>
            <wp:docPr id="21"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descr="IMG_262"/>
                    <pic:cNvPicPr>
                      <a:picLocks noChangeAspect="1"/>
                    </pic:cNvPicPr>
                  </pic:nvPicPr>
                  <pic:blipFill>
                    <a:blip r:embed="rId10"/>
                    <a:stretch>
                      <a:fillRect/>
                    </a:stretch>
                  </pic:blipFill>
                  <pic:spPr>
                    <a:xfrm>
                      <a:off x="0" y="0"/>
                      <a:ext cx="6640195" cy="8249285"/>
                    </a:xfrm>
                    <a:prstGeom prst="rect">
                      <a:avLst/>
                    </a:prstGeom>
                    <a:noFill/>
                    <a:ln w="9525">
                      <a:noFill/>
                    </a:ln>
                  </pic:spPr>
                </pic:pic>
              </a:graphicData>
            </a:graphic>
          </wp:inline>
        </w:drawing>
      </w:r>
    </w:p>
    <w:p w14:paraId="260484F2">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确认填写信息完整无误后点击“下一步”，选择意向银行：</w:t>
      </w:r>
    </w:p>
    <w:p w14:paraId="2F945531">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29350" cy="2212340"/>
            <wp:effectExtent l="0" t="0" r="0" b="16510"/>
            <wp:docPr id="17"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descr="IMG_263"/>
                    <pic:cNvPicPr>
                      <a:picLocks noChangeAspect="1"/>
                    </pic:cNvPicPr>
                  </pic:nvPicPr>
                  <pic:blipFill>
                    <a:blip r:embed="rId11"/>
                    <a:stretch>
                      <a:fillRect/>
                    </a:stretch>
                  </pic:blipFill>
                  <pic:spPr>
                    <a:xfrm>
                      <a:off x="0" y="0"/>
                      <a:ext cx="6229350" cy="2212340"/>
                    </a:xfrm>
                    <a:prstGeom prst="rect">
                      <a:avLst/>
                    </a:prstGeom>
                    <a:noFill/>
                    <a:ln w="9525">
                      <a:noFill/>
                    </a:ln>
                  </pic:spPr>
                </pic:pic>
              </a:graphicData>
            </a:graphic>
          </wp:inline>
        </w:drawing>
      </w:r>
    </w:p>
    <w:p w14:paraId="02523D9A">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点击“提交融资意向”按钮，提示提交成功，并可直接点击“申请进度”查看融资进度：</w:t>
      </w:r>
    </w:p>
    <w:p w14:paraId="7F8E7D96">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199505" cy="2235835"/>
            <wp:effectExtent l="0" t="0" r="10795" b="12065"/>
            <wp:docPr id="20"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descr="IMG_264"/>
                    <pic:cNvPicPr>
                      <a:picLocks noChangeAspect="1"/>
                    </pic:cNvPicPr>
                  </pic:nvPicPr>
                  <pic:blipFill>
                    <a:blip r:embed="rId12"/>
                    <a:stretch>
                      <a:fillRect/>
                    </a:stretch>
                  </pic:blipFill>
                  <pic:spPr>
                    <a:xfrm>
                      <a:off x="0" y="0"/>
                      <a:ext cx="6199505" cy="2235835"/>
                    </a:xfrm>
                    <a:prstGeom prst="rect">
                      <a:avLst/>
                    </a:prstGeom>
                    <a:noFill/>
                    <a:ln w="9525">
                      <a:noFill/>
                    </a:ln>
                  </pic:spPr>
                </pic:pic>
              </a:graphicData>
            </a:graphic>
          </wp:inline>
        </w:drawing>
      </w:r>
    </w:p>
    <w:p w14:paraId="4580A76D">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4、查看申请审批进度</w:t>
      </w:r>
    </w:p>
    <w:p w14:paraId="652BA13D">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提交融资意向后，银行对申请的审批进度会在“我的贷款-申请进度”中显示，如有审批进度更新，会在相关节点有消息提示，可按消息提示的内容进行相关操作：</w:t>
      </w:r>
    </w:p>
    <w:p w14:paraId="68E87ED1">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00140" cy="3049270"/>
            <wp:effectExtent l="0" t="0" r="10160" b="17780"/>
            <wp:docPr id="25"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descr="IMG_265"/>
                    <pic:cNvPicPr>
                      <a:picLocks noChangeAspect="1"/>
                    </pic:cNvPicPr>
                  </pic:nvPicPr>
                  <pic:blipFill>
                    <a:blip r:embed="rId13"/>
                    <a:stretch>
                      <a:fillRect/>
                    </a:stretch>
                  </pic:blipFill>
                  <pic:spPr>
                    <a:xfrm>
                      <a:off x="0" y="0"/>
                      <a:ext cx="6200140" cy="3049270"/>
                    </a:xfrm>
                    <a:prstGeom prst="rect">
                      <a:avLst/>
                    </a:prstGeom>
                    <a:noFill/>
                    <a:ln w="9525">
                      <a:noFill/>
                    </a:ln>
                  </pic:spPr>
                </pic:pic>
              </a:graphicData>
            </a:graphic>
          </wp:inline>
        </w:drawing>
      </w:r>
    </w:p>
    <w:p w14:paraId="5A3F722A">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当申请被银行拒绝或其他原因终止时，企业可以重新发起申请。</w:t>
      </w:r>
    </w:p>
    <w:p w14:paraId="534D49CD">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5、查看贷款还款进度</w:t>
      </w:r>
    </w:p>
    <w:p w14:paraId="615104B8">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企业与银行签订贷款合同后，可在“我的贷款-贷款合同”中查看该笔贷款的还款执行进度:</w:t>
      </w:r>
    </w:p>
    <w:p w14:paraId="76BA84DD">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52845" cy="2964815"/>
            <wp:effectExtent l="0" t="0" r="14605" b="6985"/>
            <wp:docPr id="22"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descr="IMG_266"/>
                    <pic:cNvPicPr>
                      <a:picLocks noChangeAspect="1"/>
                    </pic:cNvPicPr>
                  </pic:nvPicPr>
                  <pic:blipFill>
                    <a:blip r:embed="rId14"/>
                    <a:stretch>
                      <a:fillRect/>
                    </a:stretch>
                  </pic:blipFill>
                  <pic:spPr>
                    <a:xfrm>
                      <a:off x="0" y="0"/>
                      <a:ext cx="6252845" cy="2964815"/>
                    </a:xfrm>
                    <a:prstGeom prst="rect">
                      <a:avLst/>
                    </a:prstGeom>
                    <a:noFill/>
                    <a:ln w="9525">
                      <a:noFill/>
                    </a:ln>
                  </pic:spPr>
                </pic:pic>
              </a:graphicData>
            </a:graphic>
          </wp:inline>
        </w:drawing>
      </w:r>
    </w:p>
    <w:p w14:paraId="1AAF6780">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val="0"/>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6、查看融资服务及产品详情</w:t>
      </w:r>
    </w:p>
    <w:p w14:paraId="41686B3A">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val="0"/>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6.1查看融资服务产品列表</w:t>
      </w:r>
    </w:p>
    <w:p w14:paraId="3ED2F5B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val="0"/>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所有人都可通过该模块了解产品的基本情况，并且选择筛选条件查看最适合的融资产品：</w:t>
      </w:r>
    </w:p>
    <w:p w14:paraId="540A160B">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193790" cy="3915410"/>
            <wp:effectExtent l="0" t="0" r="16510" b="8890"/>
            <wp:docPr id="24"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descr="IMG_267"/>
                    <pic:cNvPicPr>
                      <a:picLocks noChangeAspect="1"/>
                    </pic:cNvPicPr>
                  </pic:nvPicPr>
                  <pic:blipFill>
                    <a:blip r:embed="rId15"/>
                    <a:stretch>
                      <a:fillRect/>
                    </a:stretch>
                  </pic:blipFill>
                  <pic:spPr>
                    <a:xfrm>
                      <a:off x="0" y="0"/>
                      <a:ext cx="6193790" cy="3915410"/>
                    </a:xfrm>
                    <a:prstGeom prst="rect">
                      <a:avLst/>
                    </a:prstGeom>
                    <a:noFill/>
                    <a:ln w="9525">
                      <a:noFill/>
                    </a:ln>
                  </pic:spPr>
                </pic:pic>
              </a:graphicData>
            </a:graphic>
          </wp:inline>
        </w:drawing>
      </w:r>
    </w:p>
    <w:p w14:paraId="27343A57">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6.2查看融资产品详情</w:t>
      </w:r>
    </w:p>
    <w:p w14:paraId="678EDAB5">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点击贷款超市的产品图片，可查看该产品的详情：</w:t>
      </w:r>
    </w:p>
    <w:p w14:paraId="56B55B61">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pacing w:beforeAutospacing="0" w:afterAutospacing="0" w:line="360" w:lineRule="auto"/>
        <w:ind w:left="0" w:leftChars="0" w:right="0" w:firstLine="0" w:firstLineChars="0"/>
        <w:jc w:val="center"/>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kern w:val="0"/>
          <w:sz w:val="24"/>
          <w:szCs w:val="24"/>
          <w:shd w:val="clear" w:fill="FFFFFF"/>
          <w:lang w:val="en-US" w:eastAsia="zh-CN" w:bidi="ar"/>
        </w:rPr>
        <w:drawing>
          <wp:inline distT="0" distB="0" distL="114300" distR="114300">
            <wp:extent cx="6216650" cy="6026150"/>
            <wp:effectExtent l="0" t="0" r="12700" b="12700"/>
            <wp:docPr id="19"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descr="IMG_268"/>
                    <pic:cNvPicPr>
                      <a:picLocks noChangeAspect="1"/>
                    </pic:cNvPicPr>
                  </pic:nvPicPr>
                  <pic:blipFill>
                    <a:blip r:embed="rId16"/>
                    <a:stretch>
                      <a:fillRect/>
                    </a:stretch>
                  </pic:blipFill>
                  <pic:spPr>
                    <a:xfrm>
                      <a:off x="0" y="0"/>
                      <a:ext cx="6216650" cy="6026150"/>
                    </a:xfrm>
                    <a:prstGeom prst="rect">
                      <a:avLst/>
                    </a:prstGeom>
                    <a:noFill/>
                    <a:ln w="9525">
                      <a:noFill/>
                    </a:ln>
                  </pic:spPr>
                </pic:pic>
              </a:graphicData>
            </a:graphic>
          </wp:inline>
        </w:drawing>
      </w:r>
    </w:p>
    <w:p w14:paraId="6AD6908B">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kinsoku/>
        <w:wordWrap/>
        <w:overflowPunct/>
        <w:topLinePunct w:val="0"/>
        <w:autoSpaceDE/>
        <w:autoSpaceDN/>
        <w:bidi w:val="0"/>
        <w:adjustRightInd/>
        <w:snapToGrid/>
        <w:spacing w:before="0" w:beforeAutospacing="0" w:after="0" w:afterAutospacing="0" w:line="360" w:lineRule="auto"/>
        <w:ind w:left="0" w:leftChars="0" w:right="0" w:firstLine="480" w:firstLineChars="200"/>
        <w:textAlignment w:val="auto"/>
        <w:rPr>
          <w:rFonts w:hint="eastAsia" w:ascii="宋体" w:hAnsi="宋体" w:eastAsia="宋体" w:cs="宋体"/>
          <w:i w:val="0"/>
          <w:iCs w:val="0"/>
          <w:caps w:val="0"/>
          <w:color w:val="auto"/>
          <w:spacing w:val="0"/>
          <w:w w:val="100"/>
          <w:sz w:val="24"/>
          <w:szCs w:val="24"/>
        </w:rPr>
      </w:pPr>
      <w:r>
        <w:rPr>
          <w:rFonts w:hint="eastAsia" w:ascii="宋体" w:hAnsi="宋体" w:eastAsia="宋体" w:cs="宋体"/>
          <w:i w:val="0"/>
          <w:iCs w:val="0"/>
          <w:caps w:val="0"/>
          <w:color w:val="auto"/>
          <w:spacing w:val="0"/>
          <w:w w:val="100"/>
          <w:sz w:val="24"/>
          <w:szCs w:val="24"/>
          <w:shd w:val="clear" w:fill="FFFFFF"/>
        </w:rPr>
        <w:t>在登录状态下点击我要申请贷款可跳转到查看可融资项目页面。</w:t>
      </w:r>
    </w:p>
    <w:p w14:paraId="36E3E872">
      <w:pPr>
        <w:keepNext w:val="0"/>
        <w:keepLines w:val="0"/>
        <w:pageBreakBefore w:val="0"/>
        <w:widowControl w:val="0"/>
        <w:shd w:val="clear"/>
        <w:kinsoku/>
        <w:wordWrap/>
        <w:overflowPunct/>
        <w:topLinePunct w:val="0"/>
        <w:autoSpaceDE/>
        <w:autoSpaceDN/>
        <w:bidi w:val="0"/>
        <w:adjustRightInd/>
        <w:snapToGrid w:val="0"/>
        <w:spacing w:line="360" w:lineRule="auto"/>
        <w:ind w:left="0" w:firstLine="480" w:firstLineChars="200"/>
        <w:jc w:val="left"/>
        <w:textAlignment w:val="auto"/>
        <w:rPr>
          <w:rFonts w:hint="eastAsia" w:ascii="宋体" w:hAnsi="宋体" w:eastAsia="宋体" w:cs="宋体"/>
          <w:b w:val="0"/>
          <w:bCs w:val="0"/>
          <w:color w:val="auto"/>
          <w:spacing w:val="0"/>
          <w:w w:val="100"/>
          <w:kern w:val="0"/>
          <w:sz w:val="24"/>
          <w:szCs w:val="24"/>
          <w:highlight w:val="none"/>
          <w:shd w:val="clear" w:color="auto" w:fill="FFFFFF"/>
          <w:lang w:val="en-US" w:eastAsia="zh-CN" w:bidi="ar-SA"/>
        </w:rPr>
      </w:pPr>
    </w:p>
    <w:sectPr>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FT Thymes"/>
    <w:panose1 w:val="02020603050405020304"/>
    <w:charset w:val="CC"/>
    <w:family w:val="roman"/>
    <w:pitch w:val="default"/>
    <w:sig w:usb0="00000000" w:usb1="00000000" w:usb2="00000009" w:usb3="00000000" w:csb0="400001FF" w:csb1="FFFF0000"/>
  </w:font>
  <w:font w:name="宋体">
    <w:altName w:val="书宋-简"/>
    <w:panose1 w:val="02010600030101010101"/>
    <w:charset w:val="7A"/>
    <w:family w:val="auto"/>
    <w:pitch w:val="default"/>
    <w:sig w:usb0="00000000" w:usb1="00000000" w:usb2="00000006" w:usb3="00000000" w:csb0="00040001" w:csb1="00000000"/>
  </w:font>
  <w:font w:name="Wingdings">
    <w:altName w:val="FTToken"/>
    <w:panose1 w:val="05000000000000000000"/>
    <w:charset w:val="02"/>
    <w:family w:val="auto"/>
    <w:pitch w:val="default"/>
    <w:sig w:usb0="00000000" w:usb1="00000000" w:usb2="00000000" w:usb3="00000000" w:csb0="80000000" w:csb1="00000000"/>
  </w:font>
  <w:font w:name="Arial">
    <w:altName w:val="FT Thymes"/>
    <w:panose1 w:val="020B0604020202020204"/>
    <w:charset w:val="01"/>
    <w:family w:val="swiss"/>
    <w:pitch w:val="default"/>
    <w:sig w:usb0="E0002AFF" w:usb1="C0007843" w:usb2="00000009" w:usb3="00000000" w:csb0="400001FF" w:csb1="FFFF0000"/>
  </w:font>
  <w:font w:name="黑体">
    <w:altName w:val="黑体-简"/>
    <w:panose1 w:val="02010609060101010101"/>
    <w:charset w:val="86"/>
    <w:family w:val="auto"/>
    <w:pitch w:val="default"/>
    <w:sig w:usb0="800002BF" w:usb1="38CF7CFA" w:usb2="00000016" w:usb3="00000000" w:csb0="00040001" w:csb1="00000000"/>
  </w:font>
  <w:font w:name="Courier New">
    <w:altName w:val="HarmonyOS Sans"/>
    <w:panose1 w:val="020703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FT Thymes">
    <w:panose1 w:val="02020603050405020304"/>
    <w:charset w:val="00"/>
    <w:family w:val="auto"/>
    <w:pitch w:val="default"/>
    <w:sig w:usb0="E0002EFF" w:usb1="C000785B" w:usb2="00000009" w:usb3="00000000" w:csb0="00000001" w:csb1="00000000"/>
  </w:font>
  <w:font w:name="Calibri">
    <w:altName w:val="FT Thymes"/>
    <w:panose1 w:val="020F0502020204030204"/>
    <w:charset w:val="00"/>
    <w:family w:val="swiss"/>
    <w:pitch w:val="default"/>
    <w:sig w:usb0="00000000" w:usb1="00000000" w:usb2="00000001" w:usb3="00000000" w:csb0="0000019F" w:csb1="00000000"/>
  </w:font>
  <w:font w:name="书宋-简">
    <w:panose1 w:val="02010600030101010101"/>
    <w:charset w:val="86"/>
    <w:family w:val="auto"/>
    <w:pitch w:val="default"/>
    <w:sig w:usb0="A00002BF" w:usb1="3ACF7CFA" w:usb2="00000016" w:usb3="00000000" w:csb0="00040001" w:csb1="00000000"/>
  </w:font>
  <w:font w:name="SimSun">
    <w:altName w:val="书宋-简"/>
    <w:panose1 w:val="00000000000000000000"/>
    <w:charset w:val="00"/>
    <w:family w:val="auto"/>
    <w:pitch w:val="default"/>
    <w:sig w:usb0="00000000" w:usb1="00000000" w:usb2="00000000" w:usb3="00000000" w:csb0="00000000" w:csb1="00000000"/>
  </w:font>
  <w:font w:name="AGYXIQ+Frutiger-Cn">
    <w:altName w:val="Noto Sans CJK JP"/>
    <w:panose1 w:val="020B0604020202020204"/>
    <w:charset w:val="86"/>
    <w:family w:val="swiss"/>
    <w:pitch w:val="default"/>
    <w:sig w:usb0="00000000" w:usb1="00000000" w:usb2="00000010" w:usb3="00000000" w:csb0="00040000" w:csb1="00000000"/>
  </w:font>
  <w:font w:name="Noto Sans CJK JP">
    <w:panose1 w:val="020B0500000000000000"/>
    <w:charset w:val="86"/>
    <w:family w:val="auto"/>
    <w:pitch w:val="default"/>
    <w:sig w:usb0="30000083" w:usb1="2BDF3C10" w:usb2="00000016" w:usb3="00000000" w:csb0="602E0107" w:csb1="00000000"/>
  </w:font>
  <w:font w:name="仿宋">
    <w:altName w:val="仿宋-简"/>
    <w:panose1 w:val="02010609060101010101"/>
    <w:charset w:val="86"/>
    <w:family w:val="modern"/>
    <w:pitch w:val="default"/>
    <w:sig w:usb0="00000000" w:usb1="00000000" w:usb2="00000016" w:usb3="00000000" w:csb0="00040001" w:csb1="00000000"/>
  </w:font>
  <w:font w:name="仿宋-简">
    <w:panose1 w:val="02010609060101010101"/>
    <w:charset w:val="86"/>
    <w:family w:val="auto"/>
    <w:pitch w:val="default"/>
    <w:sig w:usb0="A00002BF" w:usb1="3ACF7CFA" w:usb2="00000016" w:usb3="00000000" w:csb0="00040001" w:csb1="00000000"/>
  </w:font>
  <w:font w:name="HarmonyOS Sans SC">
    <w:panose1 w:val="00000500000000000000"/>
    <w:charset w:val="86"/>
    <w:family w:val="auto"/>
    <w:pitch w:val="default"/>
    <w:sig w:usb0="A00002BF" w:usb1="18EF7CFA" w:usb2="00000016" w:usb3="00000000" w:csb0="00040001" w:csb1="00000000"/>
  </w:font>
  <w:font w:name="Tahoma">
    <w:altName w:val="noto sans thai"/>
    <w:panose1 w:val="00000000000000000000"/>
    <w:charset w:val="00"/>
    <w:family w:val="auto"/>
    <w:pitch w:val="default"/>
    <w:sig w:usb0="00000000" w:usb1="00000000" w:usb2="0000000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FmZWVhNDRmNTgzOTg3YTkyNzUwNWU2Nzk1Y2FhZTkifQ=="/>
  </w:docVars>
  <w:rsids>
    <w:rsidRoot w:val="00000000"/>
    <w:rsid w:val="017D4C6B"/>
    <w:rsid w:val="047A39D5"/>
    <w:rsid w:val="04D93652"/>
    <w:rsid w:val="06E31D05"/>
    <w:rsid w:val="08D613F6"/>
    <w:rsid w:val="0BB24A46"/>
    <w:rsid w:val="0C142961"/>
    <w:rsid w:val="110E3E23"/>
    <w:rsid w:val="15F44AD8"/>
    <w:rsid w:val="178F10EE"/>
    <w:rsid w:val="179E3A27"/>
    <w:rsid w:val="17A80401"/>
    <w:rsid w:val="220A23E4"/>
    <w:rsid w:val="22121299"/>
    <w:rsid w:val="256040C9"/>
    <w:rsid w:val="25A03144"/>
    <w:rsid w:val="26F76026"/>
    <w:rsid w:val="27205FA0"/>
    <w:rsid w:val="27EC60E8"/>
    <w:rsid w:val="2E3F51C4"/>
    <w:rsid w:val="309D08C8"/>
    <w:rsid w:val="30B17ECF"/>
    <w:rsid w:val="32B75C71"/>
    <w:rsid w:val="32FF4F22"/>
    <w:rsid w:val="34913A96"/>
    <w:rsid w:val="37CF580A"/>
    <w:rsid w:val="3D1141CF"/>
    <w:rsid w:val="40204729"/>
    <w:rsid w:val="4A530629"/>
    <w:rsid w:val="4E854A1D"/>
    <w:rsid w:val="5CC46711"/>
    <w:rsid w:val="605204D7"/>
    <w:rsid w:val="6753700F"/>
    <w:rsid w:val="70D4585D"/>
    <w:rsid w:val="722A12B4"/>
    <w:rsid w:val="7DD7764C"/>
    <w:rsid w:val="7E2E7A36"/>
    <w:rsid w:val="7FB0104A"/>
    <w:rsid w:val="BDFF27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qFormat="1"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8">
    <w:name w:val="Default Paragraph Font"/>
    <w:semiHidden/>
    <w:qFormat/>
    <w:uiPriority w:val="0"/>
  </w:style>
  <w:style w:type="table" w:default="1" w:styleId="7">
    <w:name w:val="Normal Table"/>
    <w:semiHidden/>
    <w:qFormat/>
    <w:uiPriority w:val="0"/>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AGYXIQ+Frutiger-Cn" w:hAnsi="Times New Roman" w:eastAsia="AGYXIQ+Frutiger-Cn" w:cs="AGYXIQ+Frutiger-Cn"/>
      <w:color w:val="000000"/>
      <w:sz w:val="24"/>
      <w:szCs w:val="24"/>
      <w:lang w:val="en-US" w:eastAsia="zh-CN" w:bidi="ar-SA"/>
    </w:rPr>
  </w:style>
  <w:style w:type="paragraph" w:styleId="3">
    <w:name w:val="Normal Indent"/>
    <w:basedOn w:val="1"/>
    <w:next w:val="4"/>
    <w:qFormat/>
    <w:uiPriority w:val="0"/>
    <w:pPr>
      <w:ind w:firstLine="420"/>
    </w:pPr>
  </w:style>
  <w:style w:type="paragraph" w:styleId="4">
    <w:name w:val="toc 4"/>
    <w:basedOn w:val="1"/>
    <w:next w:val="1"/>
    <w:unhideWhenUsed/>
    <w:qFormat/>
    <w:uiPriority w:val="39"/>
    <w:pPr>
      <w:ind w:left="1260" w:leftChars="600"/>
    </w:pPr>
  </w:style>
  <w:style w:type="paragraph" w:styleId="5">
    <w:name w:val="footer"/>
    <w:basedOn w:val="1"/>
    <w:unhideWhenUsed/>
    <w:qFormat/>
    <w:uiPriority w:val="0"/>
    <w:pPr>
      <w:tabs>
        <w:tab w:val="center" w:pos="4153"/>
        <w:tab w:val="right" w:pos="8306"/>
      </w:tabs>
      <w:snapToGrid w:val="0"/>
      <w:jc w:val="left"/>
    </w:pPr>
    <w:rPr>
      <w:rFonts w:hint="eastAsia" w:ascii="宋体" w:hAnsi="宋体" w:eastAsia="仿宋" w:cs="宋体"/>
      <w:kern w:val="0"/>
      <w:sz w:val="18"/>
      <w:szCs w:val="18"/>
    </w:r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paragraph" w:customStyle="1" w:styleId="9">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1478</Words>
  <Characters>1495</Characters>
  <Lines>0</Lines>
  <Paragraphs>0</Paragraphs>
  <TotalTime>4</TotalTime>
  <ScaleCrop>false</ScaleCrop>
  <LinksUpToDate>false</LinksUpToDate>
  <CharactersWithSpaces>1495</CharactersWithSpaces>
  <Application>WPS Office_12.1.3.26881_F1E327BC-269C-435d-A152-05C5408002CA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2024-05-22T16:56:00Z</dcterms:created>
  <dc:creator>123</dc:creator>
  <cp:lastModifiedBy></cp:lastModifiedBy>
  <dcterms:modified xsi:type="dcterms:W3CDTF">2026-07-08T16:53:34Z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2052-12.1.3.26881</vt:lpwstr>
  </property>
  <property fmtid="{D5CDD505-2E9C-101B-9397-08002B2CF9AE}" pid="3" name="ICV">
    <vt:lpwstr>AF91D31D3A0565700E104E6A63E48A21_43</vt:lpwstr>
  </property>
</Properties>
</file>