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版本号：KY2026-1-64920260713001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人工智能环控教学一体机项目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KY2026-1-649</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人工智能环控教学一体机项目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人工智能环控教学一体机项目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陕西国防工业职业技术学院人工智能环控教学一体机项目，1批，具体内容详见采购文件第三章。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说明：1、履约保证金缴纳时间：供应商中标后凭中标通知书向采购人缴纳中标金额的5%作为履约保证金。 2、履约保证金缴纳形式：中标人应当以支票、汇票、本票、保函等非现金形式缴纳。 3、履约保证金的退还：项目完工经采购人验收合格后，无息退还。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踏勘时间：2026-07-21 10:00:00</w:t>
            </w:r>
          </w:p>
          <w:p>
            <w:pPr>
              <w:pStyle w:val="null3"/>
              <w:ind w:firstLine="975"/>
            </w:pPr>
            <w:r>
              <w:rPr>
                <w:rFonts w:ascii="仿宋_GB2312" w:hAnsi="仿宋_GB2312" w:cs="仿宋_GB2312" w:eastAsia="仿宋_GB2312"/>
              </w:rPr>
              <w:t>踏勘地点：陕西国防工业职业技术学院</w:t>
            </w:r>
          </w:p>
          <w:p>
            <w:pPr>
              <w:pStyle w:val="null3"/>
              <w:ind w:firstLine="975"/>
            </w:pPr>
            <w:r>
              <w:rPr>
                <w:rFonts w:ascii="仿宋_GB2312" w:hAnsi="仿宋_GB2312" w:cs="仿宋_GB2312" w:eastAsia="仿宋_GB2312"/>
              </w:rPr>
              <w:t>联系人：王瑾</w:t>
            </w:r>
          </w:p>
          <w:p>
            <w:pPr>
              <w:pStyle w:val="null3"/>
              <w:ind w:firstLine="975"/>
            </w:pPr>
            <w:r>
              <w:rPr>
                <w:rFonts w:ascii="仿宋_GB2312" w:hAnsi="仿宋_GB2312" w:cs="仿宋_GB2312" w:eastAsia="仿宋_GB2312"/>
              </w:rPr>
              <w:t>联系电话号码：13484800620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定位适配计算机软件、人工智能、智能制造等相关专业教学实训需求，打造人工智能环控教学一体机，升级AI算力教学硬件支撑，构建“算力支持—教学实训-智能环控运维”平台，助力培养产业所需技术技能型AI人才，同时为全校教学提供算力保障。</w:t>
      </w:r>
    </w:p>
    <w:p>
      <w:pPr>
        <w:pStyle w:val="null3"/>
      </w:pPr>
      <w:r>
        <w:rPr>
          <w:rFonts w:ascii="仿宋_GB2312" w:hAnsi="仿宋_GB2312" w:cs="仿宋_GB2312" w:eastAsia="仿宋_GB2312"/>
        </w:rPr>
        <w:t>设备核心功能涵盖三大维度：一是教学实训赋能，内置智能导学系统，通过知识图谱推荐个性化学习路径，智能问答系统实时解答学生疑问，学情分析看板助力教师实现分层分类教学；二是国产算力支撑，基于AI处理器构建算力集群，提供科研所需数据处理、模型迭代支持，分布式架构可灵活调配GPU算力，保障教学实验高效完成；三是智能环控运维，集成国产动环系统，实时监测机房环境与设备状态，AI算法优化运行模式，实现7×24小时稳定运行且降低20%以上能耗，远程可视化运维可减少人工成本。</w:t>
      </w:r>
    </w:p>
    <w:p>
      <w:pPr>
        <w:pStyle w:val="null3"/>
      </w:pPr>
      <w:r>
        <w:rPr>
          <w:rFonts w:ascii="仿宋_GB2312" w:hAnsi="仿宋_GB2312" w:cs="仿宋_GB2312" w:eastAsia="仿宋_GB2312"/>
        </w:rPr>
        <w:t>项目建成后将达到省内高职同类院校国产AI算力教学支撑先进水平，其先进性体现在：全栈国产化技术保障自主可控；集成化设计实现“开箱即用”，提升实训效率；深度适配教学，构建三层教学体系，设置师生共维模块，深化“做中学”教学模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4,280,000.00</w:t>
      </w:r>
    </w:p>
    <w:p>
      <w:pPr>
        <w:pStyle w:val="null3"/>
      </w:pPr>
      <w:r>
        <w:rPr>
          <w:rFonts w:ascii="仿宋_GB2312" w:hAnsi="仿宋_GB2312" w:cs="仿宋_GB2312" w:eastAsia="仿宋_GB2312"/>
        </w:rPr>
        <w:t>采购包最高限价（元）: 4,280,000.00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AI算力服务器1台 、通用算力管理平台、模块化机房、智能导学系统、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标的名称：AI算力服务器1台 、通用算力管理平台、模块化机房、智能导学系统、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231"/>
              <w:gridCol w:w="1193"/>
              <w:gridCol w:w="327"/>
              <w:gridCol w:w="345"/>
              <w:gridCol w:w="454"/>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AI</w:t>
                  </w:r>
                  <w:r>
                    <w:rPr>
                      <w:rFonts w:ascii="仿宋_GB2312" w:hAnsi="仿宋_GB2312" w:cs="仿宋_GB2312" w:eastAsia="仿宋_GB2312"/>
                      <w:sz w:val="24"/>
                      <w:color w:val="000000"/>
                    </w:rPr>
                    <w:t>算力服务器</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核心产品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通用算力平台</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模块化机房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智能导学平台</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8"/>
                <w:b/>
              </w:rPr>
              <w:t>二、技术标准、配置要求、服务要求</w:t>
            </w:r>
          </w:p>
          <w:tbl>
            <w:tblPr>
              <w:tblBorders>
                <w:top w:val="none" w:color="000000" w:sz="4"/>
                <w:left w:val="none" w:color="000000" w:sz="4"/>
                <w:bottom w:val="none" w:color="000000" w:sz="4"/>
                <w:right w:val="none" w:color="000000" w:sz="4"/>
                <w:insideH w:val="none"/>
                <w:insideV w:val="none"/>
              </w:tblBorders>
            </w:tblPr>
            <w:tblGrid>
              <w:gridCol w:w="117"/>
              <w:gridCol w:w="183"/>
              <w:gridCol w:w="183"/>
              <w:gridCol w:w="1700"/>
              <w:gridCol w:w="183"/>
              <w:gridCol w:w="183"/>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105"/>
                    <w:jc w:val="both"/>
                  </w:pPr>
                  <w:r>
                    <w:rPr>
                      <w:rFonts w:ascii="仿宋_GB2312" w:hAnsi="仿宋_GB2312" w:cs="仿宋_GB2312" w:eastAsia="仿宋_GB2312"/>
                      <w:sz w:val="24"/>
                    </w:rPr>
                    <w:t>序号</w:t>
                  </w:r>
                </w:p>
              </w:tc>
              <w:tc>
                <w:tcPr>
                  <w:tcW w:type="dxa" w:w="36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名称</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需求或性能描述</w:t>
                  </w:r>
                </w:p>
              </w:tc>
              <w:tc>
                <w:tcPr>
                  <w:tcW w:type="dxa" w:w="18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单位</w:t>
                  </w:r>
                </w:p>
              </w:tc>
              <w:tc>
                <w:tcPr>
                  <w:tcW w:type="dxa" w:w="18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数量</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1</w:t>
                  </w:r>
                </w:p>
              </w:tc>
              <w:tc>
                <w:tcPr>
                  <w:tcW w:type="dxa" w:w="36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AI</w:t>
                  </w:r>
                  <w:r>
                    <w:rPr>
                      <w:rFonts w:ascii="仿宋_GB2312" w:hAnsi="仿宋_GB2312" w:cs="仿宋_GB2312" w:eastAsia="仿宋_GB2312"/>
                      <w:sz w:val="24"/>
                    </w:rPr>
                    <w:t>算力服务器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、机箱：4U机架式服务器</w:t>
                  </w:r>
                </w:p>
                <w:p>
                  <w:pPr>
                    <w:pStyle w:val="null3"/>
                    <w:ind w:left="105" w:right="105"/>
                    <w:jc w:val="both"/>
                  </w:pPr>
                  <w:r>
                    <w:rPr>
                      <w:rFonts w:ascii="仿宋_GB2312" w:hAnsi="仿宋_GB2312" w:cs="仿宋_GB2312" w:eastAsia="仿宋_GB2312"/>
                      <w:sz w:val="24"/>
                    </w:rPr>
                    <w:t>▲2、处理器：配置≥4颗ARM架构国产自主品牌处理器，单颗CPU核数≥48核、频率≥2.6GHz；（所投服务器的CPU须符合安全可靠测评要求，并提供证明材料）</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、内存：配置≥1024GB 内存。</w:t>
                  </w:r>
                </w:p>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、算力卡：≥8张国产计算卡；单卡算力≥280TFLOPS@FP16，单卡支持≥64GB HBM显存，非稀疏情况下整机可提供≥2.2PFLOPS@FP16算力，≥0.6PFLOPS@FP32算力；（为满足学校应用和教学要求，算力卡厂家提供底层算子开发、模型迁移适配技术支持，提供算力卡芯片厂家针对本项目盖章的技术支持文件。）</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、系统盘：配置≥2块480G SATA固态硬盘；配置≥2块3.84T NVME固态硬盘。</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、RAID卡：配置1张≥4GB缓存阵列卡；支持-RAID 0/1/5/6/10/50/60。</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、网络：配置≥4个25G光口（含对应数量的25G光模块）；配置≥8个200GE接口（含对应数量的200GE光模块）。</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、电源：配置≥4个2600W电源；支持2+2冗余。</w:t>
                  </w:r>
                </w:p>
                <w:p>
                  <w:pPr>
                    <w:pStyle w:val="null3"/>
                    <w:ind w:left="105" w:right="105"/>
                    <w:jc w:val="both"/>
                  </w:pPr>
                  <w:r>
                    <w:rPr>
                      <w:rFonts w:ascii="仿宋_GB2312" w:hAnsi="仿宋_GB2312" w:cs="仿宋_GB2312" w:eastAsia="仿宋_GB2312"/>
                      <w:sz w:val="24"/>
                    </w:rPr>
                    <w:t>9</w:t>
                  </w:r>
                  <w:r>
                    <w:rPr>
                      <w:rFonts w:ascii="仿宋_GB2312" w:hAnsi="仿宋_GB2312" w:cs="仿宋_GB2312" w:eastAsia="仿宋_GB2312"/>
                      <w:sz w:val="24"/>
                    </w:rPr>
                    <w:t>、BMC：服务器BMC智能管理系统支持硬件监控及管理功能，包括传输保密性、完善性、日志可核查性、日志抗抵赖性、认证安全性、权限管理安全性、用户会话安全性、敏感信息防泄漏、信息输入输出安全等信息安全评估。</w:t>
                  </w:r>
                </w:p>
                <w:p>
                  <w:pPr>
                    <w:pStyle w:val="null3"/>
                    <w:ind w:left="105" w:right="105"/>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配套软件：</w:t>
                  </w:r>
                  <w:r>
                    <w:rPr>
                      <w:rFonts w:ascii="仿宋_GB2312" w:hAnsi="仿宋_GB2312" w:cs="仿宋_GB2312" w:eastAsia="仿宋_GB2312"/>
                      <w:sz w:val="24"/>
                    </w:rPr>
                    <w:t>配备一套AI平台软件,支持</w:t>
                  </w:r>
                  <w:r>
                    <w:rPr>
                      <w:rFonts w:ascii="仿宋_GB2312" w:hAnsi="仿宋_GB2312" w:cs="仿宋_GB2312" w:eastAsia="仿宋_GB2312"/>
                      <w:sz w:val="24"/>
                    </w:rPr>
                    <w:t>DeepSeek</w:t>
                  </w:r>
                  <w:r>
                    <w:rPr>
                      <w:rFonts w:ascii="仿宋_GB2312" w:hAnsi="仿宋_GB2312" w:cs="仿宋_GB2312" w:eastAsia="仿宋_GB2312"/>
                      <w:sz w:val="24"/>
                    </w:rPr>
                    <w:t>、Qwen、LLaMA、Gemma</w:t>
                  </w:r>
                  <w:r>
                    <w:rPr>
                      <w:rFonts w:ascii="仿宋_GB2312" w:hAnsi="仿宋_GB2312" w:cs="仿宋_GB2312" w:eastAsia="仿宋_GB2312"/>
                      <w:sz w:val="24"/>
                    </w:rPr>
                    <w:t>等模型。支持根据任务需求和资源使用情况，自动或手动对算力资源进行弹性分配与回收。支持任务在执行过程中动态调整所需的算力资源。支持AI应用：知识库、智能助理、Agent、模型仓库等。支持AI模型：数据管理、算法开发、模型训练及管理能力。</w:t>
                  </w:r>
                </w:p>
                <w:p>
                  <w:pPr>
                    <w:pStyle w:val="null3"/>
                    <w:ind w:left="105" w:right="105"/>
                    <w:jc w:val="both"/>
                  </w:pPr>
                  <w:r>
                    <w:rPr>
                      <w:rFonts w:ascii="仿宋_GB2312" w:hAnsi="仿宋_GB2312" w:cs="仿宋_GB2312" w:eastAsia="仿宋_GB2312"/>
                      <w:sz w:val="24"/>
                    </w:rPr>
                    <w:t>11. AI</w:t>
                  </w:r>
                  <w:r>
                    <w:rPr>
                      <w:rFonts w:ascii="仿宋_GB2312" w:hAnsi="仿宋_GB2312" w:cs="仿宋_GB2312" w:eastAsia="仿宋_GB2312"/>
                      <w:sz w:val="24"/>
                    </w:rPr>
                    <w:t>软件平台支持多业务集群管理，支持X86、ARM异构集群统一管理，可支持不同AI集群部署不同的操作系统，异构多集群统一管理平台。</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1</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2</w:t>
                  </w:r>
                </w:p>
              </w:tc>
              <w:tc>
                <w:tcPr>
                  <w:tcW w:type="dxa" w:w="36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通用算力平台</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both"/>
                  </w:pPr>
                  <w:r>
                    <w:rPr>
                      <w:rFonts w:ascii="仿宋_GB2312" w:hAnsi="仿宋_GB2312" w:cs="仿宋_GB2312" w:eastAsia="仿宋_GB2312"/>
                      <w:sz w:val="24"/>
                    </w:rPr>
                    <w:t>▲1、虚拟化支持双架构部署，可通过一套平台对x86和ARM架构服务器进行统一管理。</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、虚拟化平台软件、分布式存储软件具有国产软件自主知识产权。</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、通过国产X86/ARM服务器节点构建，同一节点内实现计算存储融合，存储系统为分布式Server SAN架构，可配置副本或EC（纠删码）。</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支持在统一管理界面中监控和管理计算、存储、交换机、虚拟化平台；支持定期自动输出系统健康巡检报告，包括CPU、内存、HDD、SSD、RAID卡等硬件状态，虚拟化平台，存储软件，超融合管理软件等部件的健康状态。</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、平台支持虚拟机的CPU 、网络、IOPS的QoS进行设置功能，支持对存储卷级的QoS，提供对IOPS、带宽进行精细化控制的功能，满足不同应用的性能需求。</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、支持虚拟机全生命周期管理，平台支持对虚拟机业务虚拟机的迁移、启动、关闭、安全删除、克隆、定时开关机以及标签设置等全生命周期的操作及管理。</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、分布式存储支持多副本冗余保护机制，数据的多个副本能够保存在不同的磁盘/节点存储，并支持在业务不中断的情况下副本数量可基于存储池设置，支持不同存储池设置为不同副本数量的容错机制。</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、提供≥5台计算存储服务器及配套授权，单服务器提供≥2颗ARM架构CPU，主频≥2.6GHz，核数≥48；单节点提供内存≥128GB 内存，内存插槽数量≥32；单节点提供系统盘≥2块960GB SSD硬盘；缓存盘≥2块3.84TB NVME SSD，数据盘≥8块8TB SATA盘，单节点网络提供≥4个10GE光口（满配多模光模块），≥4个千兆电口；提供独立RAID卡，支持-RAID 0/1/5/6/10/50/60。，缓存≥2G；配置≥2个900W电源,支持1+1冗余</w:t>
                  </w:r>
                </w:p>
                <w:p>
                  <w:pPr>
                    <w:pStyle w:val="null3"/>
                    <w:ind w:right="105"/>
                    <w:jc w:val="both"/>
                  </w:pPr>
                  <w:r>
                    <w:rPr>
                      <w:rFonts w:ascii="仿宋_GB2312" w:hAnsi="仿宋_GB2312" w:cs="仿宋_GB2312" w:eastAsia="仿宋_GB2312"/>
                      <w:sz w:val="24"/>
                    </w:rPr>
                    <w:t>▲9、</w:t>
                  </w:r>
                  <w:r>
                    <w:rPr>
                      <w:rFonts w:ascii="仿宋_GB2312" w:hAnsi="仿宋_GB2312" w:cs="仿宋_GB2312" w:eastAsia="仿宋_GB2312"/>
                      <w:sz w:val="24"/>
                    </w:rPr>
                    <w:t>安全性：所投服务器的CPU须符合安全可靠测评要求。</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1</w:t>
                  </w:r>
                </w:p>
              </w:tc>
            </w:tr>
            <w:tr>
              <w:tc>
                <w:tcPr>
                  <w:tcW w:type="dxa" w:w="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3</w:t>
                  </w:r>
                </w:p>
              </w:tc>
              <w:tc>
                <w:tcPr>
                  <w:tcW w:type="dxa" w:w="1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模块化机房</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服务器机柜</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数量：23台</w:t>
                  </w:r>
                </w:p>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标准服务器机柜柜体尺寸≥600mm宽-1200mm深-2000mm高，空间42U，前门单开，后门双开，每台机柜内配置2个侧板(上、下侧板，1面)、1对导轨、1个1U固定托盘、2个1U理线架、6个束线圈、2条32A垂直安装单相GB-PDU(每PDU输出接口为20*GB10A+4*GB16A），20个1U假面板。</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机柜应采用≥1.0mm厚高强度A级优质碳素冷轧钢板或镀锌板，机柜静态承载能力需通过≥2350kg测试。</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机柜前后均为通风网孔门，开孔率≥75%；开启角度≥120°。前门单开，后门双开，门和侧板为可拆卸式结构。机柜内部应设置不少于4根安装立柱，用于安装设备和固定层板，安装立柱能够前后移动调节，设备的有效安装深度≥820mm。</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机柜表面采用黑色砂纹工艺，满足防腐、防锈、防火、光洁、色泽均匀、无流挂、不露底、无起泡、无裂纹、金属件无毛刺锈蚀要求。</w:t>
                  </w:r>
                </w:p>
              </w:tc>
              <w:tc>
                <w:tcPr>
                  <w:tcW w:type="dxa" w:w="18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套</w:t>
                  </w:r>
                </w:p>
              </w:tc>
              <w:tc>
                <w:tcPr>
                  <w:tcW w:type="dxa" w:w="18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1</w:t>
                  </w: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通道结构件</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通道组件由天窗（固定天窗、翻转天窗）、两套端门、走线槽、封板等组成，与服务器机柜、精密列头柜、行级精密空调组成密闭冷通道系统。</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天窗应采用钢化玻璃材质，天窗玻璃面积占比≥96%,玻璃材质透光率应≥90%。</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当消防系统启动时，天窗自动打开，消防气体喷放到通道内，实现灭火要求。</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端门框架内部都采用钢化玻璃，钢化玻璃面积≥94%。端门接缝、门缝处配置胶条、毛刷等装置。</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通道端门需采用自动平移门设计，并与门禁联动，门禁识别通过后可自动开启。</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通道照明需采用智能照明系统，通道照明应通过红外、门禁、摄像头多重判断。</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需具备明确的灯光状态指示，灯光与告警指示联动功能，在微模块产生告警后可与灯光进行联动。需保证≥4种颜色，能够与紧急告警、严重告警、次要告警、提示告警等进行联动。</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通道内照明应采用LED灯管，保证通道照明亮度≥500LUX，满足GB50174《电子信息系统机房设计规范》中对机房照明的要求。</w:t>
                  </w:r>
                </w:p>
                <w:p>
                  <w:pPr>
                    <w:pStyle w:val="null3"/>
                    <w:ind w:left="105" w:right="105"/>
                    <w:jc w:val="both"/>
                  </w:pPr>
                  <w:r>
                    <w:rPr>
                      <w:rFonts w:ascii="仿宋_GB2312" w:hAnsi="仿宋_GB2312" w:cs="仿宋_GB2312" w:eastAsia="仿宋_GB2312"/>
                      <w:sz w:val="24"/>
                    </w:rPr>
                    <w:t>9.</w:t>
                  </w:r>
                  <w:r>
                    <w:rPr>
                      <w:rFonts w:ascii="仿宋_GB2312" w:hAnsi="仿宋_GB2312" w:cs="仿宋_GB2312" w:eastAsia="仿宋_GB2312"/>
                      <w:sz w:val="24"/>
                    </w:rPr>
                    <w:t>冷通道封闭系统门盒配置显示器尺寸≥40英寸，可显示微模块内部动力环境监控状态。</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一体化UPS柜</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1.UPS</w:t>
                  </w:r>
                  <w:r>
                    <w:rPr>
                      <w:rFonts w:ascii="仿宋_GB2312" w:hAnsi="仿宋_GB2312" w:cs="仿宋_GB2312" w:eastAsia="仿宋_GB2312"/>
                      <w:sz w:val="24"/>
                    </w:rPr>
                    <w:t>系统：</w:t>
                  </w:r>
                </w:p>
                <w:p>
                  <w:pPr>
                    <w:pStyle w:val="null3"/>
                    <w:ind w:left="105" w:right="105"/>
                    <w:jc w:val="both"/>
                  </w:pPr>
                  <w:r>
                    <w:rPr>
                      <w:rFonts w:ascii="仿宋_GB2312" w:hAnsi="仿宋_GB2312" w:cs="仿宋_GB2312" w:eastAsia="仿宋_GB2312"/>
                      <w:sz w:val="24"/>
                    </w:rPr>
                    <w:t>▲1)UPS类型:在线双变换式，UPS制式为三相输入，三相输出，采用模块化设计。单功率模块的额定输出功率: ≥30kVA，本次配置不少于3个（2+1冗余设计），≥60KVA机架。支持热插拔，支持功率模块、旁路模块、控制模块在线热插拔。（提供UPS智能监控软件著作权登记证书复印件。）</w:t>
                  </w:r>
                </w:p>
                <w:p>
                  <w:pPr>
                    <w:pStyle w:val="null3"/>
                    <w:ind w:left="105" w:right="105"/>
                    <w:jc w:val="both"/>
                  </w:pPr>
                  <w:r>
                    <w:rPr>
                      <w:rFonts w:ascii="仿宋_GB2312" w:hAnsi="仿宋_GB2312" w:cs="仿宋_GB2312" w:eastAsia="仿宋_GB2312"/>
                      <w:sz w:val="24"/>
                    </w:rPr>
                    <w:t>▲2)UPS输入电压范围≥303～485V宽输入电压范围，适应各种恶劣电网；输入频率范围40-70Hz；输入电流谐波分量THDi ≤1.8%（非线性满载）；输入功率因数≥0.9，输出功率因数≥0.9。</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输出电压波形失真度≤0.5%（阻性负载）。</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逆变过载能力：阻性负载 125%时，10min后转旁路输出。</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）市电模式下，UPS的效率≥95%（50%负载时）；ECO模式下，UPS系统效率≥99%。</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）支持电池节数30-44节可调，具有定期对电池组进行自动浮充、均充转换、自动温度补偿、电池组放电及记录功能等。</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）配电开关接线端子温度可感知，可主动预防局部热点。</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）告警功能支持声光告警.支持主回路过压欠压告警，过流告警，频率异常告警，单路掉电告警，三相不平衡,缺相告警，防雷告警；风扇故障时应能发出告警。</w:t>
                  </w:r>
                </w:p>
                <w:p>
                  <w:pPr>
                    <w:pStyle w:val="null3"/>
                    <w:ind w:left="105" w:right="105"/>
                    <w:jc w:val="both"/>
                  </w:pPr>
                  <w:r>
                    <w:rPr>
                      <w:rFonts w:ascii="仿宋_GB2312" w:hAnsi="仿宋_GB2312" w:cs="仿宋_GB2312" w:eastAsia="仿宋_GB2312"/>
                      <w:sz w:val="24"/>
                    </w:rPr>
                    <w:t>9</w:t>
                  </w:r>
                  <w:r>
                    <w:rPr>
                      <w:rFonts w:ascii="仿宋_GB2312" w:hAnsi="仿宋_GB2312" w:cs="仿宋_GB2312" w:eastAsia="仿宋_GB2312"/>
                      <w:sz w:val="24"/>
                    </w:rPr>
                    <w:t>）UPS采用≥7吋LCD彩色触摸显示屏。</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配电系统：</w:t>
                  </w:r>
                </w:p>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配电系统包含单路≥250A/3P 输入；3路≥160A/3P UPS输入、输出、UPS手动维修旁路开关；8路63A/3P空调配电开关、3路10A/1P照明开关,以及48路40A/1P机柜配电开关等。</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）配电柜铜排含铜量≥99.95%。</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）配电柜为模块化结构。</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UPS一体化柜尺寸与IT机柜尺寸保持一致，机柜门采用网孔门，支持前后操作，防护面板容易打开，进出线方式为：上进线上出线。表面喷涂颜色均匀一致、不得有起泡、裂纹、流痕等缺陷。柜体采用A级优质碳素冷轧钢板和无锌花热镀锌钢板。所有面板支持单独拆卸和拼装。</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电池系统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采用铅酸蓄电池组</w:t>
                  </w:r>
                </w:p>
                <w:p>
                  <w:pPr>
                    <w:pStyle w:val="null3"/>
                    <w:ind w:left="105" w:right="105"/>
                    <w:jc w:val="both"/>
                  </w:pPr>
                  <w:r>
                    <w:rPr>
                      <w:rFonts w:ascii="仿宋_GB2312" w:hAnsi="仿宋_GB2312" w:cs="仿宋_GB2312" w:eastAsia="仿宋_GB2312"/>
                      <w:sz w:val="24"/>
                    </w:rPr>
                    <w:t>▲1.电池（120节）：单个蓄电池容量≥100AH,额定电压12V。循环寿命≥500次，内阻一致性≤10%。</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电池开关（3个）：容量≥100A。</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电池架（3个）：定制。</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行级精密空调</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数量：2台</w:t>
                  </w:r>
                </w:p>
                <w:p>
                  <w:pPr>
                    <w:pStyle w:val="null3"/>
                    <w:ind w:left="105" w:right="105"/>
                    <w:jc w:val="both"/>
                  </w:pPr>
                  <w:r>
                    <w:rPr>
                      <w:rFonts w:ascii="仿宋_GB2312" w:hAnsi="仿宋_GB2312" w:cs="仿宋_GB2312" w:eastAsia="仿宋_GB2312"/>
                      <w:sz w:val="24"/>
                    </w:rPr>
                    <w:t>▲1.风冷行级氟泵精密空调（含室内机、室外机），总冷量≥60KW，风量≥12000m</w:t>
                  </w:r>
                  <w:r>
                    <w:rPr>
                      <w:rFonts w:ascii="仿宋_GB2312" w:hAnsi="仿宋_GB2312" w:cs="仿宋_GB2312" w:eastAsia="仿宋_GB2312"/>
                      <w:sz w:val="24"/>
                      <w:vertAlign w:val="superscript"/>
                    </w:rPr>
                    <w:t>3</w:t>
                  </w:r>
                  <w:r>
                    <w:rPr>
                      <w:rFonts w:ascii="仿宋_GB2312" w:hAnsi="仿宋_GB2312" w:cs="仿宋_GB2312" w:eastAsia="仿宋_GB2312"/>
                      <w:sz w:val="24"/>
                    </w:rPr>
                    <w:t>/h，加热量≥6kw；加湿量≥3kg/h； 380V三相电源输入，支持氟泵自然冷却。室内机尺寸与IT机柜尺寸保持一致。（提供生产厂商智能温控监控软件相关著作权登记证书）</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精密空调室内机采用直流变频压缩机，加湿采用节能型湿膜加湿器。</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电气性能：输入电压允许波动范围: 380V±10%；频率：50/60Hz±3Hz；</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环境适应能力：室外 -20℃ ~ +45℃环境下能正常工作；湿度：≤95%RH时能正常工作。</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精密空调应具有RS485及FE等通讯接口。</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室内风机支持在线插拔式维护，风机更换不需停机；室内风机整体采用N+1冗余备份设计，当一台风机故障时，机组风量和制冷量不衰减。</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精密空调室内机控制器应采用≥7吋LCD触摸真彩屏，一步到位界面切换，具有图形显示机组内各组件运行状态的功能。</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精密空调室外机采用镀锌板和表面磷化＋粉末涂层工艺；精密空调室外机采用EC高效风机，直驱传动方式；精密空调室外机采用V型冷凝器，占地面积小。</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模块内动环系统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实现对模块内一体化UPS、精密空调、温湿度、漏水检测、烟雾、视频、门禁等设备的不间断监控，发现部件故障或参数异常，即时采取颜色、E-mail、短信和声音告警等多种报警方式，记录历史数据和报警事件，支持≥40吋触摸屏和手机APP实时查看设备信息，移动运维。（提供生产厂商动环监控管理软件相关著作权登记证书。）</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微模块控制核心自身具备数据处理,存储能力≥15天。</w:t>
                  </w:r>
                </w:p>
                <w:p>
                  <w:pPr>
                    <w:pStyle w:val="null3"/>
                    <w:ind w:left="105" w:right="105"/>
                    <w:jc w:val="both"/>
                  </w:pPr>
                  <w:r>
                    <w:rPr>
                      <w:rFonts w:ascii="仿宋_GB2312" w:hAnsi="仿宋_GB2312" w:cs="仿宋_GB2312" w:eastAsia="仿宋_GB2312"/>
                      <w:sz w:val="24"/>
                    </w:rPr>
                    <w:t>3.200W</w:t>
                  </w:r>
                  <w:r>
                    <w:rPr>
                      <w:rFonts w:ascii="仿宋_GB2312" w:hAnsi="仿宋_GB2312" w:cs="仿宋_GB2312" w:eastAsia="仿宋_GB2312"/>
                      <w:sz w:val="24"/>
                    </w:rPr>
                    <w:t>像素半球型网络摄像机*3个、视频存储系统（硬盘录像机内至少含1块≥8TB硬盘）、存储时间≥90天。</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机房门更换</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双开1500mm*2300mm甲级钢制防火门1樘</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单开1000mm*2300mm甲级钢制防火门1樘</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室外进线电缆</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电缆沟敷设</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铜缆 ZR-YJV4*150+1*70；</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长度约为270米</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机房配电系统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机房内IT及动力照明供电线缆及敷设；（行级空调线缆ZR-YJV5*16 ≥90米；机柜线缆RVV3*6mm² ≥660米； 插座线缆BVR≥4mm² ；照明线缆BVR≥2.5mm²）</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机房内照明桥架及配电辅材；（钢制桥架≥80米）</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嵌入式灯具平板灯，600*600mm,36W（共18套，其中6套接UPS输出做为应急照明）；</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机房进线挂墙市电箱250A。（1台）</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机房防雷及接地系统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1.30*3</w:t>
                  </w:r>
                  <w:r>
                    <w:rPr>
                      <w:rFonts w:ascii="仿宋_GB2312" w:hAnsi="仿宋_GB2312" w:cs="仿宋_GB2312" w:eastAsia="仿宋_GB2312"/>
                      <w:sz w:val="24"/>
                    </w:rPr>
                    <w:t>接地铜排（≥45米）；</w:t>
                  </w:r>
                </w:p>
                <w:p>
                  <w:pPr>
                    <w:pStyle w:val="null3"/>
                    <w:ind w:left="105" w:right="105"/>
                    <w:jc w:val="both"/>
                  </w:pPr>
                  <w:r>
                    <w:rPr>
                      <w:rFonts w:ascii="仿宋_GB2312" w:hAnsi="仿宋_GB2312" w:cs="仿宋_GB2312" w:eastAsia="仿宋_GB2312"/>
                      <w:sz w:val="24"/>
                    </w:rPr>
                    <w:t>2.100*0.3</w:t>
                  </w:r>
                  <w:r>
                    <w:rPr>
                      <w:rFonts w:ascii="仿宋_GB2312" w:hAnsi="仿宋_GB2312" w:cs="仿宋_GB2312" w:eastAsia="仿宋_GB2312"/>
                      <w:sz w:val="24"/>
                    </w:rPr>
                    <w:t>铜带组成；1800*600静电泄流网（≥120米）；</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采用大楼综合接地，机房内设备、金属外壳接入静电泄流系统。</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导电性能好、防潮、耐老化，工作温度-30℃～+60℃。</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机房新风、排风系统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维持机房正压及满足人员工作换气要求；</w:t>
                  </w:r>
                </w:p>
                <w:p>
                  <w:pPr>
                    <w:pStyle w:val="null3"/>
                    <w:ind w:left="105" w:right="105"/>
                    <w:jc w:val="both"/>
                  </w:pPr>
                  <w:r>
                    <w:rPr>
                      <w:rFonts w:ascii="仿宋_GB2312" w:hAnsi="仿宋_GB2312" w:cs="仿宋_GB2312" w:eastAsia="仿宋_GB2312"/>
                      <w:sz w:val="24"/>
                    </w:rPr>
                    <w:t>2.800m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风量吊卧式新风换气机及配套风管、风口、防火阀等；</w:t>
                  </w:r>
                </w:p>
                <w:p>
                  <w:pPr>
                    <w:pStyle w:val="null3"/>
                    <w:ind w:left="105" w:right="105"/>
                    <w:jc w:val="both"/>
                  </w:pPr>
                  <w:r>
                    <w:rPr>
                      <w:rFonts w:ascii="仿宋_GB2312" w:hAnsi="仿宋_GB2312" w:cs="仿宋_GB2312" w:eastAsia="仿宋_GB2312"/>
                      <w:sz w:val="24"/>
                    </w:rPr>
                    <w:t>3.4000m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风量排风机及配套风管、风口、防火阀等</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机房综合布线系统工程</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铜缆布线：每台机柜不少于12个六类非屏蔽信息点及布线系统</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光缆布线：每台机柜24芯OM3 室内多模光缆布线系统。</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消防报警系统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1.90L</w:t>
                  </w:r>
                  <w:r>
                    <w:rPr>
                      <w:rFonts w:ascii="仿宋_GB2312" w:hAnsi="仿宋_GB2312" w:cs="仿宋_GB2312" w:eastAsia="仿宋_GB2312"/>
                      <w:sz w:val="24"/>
                    </w:rPr>
                    <w:t>七氟丙烷灭火瓶组灭火系统*2；</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联动火灾报警系统。</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安防系统</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入户门禁（2套）：人脸识别、刷卡、密码，机房入户门；</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监控大屏（2台）：≥86英寸4K智能触屏一体机无线投屏电子白板，内置安卓+OPS扩展双系统会议平板。</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设备迁移</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机房建设完成后，需将原机房约37台服务器及交换机等设备搬迁至新建机房，并完成上架安装等工作。</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核心交换机</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数量：1台</w:t>
                  </w:r>
                </w:p>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、采用CLOS交换架构，主控引擎与交换网板物理分离，支持大规模网络扩展；</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、整机主控引擎插槽≥2个，业务插槽≥8个，交换网板插槽≥2个，风扇框≥2个；</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、采用前进风，后出风的抽风散热方式；</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、交换容量≥1900Tbps，包转发性能≥460000Mpps；</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、转发和CPU采用国产芯片，自主可控;</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、支持同一个共享的网络基础设施上提供多个逻辑网络（切片），每个逻辑网络服务于特定的业务类型或者行业；</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、支持硬件BFD/OAM，3.3ms稳定均匀发包检测，故障倒换时间小于50ms；</w:t>
                  </w:r>
                </w:p>
                <w:p>
                  <w:pPr>
                    <w:pStyle w:val="null3"/>
                    <w:ind w:left="105" w:right="105"/>
                    <w:jc w:val="both"/>
                  </w:pPr>
                  <w:r>
                    <w:rPr>
                      <w:rFonts w:ascii="仿宋_GB2312" w:hAnsi="仿宋_GB2312" w:cs="仿宋_GB2312" w:eastAsia="仿宋_GB2312"/>
                      <w:sz w:val="24"/>
                    </w:rPr>
                    <w:t>8</w:t>
                  </w:r>
                  <w:r>
                    <w:rPr>
                      <w:rFonts w:ascii="仿宋_GB2312" w:hAnsi="仿宋_GB2312" w:cs="仿宋_GB2312" w:eastAsia="仿宋_GB2312"/>
                      <w:sz w:val="24"/>
                    </w:rPr>
                    <w:t>、支持基于IPv6转发平面的段路由；</w:t>
                  </w:r>
                </w:p>
                <w:p>
                  <w:pPr>
                    <w:pStyle w:val="null3"/>
                    <w:ind w:left="105" w:right="105"/>
                    <w:jc w:val="both"/>
                  </w:pPr>
                  <w:r>
                    <w:rPr>
                      <w:rFonts w:ascii="仿宋_GB2312" w:hAnsi="仿宋_GB2312" w:cs="仿宋_GB2312" w:eastAsia="仿宋_GB2312"/>
                      <w:sz w:val="24"/>
                    </w:rPr>
                    <w:t>9</w:t>
                  </w:r>
                  <w:r>
                    <w:rPr>
                      <w:rFonts w:ascii="仿宋_GB2312" w:hAnsi="仿宋_GB2312" w:cs="仿宋_GB2312" w:eastAsia="仿宋_GB2312"/>
                      <w:sz w:val="24"/>
                    </w:rPr>
                    <w:t>、支持MACsec加密能力；</w:t>
                  </w:r>
                </w:p>
                <w:p>
                  <w:pPr>
                    <w:pStyle w:val="null3"/>
                    <w:ind w:left="105" w:right="105"/>
                    <w:jc w:val="both"/>
                  </w:pPr>
                  <w:r>
                    <w:rPr>
                      <w:rFonts w:ascii="仿宋_GB2312" w:hAnsi="仿宋_GB2312" w:cs="仿宋_GB2312" w:eastAsia="仿宋_GB2312"/>
                      <w:sz w:val="24"/>
                    </w:rPr>
                    <w:t>10</w:t>
                  </w:r>
                  <w:r>
                    <w:rPr>
                      <w:rFonts w:ascii="仿宋_GB2312" w:hAnsi="仿宋_GB2312" w:cs="仿宋_GB2312" w:eastAsia="仿宋_GB2312"/>
                      <w:sz w:val="24"/>
                    </w:rPr>
                    <w:t>、支持MPLS L3VPN、MPLS QoS、MPLS L2VPN、MPLS TE等；</w:t>
                  </w:r>
                </w:p>
                <w:p>
                  <w:pPr>
                    <w:pStyle w:val="null3"/>
                    <w:ind w:left="105" w:right="105"/>
                    <w:jc w:val="both"/>
                  </w:pPr>
                  <w:r>
                    <w:rPr>
                      <w:rFonts w:ascii="仿宋_GB2312" w:hAnsi="仿宋_GB2312" w:cs="仿宋_GB2312" w:eastAsia="仿宋_GB2312"/>
                      <w:sz w:val="24"/>
                    </w:rPr>
                    <w:t>11</w:t>
                  </w:r>
                  <w:r>
                    <w:rPr>
                      <w:rFonts w:ascii="仿宋_GB2312" w:hAnsi="仿宋_GB2312" w:cs="仿宋_GB2312" w:eastAsia="仿宋_GB2312"/>
                      <w:sz w:val="24"/>
                    </w:rPr>
                    <w:t>、单台配置：≥2块主控，≥2块交换网版，≥3块模块化交流电源，≥8个40G以太网光接口，≥48个万兆以太网光接口，≥24个千兆以太网光接口，≥48个千兆以太网电接口，配置8个40G单模光模块、8个25G单模光模块，20个10G单模光模块。</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光电汇聚交换机</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数量：2台</w:t>
                  </w:r>
                </w:p>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、交换容量≥2Tbps，包转发率≥670Mpps；</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、提供≥24个10/100/1000BASE-T以太网端口，≥8个万兆SFP+端口，≥2个模块交流电源；</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、支持静态路由，支持 RIP、RIPng、OSPF、OSPFv3、VRRP等；</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、支持 SNMPv1/v2c/v3、CLI（命令行）、Web 网管、SSHv2.0等；</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、支持智能堆叠；</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、转发和CPU采用国产芯片，自主可控。</w:t>
                  </w:r>
                </w:p>
              </w:tc>
              <w:tc>
                <w:tcPr>
                  <w:tcW w:type="dxa" w:w="183"/>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r>
            <w:tr>
              <w:tc>
                <w:tcPr>
                  <w:tcW w:type="dxa" w:w="11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万兆汇聚交换机</w:t>
                  </w:r>
                </w:p>
              </w:tc>
              <w:tc>
                <w:tcPr>
                  <w:tcW w:type="dxa" w:w="1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r>
                    <w:rPr>
                      <w:rFonts w:ascii="仿宋_GB2312" w:hAnsi="仿宋_GB2312" w:cs="仿宋_GB2312" w:eastAsia="仿宋_GB2312"/>
                      <w:sz w:val="24"/>
                    </w:rPr>
                    <w:t>数量：2台</w:t>
                  </w:r>
                </w:p>
                <w:p>
                  <w:pPr>
                    <w:pStyle w:val="null3"/>
                    <w:ind w:left="105" w:right="105"/>
                    <w:jc w:val="both"/>
                  </w:pPr>
                  <w:r>
                    <w:rPr>
                      <w:rFonts w:ascii="仿宋_GB2312" w:hAnsi="仿宋_GB2312" w:cs="仿宋_GB2312" w:eastAsia="仿宋_GB2312"/>
                      <w:sz w:val="24"/>
                    </w:rPr>
                    <w:t>1</w:t>
                  </w:r>
                  <w:r>
                    <w:rPr>
                      <w:rFonts w:ascii="仿宋_GB2312" w:hAnsi="仿宋_GB2312" w:cs="仿宋_GB2312" w:eastAsia="仿宋_GB2312"/>
                      <w:sz w:val="24"/>
                    </w:rPr>
                    <w:t>、交换容量≥2.5Tbps，包转发率≥1500Mpps；</w:t>
                  </w:r>
                </w:p>
                <w:p>
                  <w:pPr>
                    <w:pStyle w:val="null3"/>
                    <w:ind w:left="105" w:right="105"/>
                    <w:jc w:val="both"/>
                  </w:pPr>
                  <w:r>
                    <w:rPr>
                      <w:rFonts w:ascii="仿宋_GB2312" w:hAnsi="仿宋_GB2312" w:cs="仿宋_GB2312" w:eastAsia="仿宋_GB2312"/>
                      <w:sz w:val="24"/>
                    </w:rPr>
                    <w:t>2</w:t>
                  </w:r>
                  <w:r>
                    <w:rPr>
                      <w:rFonts w:ascii="仿宋_GB2312" w:hAnsi="仿宋_GB2312" w:cs="仿宋_GB2312" w:eastAsia="仿宋_GB2312"/>
                      <w:sz w:val="24"/>
                    </w:rPr>
                    <w:t>、提供≥16个10G光端口，≥10个25G光端口，≥2个40G/100G光端口，≥2个模块交流电源；</w:t>
                  </w:r>
                </w:p>
                <w:p>
                  <w:pPr>
                    <w:pStyle w:val="null3"/>
                    <w:ind w:left="105" w:right="105"/>
                    <w:jc w:val="both"/>
                  </w:pPr>
                  <w:r>
                    <w:rPr>
                      <w:rFonts w:ascii="仿宋_GB2312" w:hAnsi="仿宋_GB2312" w:cs="仿宋_GB2312" w:eastAsia="仿宋_GB2312"/>
                      <w:sz w:val="24"/>
                    </w:rPr>
                    <w:t>3</w:t>
                  </w:r>
                  <w:r>
                    <w:rPr>
                      <w:rFonts w:ascii="仿宋_GB2312" w:hAnsi="仿宋_GB2312" w:cs="仿宋_GB2312" w:eastAsia="仿宋_GB2312"/>
                      <w:sz w:val="24"/>
                    </w:rPr>
                    <w:t>、支持SNMP V1/V2/V3、Telnet、RMON、SSH等。</w:t>
                  </w:r>
                </w:p>
                <w:p>
                  <w:pPr>
                    <w:pStyle w:val="null3"/>
                    <w:ind w:left="105" w:right="105"/>
                    <w:jc w:val="both"/>
                  </w:pPr>
                  <w:r>
                    <w:rPr>
                      <w:rFonts w:ascii="仿宋_GB2312" w:hAnsi="仿宋_GB2312" w:cs="仿宋_GB2312" w:eastAsia="仿宋_GB2312"/>
                      <w:sz w:val="24"/>
                    </w:rPr>
                    <w:t>4</w:t>
                  </w:r>
                  <w:r>
                    <w:rPr>
                      <w:rFonts w:ascii="仿宋_GB2312" w:hAnsi="仿宋_GB2312" w:cs="仿宋_GB2312" w:eastAsia="仿宋_GB2312"/>
                      <w:sz w:val="24"/>
                    </w:rPr>
                    <w:t>、支持VxLAN二层网关、三层网关。</w:t>
                  </w:r>
                </w:p>
                <w:p>
                  <w:pPr>
                    <w:pStyle w:val="null3"/>
                    <w:ind w:left="105" w:right="105"/>
                    <w:jc w:val="both"/>
                  </w:pPr>
                  <w:r>
                    <w:rPr>
                      <w:rFonts w:ascii="仿宋_GB2312" w:hAnsi="仿宋_GB2312" w:cs="仿宋_GB2312" w:eastAsia="仿宋_GB2312"/>
                      <w:sz w:val="24"/>
                    </w:rPr>
                    <w:t>5</w:t>
                  </w:r>
                  <w:r>
                    <w:rPr>
                      <w:rFonts w:ascii="仿宋_GB2312" w:hAnsi="仿宋_GB2312" w:cs="仿宋_GB2312" w:eastAsia="仿宋_GB2312"/>
                      <w:sz w:val="24"/>
                    </w:rPr>
                    <w:t>、支持统一用户管理功能，支持802.1X/MAC/Portal等多种认证方式。</w:t>
                  </w:r>
                </w:p>
                <w:p>
                  <w:pPr>
                    <w:pStyle w:val="null3"/>
                    <w:ind w:left="105" w:right="105"/>
                    <w:jc w:val="both"/>
                  </w:pPr>
                  <w:r>
                    <w:rPr>
                      <w:rFonts w:ascii="仿宋_GB2312" w:hAnsi="仿宋_GB2312" w:cs="仿宋_GB2312" w:eastAsia="仿宋_GB2312"/>
                      <w:sz w:val="24"/>
                    </w:rPr>
                    <w:t>6</w:t>
                  </w:r>
                  <w:r>
                    <w:rPr>
                      <w:rFonts w:ascii="仿宋_GB2312" w:hAnsi="仿宋_GB2312" w:cs="仿宋_GB2312" w:eastAsia="仿宋_GB2312"/>
                      <w:sz w:val="24"/>
                    </w:rPr>
                    <w:t>、支持RIP、OSPF、ISIS、BGP等IPv4动态路由协议，BGP4+等IPv6动态路由协议。</w:t>
                  </w:r>
                </w:p>
                <w:p>
                  <w:pPr>
                    <w:pStyle w:val="null3"/>
                    <w:ind w:left="105" w:right="105"/>
                    <w:jc w:val="both"/>
                  </w:pPr>
                  <w:r>
                    <w:rPr>
                      <w:rFonts w:ascii="仿宋_GB2312" w:hAnsi="仿宋_GB2312" w:cs="仿宋_GB2312" w:eastAsia="仿宋_GB2312"/>
                      <w:sz w:val="24"/>
                    </w:rPr>
                    <w:t>7</w:t>
                  </w:r>
                  <w:r>
                    <w:rPr>
                      <w:rFonts w:ascii="仿宋_GB2312" w:hAnsi="仿宋_GB2312" w:cs="仿宋_GB2312" w:eastAsia="仿宋_GB2312"/>
                      <w:sz w:val="24"/>
                    </w:rPr>
                    <w:t>、转发和CPU采用国产芯片，自主可控。</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both"/>
                  </w:pP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6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4"/>
                    </w:rPr>
                    <w:t>智能导学平台</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left"/>
                  </w:pPr>
                  <w:r>
                    <w:rPr>
                      <w:rFonts w:ascii="仿宋_GB2312" w:hAnsi="仿宋_GB2312" w:cs="仿宋_GB2312" w:eastAsia="仿宋_GB2312"/>
                      <w:sz w:val="24"/>
                    </w:rPr>
                    <w:t>▲1、大模型应用开发课程知识图谱≥4个专属核心模块、≥25个知识点，必须包含：大模型认知基础、模型部署与推理实践、提示工程实战、AI应用工程开发等。知识点支持双标签分类，可通过知识点关联相关课程及测试。</w:t>
                  </w:r>
                </w:p>
                <w:p>
                  <w:pPr>
                    <w:pStyle w:val="null3"/>
                    <w:ind w:left="105" w:right="105"/>
                    <w:jc w:val="left"/>
                  </w:pPr>
                  <w:r>
                    <w:rPr>
                      <w:rFonts w:ascii="仿宋_GB2312" w:hAnsi="仿宋_GB2312" w:cs="仿宋_GB2312" w:eastAsia="仿宋_GB2312"/>
                      <w:sz w:val="24"/>
                    </w:rPr>
                    <w:t>2.</w:t>
                  </w:r>
                  <w:r>
                    <w:rPr>
                      <w:rFonts w:ascii="仿宋_GB2312" w:hAnsi="仿宋_GB2312" w:cs="仿宋_GB2312" w:eastAsia="仿宋_GB2312"/>
                      <w:sz w:val="24"/>
                    </w:rPr>
                    <w:t>专属大模型应用开发课程视频资源≥30：包含大模型应用开发简述、OpenAI格式的API、五大核心组件、代码详解-NLP实验代码等全套专属视频课程，视频总时长≥300分钟，支持在线预览学习。</w:t>
                  </w:r>
                </w:p>
                <w:p>
                  <w:pPr>
                    <w:pStyle w:val="null3"/>
                    <w:ind w:left="105" w:right="105"/>
                    <w:jc w:val="left"/>
                  </w:pPr>
                  <w:r>
                    <w:rPr>
                      <w:rFonts w:ascii="仿宋_GB2312" w:hAnsi="仿宋_GB2312" w:cs="仿宋_GB2312" w:eastAsia="仿宋_GB2312"/>
                      <w:sz w:val="24"/>
                    </w:rPr>
                    <w:t>▲3.平台需本地化部署，部署在国产通用算力平台，适配国产服务器操作系统。（提供承诺书）</w:t>
                  </w:r>
                </w:p>
                <w:p>
                  <w:pPr>
                    <w:pStyle w:val="null3"/>
                    <w:ind w:left="105" w:right="105"/>
                    <w:jc w:val="left"/>
                  </w:pPr>
                  <w:r>
                    <w:rPr>
                      <w:rFonts w:ascii="仿宋_GB2312" w:hAnsi="仿宋_GB2312" w:cs="仿宋_GB2312" w:eastAsia="仿宋_GB2312"/>
                      <w:sz w:val="24"/>
                    </w:rPr>
                    <w:t>4.</w:t>
                  </w:r>
                  <w:r>
                    <w:rPr>
                      <w:rFonts w:ascii="仿宋_GB2312" w:hAnsi="仿宋_GB2312" w:cs="仿宋_GB2312" w:eastAsia="仿宋_GB2312"/>
                      <w:sz w:val="24"/>
                    </w:rPr>
                    <w:t>支持容器化部署，兼容Docker生态。</w:t>
                  </w:r>
                </w:p>
                <w:p>
                  <w:pPr>
                    <w:pStyle w:val="null3"/>
                    <w:ind w:left="105" w:right="105"/>
                    <w:jc w:val="left"/>
                  </w:pPr>
                  <w:r>
                    <w:rPr>
                      <w:rFonts w:ascii="仿宋_GB2312" w:hAnsi="仿宋_GB2312" w:cs="仿宋_GB2312" w:eastAsia="仿宋_GB2312"/>
                      <w:sz w:val="24"/>
                    </w:rPr>
                    <w:t>5.</w:t>
                  </w:r>
                  <w:r>
                    <w:rPr>
                      <w:rFonts w:ascii="仿宋_GB2312" w:hAnsi="仿宋_GB2312" w:cs="仿宋_GB2312" w:eastAsia="仿宋_GB2312"/>
                      <w:sz w:val="24"/>
                    </w:rPr>
                    <w:t>开发工具链包含Python≥3.7.5，支持NumPy、Pandas、SciPy等计算库，须支持国产化AI框架，适配科研实践中的AI框架需求，Git版本控制系统，支持大文件存储(LFS）。</w:t>
                  </w:r>
                </w:p>
                <w:p>
                  <w:pPr>
                    <w:pStyle w:val="null3"/>
                    <w:ind w:left="105" w:right="105"/>
                    <w:jc w:val="left"/>
                  </w:pPr>
                  <w:r>
                    <w:rPr>
                      <w:rFonts w:ascii="仿宋_GB2312" w:hAnsi="仿宋_GB2312" w:cs="仿宋_GB2312" w:eastAsia="仿宋_GB2312"/>
                      <w:sz w:val="24"/>
                    </w:rPr>
                    <w:t>6.</w:t>
                  </w:r>
                  <w:r>
                    <w:rPr>
                      <w:rFonts w:ascii="仿宋_GB2312" w:hAnsi="仿宋_GB2312" w:cs="仿宋_GB2312" w:eastAsia="仿宋_GB2312"/>
                      <w:sz w:val="24"/>
                    </w:rPr>
                    <w:t>需基于大模型能力自动生成专属学习报告，含课程学习情况、画像评价、智能评价、雷达图等信息，学习报告的历史查看与下载功能。</w:t>
                  </w:r>
                </w:p>
                <w:p>
                  <w:pPr>
                    <w:pStyle w:val="null3"/>
                    <w:ind w:left="105" w:right="105"/>
                    <w:jc w:val="left"/>
                  </w:pPr>
                  <w:r>
                    <w:rPr>
                      <w:rFonts w:ascii="仿宋_GB2312" w:hAnsi="仿宋_GB2312" w:cs="仿宋_GB2312" w:eastAsia="仿宋_GB2312"/>
                      <w:sz w:val="24"/>
                    </w:rPr>
                    <w:t>7</w:t>
                  </w:r>
                  <w:r>
                    <w:rPr>
                      <w:rFonts w:ascii="仿宋_GB2312" w:hAnsi="仿宋_GB2312" w:cs="仿宋_GB2312" w:eastAsia="仿宋_GB2312"/>
                      <w:sz w:val="24"/>
                    </w:rPr>
                    <w:t>、智能测评：需提供单元测评功能，需支持测评标记、自动判分，提供错题解析及重新测评功能等。</w:t>
                  </w:r>
                </w:p>
                <w:p>
                  <w:pPr>
                    <w:pStyle w:val="null3"/>
                    <w:ind w:left="105" w:right="105"/>
                    <w:jc w:val="left"/>
                  </w:pPr>
                  <w:r>
                    <w:rPr>
                      <w:rFonts w:ascii="仿宋_GB2312" w:hAnsi="仿宋_GB2312" w:cs="仿宋_GB2312" w:eastAsia="仿宋_GB2312"/>
                      <w:sz w:val="24"/>
                    </w:rPr>
                    <w:t>▲8、AI智能问答：专属AI问答模型，自动记录问答交互全内容等。</w:t>
                  </w:r>
                </w:p>
                <w:p>
                  <w:pPr>
                    <w:pStyle w:val="null3"/>
                    <w:ind w:left="105" w:right="105"/>
                    <w:jc w:val="left"/>
                  </w:pPr>
                  <w:r>
                    <w:rPr>
                      <w:rFonts w:ascii="仿宋_GB2312" w:hAnsi="仿宋_GB2312" w:cs="仿宋_GB2312" w:eastAsia="仿宋_GB2312"/>
                      <w:sz w:val="24"/>
                    </w:rPr>
                    <w:t>9</w:t>
                  </w:r>
                  <w:r>
                    <w:rPr>
                      <w:rFonts w:ascii="仿宋_GB2312" w:hAnsi="仿宋_GB2312" w:cs="仿宋_GB2312" w:eastAsia="仿宋_GB2312"/>
                      <w:sz w:val="24"/>
                    </w:rPr>
                    <w:t>、AI能力模型：需支持生成能力维度雷达图等。</w:t>
                  </w:r>
                </w:p>
                <w:p>
                  <w:pPr>
                    <w:pStyle w:val="null3"/>
                    <w:ind w:left="105" w:right="105"/>
                    <w:jc w:val="left"/>
                  </w:pPr>
                  <w:r>
                    <w:rPr>
                      <w:rFonts w:ascii="仿宋_GB2312" w:hAnsi="仿宋_GB2312" w:cs="仿宋_GB2312" w:eastAsia="仿宋_GB2312"/>
                      <w:sz w:val="24"/>
                    </w:rPr>
                    <w:t>10</w:t>
                  </w:r>
                  <w:r>
                    <w:rPr>
                      <w:rFonts w:ascii="仿宋_GB2312" w:hAnsi="仿宋_GB2312" w:cs="仿宋_GB2312" w:eastAsia="仿宋_GB2312"/>
                      <w:sz w:val="24"/>
                    </w:rPr>
                    <w:t>、个人中心：需展示课程学习概况、能力达成度及各维度分数，支持查看全量课程学习表单及记录等。</w:t>
                  </w:r>
                </w:p>
                <w:p>
                  <w:pPr>
                    <w:pStyle w:val="null3"/>
                    <w:ind w:left="105" w:right="105"/>
                    <w:jc w:val="left"/>
                  </w:pPr>
                  <w:r>
                    <w:rPr>
                      <w:rFonts w:ascii="仿宋_GB2312" w:hAnsi="仿宋_GB2312" w:cs="仿宋_GB2312" w:eastAsia="仿宋_GB2312"/>
                      <w:sz w:val="24"/>
                    </w:rPr>
                    <w:t>11</w:t>
                  </w:r>
                  <w:r>
                    <w:rPr>
                      <w:rFonts w:ascii="仿宋_GB2312" w:hAnsi="仿宋_GB2312" w:cs="仿宋_GB2312" w:eastAsia="仿宋_GB2312"/>
                      <w:sz w:val="24"/>
                    </w:rPr>
                    <w:t>、数据同步：需支持学员微课学习、测评、问答等学习行为数据实时同步，需为课程的学习地图、能力模型、学习报告生成提供实时数据支撑等。</w:t>
                  </w:r>
                </w:p>
                <w:p>
                  <w:pPr>
                    <w:pStyle w:val="null3"/>
                    <w:ind w:left="105" w:right="105"/>
                    <w:jc w:val="left"/>
                  </w:pPr>
                  <w:r>
                    <w:rPr>
                      <w:rFonts w:ascii="仿宋_GB2312" w:hAnsi="仿宋_GB2312" w:cs="仿宋_GB2312" w:eastAsia="仿宋_GB2312"/>
                      <w:sz w:val="24"/>
                    </w:rPr>
                    <w:t>12</w:t>
                  </w:r>
                  <w:r>
                    <w:rPr>
                      <w:rFonts w:ascii="仿宋_GB2312" w:hAnsi="仿宋_GB2312" w:cs="仿宋_GB2312" w:eastAsia="仿宋_GB2312"/>
                      <w:sz w:val="24"/>
                    </w:rPr>
                    <w:t>、其他功能:需支持年级、专业、班级、用户、学生信息的增删改查及多条件筛选；需支持教师端、用户端独立登录访问，实现账号权限隔离管理；需区分教师端、用户端的操作权限与数据查看权限。需支持教师端按年级、专业、班级模块多维度筛选，需实现学习数据的快速检索与查看等。</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05" w:right="105"/>
                    <w:jc w:val="center"/>
                  </w:pPr>
                  <w:r>
                    <w:rPr>
                      <w:rFonts w:ascii="仿宋_GB2312" w:hAnsi="仿宋_GB2312" w:cs="仿宋_GB2312" w:eastAsia="仿宋_GB2312"/>
                      <w:sz w:val="24"/>
                    </w:rPr>
                    <w:t>1</w:t>
                  </w:r>
                </w:p>
              </w:tc>
            </w:tr>
          </w:tbl>
          <w:p>
            <w:pPr>
              <w:pStyle w:val="null3"/>
            </w:pPr>
            <w:r>
              <w:rPr>
                <w:rFonts w:ascii="仿宋_GB2312" w:hAnsi="仿宋_GB2312" w:cs="仿宋_GB2312" w:eastAsia="仿宋_GB2312"/>
              </w:rPr>
              <w:t xml:space="preserve"> </w:t>
            </w:r>
          </w:p>
          <w:p>
            <w:pPr>
              <w:pStyle w:val="null3"/>
              <w:spacing w:before="120" w:after="120"/>
              <w:ind w:firstLine="482"/>
              <w:jc w:val="left"/>
            </w:pPr>
            <w:r>
              <w:rPr>
                <w:rFonts w:ascii="仿宋_GB2312" w:hAnsi="仿宋_GB2312" w:cs="仿宋_GB2312" w:eastAsia="仿宋_GB2312"/>
                <w:sz w:val="24"/>
                <w:b/>
              </w:rPr>
              <w:t>★</w:t>
            </w:r>
            <w:r>
              <w:rPr>
                <w:rFonts w:ascii="仿宋_GB2312" w:hAnsi="仿宋_GB2312" w:cs="仿宋_GB2312" w:eastAsia="仿宋_GB2312"/>
                <w:sz w:val="28"/>
                <w:b/>
              </w:rPr>
              <w:t>三、其他要求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本次为交钥匙项目，分项系统包括供配电系统工程、强弱电布线系统、照明系统、防雷接地系统、综合布线、门禁系统、消防灭火、机房动环系统等内容。</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投标人须承诺：签订合同前，中标人提供所投AI算力服务器设备厂家的服务技术支持承诺函，内容包括但不限于：大模型底层算子开发支持DeepSeek、Qwen、LLaMA、Gemma等。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、售后服务响应时间（质保期内）：</w:t>
            </w:r>
            <w:r>
              <w:rPr>
                <w:rFonts w:ascii="仿宋_GB2312" w:hAnsi="仿宋_GB2312" w:cs="仿宋_GB2312" w:eastAsia="仿宋_GB2312"/>
                <w:sz w:val="24"/>
              </w:rPr>
              <w:t>30</w:t>
            </w:r>
            <w:r>
              <w:rPr>
                <w:rFonts w:ascii="仿宋_GB2312" w:hAnsi="仿宋_GB2312" w:cs="仿宋_GB2312" w:eastAsia="仿宋_GB2312"/>
                <w:sz w:val="24"/>
              </w:rPr>
              <w:t>天内，产品出现质量问题，免费换新；</w:t>
            </w:r>
            <w:r>
              <w:rPr>
                <w:rFonts w:ascii="仿宋_GB2312" w:hAnsi="仿宋_GB2312" w:cs="仿宋_GB2312" w:eastAsia="仿宋_GB2312"/>
                <w:sz w:val="24"/>
              </w:rPr>
              <w:t>30</w:t>
            </w:r>
            <w:r>
              <w:rPr>
                <w:rFonts w:ascii="仿宋_GB2312" w:hAnsi="仿宋_GB2312" w:cs="仿宋_GB2312" w:eastAsia="仿宋_GB2312"/>
                <w:sz w:val="24"/>
              </w:rPr>
              <w:t>天后，产品出现质量问题，应及时响应（包括电话、微信、QQ等）；及时响应无法解决时，需</w:t>
            </w:r>
            <w:r>
              <w:rPr>
                <w:rFonts w:ascii="仿宋_GB2312" w:hAnsi="仿宋_GB2312" w:cs="仿宋_GB2312" w:eastAsia="仿宋_GB2312"/>
                <w:sz w:val="24"/>
              </w:rPr>
              <w:t>12</w:t>
            </w:r>
            <w:r>
              <w:rPr>
                <w:rFonts w:ascii="仿宋_GB2312" w:hAnsi="仿宋_GB2312" w:cs="仿宋_GB2312" w:eastAsia="仿宋_GB2312"/>
                <w:sz w:val="24"/>
              </w:rPr>
              <w:t>小时内到达现场，</w:t>
            </w:r>
            <w:r>
              <w:rPr>
                <w:rFonts w:ascii="仿宋_GB2312" w:hAnsi="仿宋_GB2312" w:cs="仿宋_GB2312" w:eastAsia="仿宋_GB2312"/>
                <w:sz w:val="24"/>
              </w:rPr>
              <w:t>24</w:t>
            </w:r>
            <w:r>
              <w:rPr>
                <w:rFonts w:ascii="仿宋_GB2312" w:hAnsi="仿宋_GB2312" w:cs="仿宋_GB2312" w:eastAsia="仿宋_GB2312"/>
                <w:sz w:val="24"/>
              </w:rPr>
              <w:t>小时内修复；如在</w:t>
            </w:r>
            <w:r>
              <w:rPr>
                <w:rFonts w:ascii="仿宋_GB2312" w:hAnsi="仿宋_GB2312" w:cs="仿宋_GB2312" w:eastAsia="仿宋_GB2312"/>
                <w:sz w:val="24"/>
              </w:rPr>
              <w:t>24</w:t>
            </w:r>
            <w:r>
              <w:rPr>
                <w:rFonts w:ascii="仿宋_GB2312" w:hAnsi="仿宋_GB2312" w:cs="仿宋_GB2312" w:eastAsia="仿宋_GB2312"/>
                <w:sz w:val="24"/>
              </w:rPr>
              <w:t>小时内无法修复，则提供部件冗余服务或采取应急措施，提供相同产品或不低于故障产品规格档次的备用产品供采购人使用，以确保货物的正常使用。</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培训内容及要求：安装调试合格后,由中标人工程师为采购人操作人员做集中培训，包括基本操作、基本原理、日常维护及常见问题分析等培训，保证校方人员能够对项目中的设备全面地了解，增强使用和维护设备的技能，确保设备安全可靠地运行。</w:t>
            </w:r>
          </w:p>
          <w:p>
            <w:pPr>
              <w:pStyle w:val="null3"/>
              <w:spacing w:after="120"/>
              <w:jc w:val="both"/>
            </w:pPr>
            <w:r>
              <w:rPr>
                <w:rFonts w:ascii="仿宋_GB2312" w:hAnsi="仿宋_GB2312" w:cs="仿宋_GB2312" w:eastAsia="仿宋_GB2312"/>
                <w:sz w:val="24"/>
                <w:b/>
              </w:rPr>
              <w:t>备注：</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本项目采购的产品如有属于节能产品政府采购品目清单中应强制采购的产品范围，供应商应当提供国家确定的认证机构出具的、处于有效期之内的节能产品认证证书（节能产品政府采购品目清单见附件），否则视为无效投标。</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、本项目采购的产品如有属于强制性产品认证目录中的产品，供应商应提供有效的3C认证证书，否则作无效投标处理。</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、标“★”的需求为实质性要求，供应商必须响应并满足，否则视为无效投标。</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、带“▲”号条款为允许负偏离的参数需求，若未响应或者不满足，将在综合评审中予以扣分处理。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交货期：合同签订之日起60日历日内完成交付、安装及调试。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陕西国防工业职业技术学院北校区2号教学楼2-120。</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其他，乙方完成全部货物的供货、安装、调试、试运行合格后告知甲方，甲方在30天内组织验收，验收合格后乙方向甲方开具全额完税销售发票，达到付款条件起10个工作日内，支付合同总金额的100.0%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根据投标人对所投产品技术参数的响应情况进行评审：完全符合、响应招标文件要求，没有负偏离计25分；“▲”号参数为重要技术指标，每负偏离一项扣1分，非“▲”号参数每负偏离一项扣0.5分。扣完为止。 备注：“★”及“▲”项须提供佐证材料，否则视为负偏离，佐证材料包括但不限于产品技术说明或功能截图或检测报告或产品彩页等。指标要求中另有要求的除外，未提供佐证材料或佐证材料不满足产品标准要求的均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投标人提供针对本项目的实施方案，内容包含但不限于：①供货组织及进度计划；②安装调试方案；③质量保障措施；④验收方案。 以上方案各项内容全面详细、阐述条理清晰、内容合理、措施得当，贴合项目的实际情况，对评审内容中的各项要求有详细描述及说明得12分，每有一项缺项扣3分，每项内容中存在一处缺陷扣1分，扣完为止。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投标人提供针对本项目的售后服务及培训方案，内容包含但不限于： ①售后服务措施：提供售后服务流程、各类故障解决响应时间、服务方式等内容：售后服务、保障体系及措施完善，可提供现场技术支持。 ②培训方案：制定培训课程计划表，列出每种培训的地点和时间、培训的内容、方式、次数等，培训内容应包括所提供产品的原理和技术性能、操作方法、安装调试、排除故障等各个方面，培训的具体日期及人数由使用单位确定。 以上方案各项内容全面详细、阐述条理清晰、内容合理、措施得当，贴合项目的实际情况，对评审内容中的各项要求有详细描述及说明得8分，每有一项缺项扣4分，每项内容中存在一处缺陷扣1分，扣完为止。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提供所投产品合法来源渠道证明文件（包括但不限于销售协议或代理协议或原厂授权等），每提供1个产品计1分，满分4分，未提供不计分。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提供投标人2023年1月1日至今（以合同签订日期为准）同类项目的业绩合同，每提供一份计1分，满分5分。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1.开标一览表（报价表）.docx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