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FA0843"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商务、合同条款偏差表</w:t>
      </w:r>
    </w:p>
    <w:tbl>
      <w:tblPr>
        <w:tblStyle w:val="6"/>
        <w:tblW w:w="486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93"/>
        <w:gridCol w:w="1179"/>
        <w:gridCol w:w="5885"/>
        <w:gridCol w:w="1883"/>
        <w:gridCol w:w="1520"/>
        <w:gridCol w:w="3243"/>
      </w:tblGrid>
      <w:tr w14:paraId="738464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207" w:type="pct"/>
            <w:vAlign w:val="top"/>
          </w:tcPr>
          <w:p w14:paraId="17B9F198">
            <w:pPr>
              <w:pStyle w:val="5"/>
              <w:spacing w:before="114"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9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412" w:type="pct"/>
            <w:vAlign w:val="top"/>
          </w:tcPr>
          <w:p w14:paraId="7ABABE99">
            <w:pPr>
              <w:pStyle w:val="5"/>
              <w:spacing w:before="115"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条目</w:t>
            </w:r>
          </w:p>
        </w:tc>
        <w:tc>
          <w:tcPr>
            <w:tcW w:w="2056" w:type="pct"/>
            <w:vAlign w:val="top"/>
          </w:tcPr>
          <w:p w14:paraId="056FA30D">
            <w:pPr>
              <w:pStyle w:val="5"/>
              <w:spacing w:before="115" w:line="360" w:lineRule="auto"/>
              <w:jc w:val="center"/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招标文件要求</w:t>
            </w:r>
          </w:p>
        </w:tc>
        <w:tc>
          <w:tcPr>
            <w:tcW w:w="658" w:type="pct"/>
            <w:vAlign w:val="top"/>
          </w:tcPr>
          <w:p w14:paraId="36F9A7E6">
            <w:pPr>
              <w:pStyle w:val="5"/>
              <w:spacing w:before="115"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投标文件响应</w:t>
            </w:r>
          </w:p>
        </w:tc>
        <w:tc>
          <w:tcPr>
            <w:tcW w:w="531" w:type="pct"/>
            <w:vAlign w:val="top"/>
          </w:tcPr>
          <w:p w14:paraId="3B9A6DD5">
            <w:pPr>
              <w:pStyle w:val="5"/>
              <w:spacing w:before="115"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偏离情况</w:t>
            </w:r>
          </w:p>
        </w:tc>
        <w:tc>
          <w:tcPr>
            <w:tcW w:w="1133" w:type="pct"/>
            <w:vAlign w:val="top"/>
          </w:tcPr>
          <w:p w14:paraId="3100277A">
            <w:pPr>
              <w:pStyle w:val="5"/>
              <w:spacing w:before="114"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9"/>
                <w:sz w:val="21"/>
                <w:szCs w:val="21"/>
                <w:lang w:val="en-US" w:eastAsia="zh-CN"/>
              </w:rPr>
              <w:t>偏离简述</w:t>
            </w:r>
          </w:p>
        </w:tc>
      </w:tr>
      <w:tr w14:paraId="53B5C4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07" w:type="pct"/>
            <w:vAlign w:val="center"/>
          </w:tcPr>
          <w:p w14:paraId="0ED83D6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412" w:type="pct"/>
            <w:vAlign w:val="center"/>
          </w:tcPr>
          <w:p w14:paraId="593380B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交货时间</w:t>
            </w:r>
          </w:p>
        </w:tc>
        <w:tc>
          <w:tcPr>
            <w:tcW w:w="2056" w:type="pct"/>
            <w:vAlign w:val="center"/>
          </w:tcPr>
          <w:p w14:paraId="74289D0A">
            <w:pPr>
              <w:pStyle w:val="8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交货时间为本合同签订后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120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天内到货并安装调试交付使用。</w:t>
            </w:r>
          </w:p>
        </w:tc>
        <w:tc>
          <w:tcPr>
            <w:tcW w:w="658" w:type="pct"/>
            <w:vAlign w:val="top"/>
          </w:tcPr>
          <w:p w14:paraId="66055A2C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1" w:type="pct"/>
            <w:vAlign w:val="top"/>
          </w:tcPr>
          <w:p w14:paraId="466A0F7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正/负/无</w:t>
            </w:r>
          </w:p>
        </w:tc>
        <w:tc>
          <w:tcPr>
            <w:tcW w:w="1133" w:type="pct"/>
            <w:vAlign w:val="top"/>
          </w:tcPr>
          <w:p w14:paraId="32293599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29359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207" w:type="pct"/>
            <w:vAlign w:val="center"/>
          </w:tcPr>
          <w:p w14:paraId="77175514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12" w:type="pct"/>
            <w:vAlign w:val="center"/>
          </w:tcPr>
          <w:p w14:paraId="667500A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交货地点</w:t>
            </w:r>
          </w:p>
        </w:tc>
        <w:tc>
          <w:tcPr>
            <w:tcW w:w="2056" w:type="pct"/>
            <w:vAlign w:val="center"/>
          </w:tcPr>
          <w:p w14:paraId="55462F1B">
            <w:pPr>
              <w:pStyle w:val="8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西安石油大学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指定地</w:t>
            </w:r>
            <w:bookmarkStart w:id="4" w:name="_GoBack"/>
            <w:bookmarkEnd w:id="4"/>
            <w:r>
              <w:rPr>
                <w:rFonts w:hint="eastAsia" w:ascii="宋体" w:hAnsi="宋体" w:eastAsia="宋体" w:cs="宋体"/>
                <w:sz w:val="21"/>
                <w:szCs w:val="21"/>
              </w:rPr>
              <w:t>点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658" w:type="pct"/>
            <w:vAlign w:val="top"/>
          </w:tcPr>
          <w:p w14:paraId="78723571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1" w:type="pct"/>
            <w:vAlign w:val="top"/>
          </w:tcPr>
          <w:p w14:paraId="7B7BB0BA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pct"/>
            <w:vAlign w:val="top"/>
          </w:tcPr>
          <w:p w14:paraId="3B839FED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1355A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07" w:type="pct"/>
            <w:vAlign w:val="center"/>
          </w:tcPr>
          <w:p w14:paraId="6D746B82">
            <w:pPr>
              <w:pStyle w:val="5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before="78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12" w:type="pct"/>
            <w:vAlign w:val="center"/>
          </w:tcPr>
          <w:p w14:paraId="577192F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支付方式及支付约定</w:t>
            </w:r>
          </w:p>
        </w:tc>
        <w:tc>
          <w:tcPr>
            <w:tcW w:w="2056" w:type="pct"/>
            <w:vAlign w:val="center"/>
          </w:tcPr>
          <w:p w14:paraId="54846C3B">
            <w:pPr>
              <w:pStyle w:val="8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合同签订后，供应商开具预付款等额银行保函，采购人收到银行保函正本后10个工作日内支付预付款，最多支付至270万剩余款项待验收合格后，并出具增值税专用发票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达到付款条件之日起10个工作日内，支付合同总金额的100.00%</w:t>
            </w:r>
          </w:p>
        </w:tc>
        <w:tc>
          <w:tcPr>
            <w:tcW w:w="658" w:type="pct"/>
            <w:vAlign w:val="top"/>
          </w:tcPr>
          <w:p w14:paraId="29A6D230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1" w:type="pct"/>
            <w:vAlign w:val="top"/>
          </w:tcPr>
          <w:p w14:paraId="05E73414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pct"/>
            <w:vAlign w:val="top"/>
          </w:tcPr>
          <w:p w14:paraId="0C6F6359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3577D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7" w:hRule="atLeast"/>
        </w:trPr>
        <w:tc>
          <w:tcPr>
            <w:tcW w:w="207" w:type="pct"/>
            <w:vAlign w:val="center"/>
          </w:tcPr>
          <w:p w14:paraId="1CBB3D9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12" w:type="pct"/>
            <w:vAlign w:val="center"/>
          </w:tcPr>
          <w:p w14:paraId="3CAD846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验收标准和方法</w:t>
            </w:r>
          </w:p>
        </w:tc>
        <w:tc>
          <w:tcPr>
            <w:tcW w:w="2056" w:type="pct"/>
            <w:vAlign w:val="center"/>
          </w:tcPr>
          <w:p w14:paraId="1F45ED86">
            <w:pPr>
              <w:pStyle w:val="7"/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auto"/>
              <w:ind w:firstLine="0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（1）验收以最终验收为准；（2）货物安装调试运行正常后，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采购人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按学校相关业务部门规定提交验收申请，学校根据采购单位技术验收结果，组织有关专家进行货物的最终验收</w:t>
            </w:r>
          </w:p>
        </w:tc>
        <w:tc>
          <w:tcPr>
            <w:tcW w:w="658" w:type="pct"/>
            <w:vAlign w:val="top"/>
          </w:tcPr>
          <w:p w14:paraId="05E7BF35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1" w:type="pct"/>
            <w:vAlign w:val="top"/>
          </w:tcPr>
          <w:p w14:paraId="502FBD83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pct"/>
            <w:vAlign w:val="top"/>
          </w:tcPr>
          <w:p w14:paraId="077C4C62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22D69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207" w:type="pct"/>
            <w:vAlign w:val="center"/>
          </w:tcPr>
          <w:p w14:paraId="7759F9F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412" w:type="pct"/>
            <w:vAlign w:val="center"/>
          </w:tcPr>
          <w:p w14:paraId="0F378806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包装方式及运输</w:t>
            </w:r>
          </w:p>
        </w:tc>
        <w:tc>
          <w:tcPr>
            <w:tcW w:w="2056" w:type="pct"/>
            <w:vAlign w:val="center"/>
          </w:tcPr>
          <w:p w14:paraId="2E112CBD">
            <w:pPr>
              <w:pStyle w:val="8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货物的运输方式由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中标供应商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自行选择，但包装必须符合国家标准或行业标准，满足航空、铁路或公路运输以及货物装卸要求，保证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采购人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收到的是无任何损伤的货物。否则，因此造成的损失由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中标供应商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自行承担。涉及的商品包装和快递包装，均应符合《商品包装政府采购需求标准（试行）》《快递包装政府采购需求标准（试行）》的要求，包装应适应于远距离运输、防潮、防震、防锈和防野蛮装卸，以确保货物安全无损运抵指定地点。</w:t>
            </w:r>
          </w:p>
        </w:tc>
        <w:tc>
          <w:tcPr>
            <w:tcW w:w="658" w:type="pct"/>
            <w:vAlign w:val="top"/>
          </w:tcPr>
          <w:p w14:paraId="5BA0ADC8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1" w:type="pct"/>
            <w:vAlign w:val="top"/>
          </w:tcPr>
          <w:p w14:paraId="5114D775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pct"/>
            <w:vAlign w:val="top"/>
          </w:tcPr>
          <w:p w14:paraId="13D6E300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2A338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4" w:hRule="atLeast"/>
        </w:trPr>
        <w:tc>
          <w:tcPr>
            <w:tcW w:w="207" w:type="pct"/>
            <w:vAlign w:val="center"/>
          </w:tcPr>
          <w:p w14:paraId="6E995A4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412" w:type="pct"/>
            <w:vAlign w:val="center"/>
          </w:tcPr>
          <w:p w14:paraId="2F013D6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质量保修范围和保修期</w:t>
            </w:r>
          </w:p>
        </w:tc>
        <w:tc>
          <w:tcPr>
            <w:tcW w:w="2056" w:type="pct"/>
            <w:vAlign w:val="center"/>
          </w:tcPr>
          <w:p w14:paraId="4644824B">
            <w:pPr>
              <w:pStyle w:val="8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保修期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：自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采购人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验收合格之日起三年。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中标供应商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提供三年的免费保修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保修期间维修、零件更换费用以及由此所产生的其它一切费用均由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中标供应商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承担。</w:t>
            </w:r>
          </w:p>
        </w:tc>
        <w:tc>
          <w:tcPr>
            <w:tcW w:w="658" w:type="pct"/>
            <w:vAlign w:val="top"/>
          </w:tcPr>
          <w:p w14:paraId="76133730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1" w:type="pct"/>
            <w:vAlign w:val="top"/>
          </w:tcPr>
          <w:p w14:paraId="579D665C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pct"/>
            <w:vAlign w:val="top"/>
          </w:tcPr>
          <w:p w14:paraId="0B82BCE4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0E996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207" w:type="pct"/>
            <w:vAlign w:val="center"/>
          </w:tcPr>
          <w:p w14:paraId="3D12161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412" w:type="pct"/>
            <w:vAlign w:val="center"/>
          </w:tcPr>
          <w:p w14:paraId="268E282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违约责任与解决争议的方法</w:t>
            </w:r>
          </w:p>
        </w:tc>
        <w:tc>
          <w:tcPr>
            <w:tcW w:w="2056" w:type="pct"/>
            <w:vAlign w:val="center"/>
          </w:tcPr>
          <w:p w14:paraId="2F93A7BF">
            <w:pPr>
              <w:pStyle w:val="8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违约责任：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中标供应商所交付货物不符合其投标承诺，存在偷工减料、以次充好情形的，采购人要求更换一次后仍不符合约定的，采购人有权解除采购合同，没收履约保证金，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中标供应商退还预付款，并将有关情况上报政府采购监管部门处理。</w:t>
            </w:r>
          </w:p>
          <w:p w14:paraId="31578A5F">
            <w:pPr>
              <w:pStyle w:val="8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解决争议的方法：双方友好协商解决，协商未果由西安市仲裁委员会仲裁。</w:t>
            </w:r>
          </w:p>
          <w:p w14:paraId="458B0CF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其他详见合同文本</w:t>
            </w:r>
          </w:p>
        </w:tc>
        <w:tc>
          <w:tcPr>
            <w:tcW w:w="658" w:type="pct"/>
            <w:vAlign w:val="top"/>
          </w:tcPr>
          <w:p w14:paraId="67D512C5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1" w:type="pct"/>
            <w:vAlign w:val="top"/>
          </w:tcPr>
          <w:p w14:paraId="320D94D2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pct"/>
            <w:vAlign w:val="top"/>
          </w:tcPr>
          <w:p w14:paraId="557886DB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29E50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207" w:type="pct"/>
            <w:vAlign w:val="center"/>
          </w:tcPr>
          <w:p w14:paraId="59BABC2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412" w:type="pct"/>
            <w:vAlign w:val="center"/>
          </w:tcPr>
          <w:p w14:paraId="6B3F695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其他要求</w:t>
            </w:r>
          </w:p>
        </w:tc>
        <w:tc>
          <w:tcPr>
            <w:tcW w:w="2056" w:type="pct"/>
            <w:vAlign w:val="center"/>
          </w:tcPr>
          <w:p w14:paraId="1E5B303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详见招标文件第三章3.5其他要求</w:t>
            </w:r>
          </w:p>
        </w:tc>
        <w:tc>
          <w:tcPr>
            <w:tcW w:w="658" w:type="pct"/>
            <w:vAlign w:val="top"/>
          </w:tcPr>
          <w:p w14:paraId="3A20E6F6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1" w:type="pct"/>
            <w:vAlign w:val="top"/>
          </w:tcPr>
          <w:p w14:paraId="1F3106BC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pct"/>
            <w:vAlign w:val="top"/>
          </w:tcPr>
          <w:p w14:paraId="03B676CE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F6CDB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207" w:type="pct"/>
            <w:vAlign w:val="center"/>
          </w:tcPr>
          <w:p w14:paraId="3E3ADD26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412" w:type="pct"/>
            <w:vAlign w:val="center"/>
          </w:tcPr>
          <w:p w14:paraId="1C41367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权利义务</w:t>
            </w:r>
          </w:p>
        </w:tc>
        <w:tc>
          <w:tcPr>
            <w:tcW w:w="2056" w:type="pct"/>
            <w:vAlign w:val="center"/>
          </w:tcPr>
          <w:p w14:paraId="5E9CE556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详见合同文本</w:t>
            </w:r>
          </w:p>
        </w:tc>
        <w:tc>
          <w:tcPr>
            <w:tcW w:w="658" w:type="pct"/>
            <w:vAlign w:val="top"/>
          </w:tcPr>
          <w:p w14:paraId="2901C4FA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1" w:type="pct"/>
            <w:vAlign w:val="top"/>
          </w:tcPr>
          <w:p w14:paraId="7DF40E31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pct"/>
            <w:vAlign w:val="top"/>
          </w:tcPr>
          <w:p w14:paraId="344EE8BC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CE646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207" w:type="pct"/>
            <w:vAlign w:val="center"/>
          </w:tcPr>
          <w:p w14:paraId="2DF00B5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412" w:type="pct"/>
            <w:vAlign w:val="center"/>
          </w:tcPr>
          <w:p w14:paraId="0E9977C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其他合同要求</w:t>
            </w:r>
          </w:p>
        </w:tc>
        <w:tc>
          <w:tcPr>
            <w:tcW w:w="2056" w:type="pct"/>
            <w:vAlign w:val="center"/>
          </w:tcPr>
          <w:p w14:paraId="0EA5228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详见合同文本</w:t>
            </w:r>
          </w:p>
        </w:tc>
        <w:tc>
          <w:tcPr>
            <w:tcW w:w="658" w:type="pct"/>
            <w:vAlign w:val="top"/>
          </w:tcPr>
          <w:p w14:paraId="255A6B76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1" w:type="pct"/>
            <w:vAlign w:val="top"/>
          </w:tcPr>
          <w:p w14:paraId="4621E863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pct"/>
            <w:vAlign w:val="top"/>
          </w:tcPr>
          <w:p w14:paraId="00101B96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8B20D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207" w:type="pct"/>
            <w:vAlign w:val="center"/>
          </w:tcPr>
          <w:p w14:paraId="6F88943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412" w:type="pct"/>
            <w:vAlign w:val="center"/>
          </w:tcPr>
          <w:p w14:paraId="423C4951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2056" w:type="pct"/>
            <w:vAlign w:val="top"/>
          </w:tcPr>
          <w:p w14:paraId="30D2CD1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58" w:type="pct"/>
            <w:vAlign w:val="top"/>
          </w:tcPr>
          <w:p w14:paraId="641A2C2E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1" w:type="pct"/>
            <w:vAlign w:val="top"/>
          </w:tcPr>
          <w:p w14:paraId="5304E564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pct"/>
            <w:vAlign w:val="top"/>
          </w:tcPr>
          <w:p w14:paraId="03856BF4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18F1A1E2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3A3719A8">
      <w:pPr>
        <w:pStyle w:val="2"/>
        <w:tabs>
          <w:tab w:val="left" w:pos="2520"/>
        </w:tabs>
        <w:spacing w:before="79" w:line="360" w:lineRule="auto"/>
        <w:ind w:left="2594" w:leftChars="0" w:firstLine="5185" w:firstLineChars="254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8"/>
          <w:sz w:val="24"/>
          <w:szCs w:val="24"/>
        </w:rPr>
        <w:t>供应商（盖章</w:t>
      </w:r>
      <w:r>
        <w:rPr>
          <w:rFonts w:hint="eastAsia" w:ascii="宋体" w:hAnsi="宋体" w:eastAsia="宋体" w:cs="宋体"/>
          <w:spacing w:val="-34"/>
          <w:sz w:val="24"/>
          <w:szCs w:val="24"/>
        </w:rPr>
        <w:t>）：</w:t>
      </w:r>
      <w:r>
        <w:rPr>
          <w:rFonts w:hint="eastAsia" w:ascii="宋体" w:hAnsi="宋体" w:eastAsia="宋体" w:cs="宋体"/>
          <w:spacing w:val="-72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                              </w:t>
      </w:r>
    </w:p>
    <w:p w14:paraId="30E08590">
      <w:pPr>
        <w:pStyle w:val="2"/>
        <w:tabs>
          <w:tab w:val="left" w:pos="2520"/>
        </w:tabs>
        <w:spacing w:before="78" w:line="360" w:lineRule="auto"/>
        <w:ind w:left="2643" w:leftChars="0" w:firstLine="5115" w:firstLineChars="2610"/>
        <w:rPr>
          <w:rFonts w:hint="eastAsia" w:ascii="宋体" w:hAnsi="宋体" w:eastAsia="宋体" w:cs="宋体"/>
          <w:spacing w:val="-1"/>
          <w:sz w:val="24"/>
          <w:szCs w:val="24"/>
        </w:rPr>
      </w:pPr>
      <w:r>
        <w:rPr>
          <w:rFonts w:hint="eastAsia" w:ascii="宋体" w:hAnsi="宋体" w:eastAsia="宋体" w:cs="宋体"/>
          <w:spacing w:val="-22"/>
          <w:sz w:val="24"/>
          <w:szCs w:val="24"/>
        </w:rPr>
        <w:t xml:space="preserve">日      </w:t>
      </w:r>
      <w:r>
        <w:rPr>
          <w:rFonts w:hint="eastAsia" w:ascii="宋体" w:hAnsi="宋体" w:eastAsia="宋体" w:cs="宋体"/>
          <w:spacing w:val="-22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-22"/>
          <w:sz w:val="24"/>
          <w:szCs w:val="24"/>
        </w:rPr>
        <w:t xml:space="preserve">   期：</w:t>
      </w:r>
      <w:r>
        <w:rPr>
          <w:rFonts w:hint="eastAsia" w:ascii="宋体" w:hAnsi="宋体" w:eastAsia="宋体" w:cs="宋体"/>
          <w:spacing w:val="-73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                              </w:t>
      </w:r>
    </w:p>
    <w:p w14:paraId="6017BDF5">
      <w:pPr>
        <w:spacing w:line="360" w:lineRule="auto"/>
        <w:rPr>
          <w:rFonts w:hint="eastAsia" w:ascii="宋体" w:hAnsi="宋体" w:eastAsia="宋体" w:cs="宋体"/>
          <w:spacing w:val="-1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注：</w:t>
      </w:r>
    </w:p>
    <w:p w14:paraId="04CFF5DC">
      <w:pPr>
        <w:spacing w:line="360" w:lineRule="auto"/>
        <w:rPr>
          <w:rFonts w:hint="eastAsia" w:ascii="宋体" w:hAnsi="宋体" w:eastAsia="宋体" w:cs="宋体"/>
          <w:spacing w:val="-1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1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供应商根据本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文件的供应商须知</w:t>
      </w: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第三章商务要求、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合同条款填写本表</w:t>
      </w: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需响应内容若为“</w:t>
      </w:r>
      <w:r>
        <w:rPr>
          <w:rFonts w:hint="eastAsia" w:ascii="宋体" w:hAnsi="宋体" w:eastAsia="宋体" w:cs="宋体"/>
          <w:b/>
          <w:bCs/>
          <w:spacing w:val="-10"/>
          <w:lang w:val="en-US" w:eastAsia="zh-CN"/>
        </w:rPr>
        <w:t>★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”，则该内容不允许偏离，否则投标无效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；</w:t>
      </w:r>
    </w:p>
    <w:p w14:paraId="296F68A7">
      <w:pPr>
        <w:spacing w:line="360" w:lineRule="auto"/>
        <w:rPr>
          <w:rFonts w:hint="eastAsia" w:ascii="宋体" w:hAnsi="宋体" w:eastAsia="宋体" w:cs="宋体"/>
          <w:spacing w:val="-1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2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对完全响应的条目在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本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表相应列中标注“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无偏离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”。对有偏离的条目在本表相应列中标注“正偏离”或“负偏离”。</w:t>
      </w:r>
    </w:p>
    <w:p w14:paraId="1A656880">
      <w:pPr>
        <w:spacing w:line="360" w:lineRule="auto"/>
        <w:rPr>
          <w:rFonts w:hint="eastAsia" w:ascii="宋体" w:hAnsi="宋体" w:eastAsia="宋体" w:cs="宋体"/>
          <w:spacing w:val="-1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3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正偏离是指应答的条件高于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文件要求，负偏离是指应答的条件低于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文件要求，正偏离项目不作扣分处理。</w:t>
      </w:r>
    </w:p>
    <w:p w14:paraId="611D81BB">
      <w:pPr>
        <w:spacing w:line="360" w:lineRule="auto"/>
        <w:rPr>
          <w:rFonts w:hint="eastAsia" w:ascii="宋体" w:hAnsi="宋体" w:eastAsia="宋体" w:cs="宋体"/>
          <w:spacing w:val="-1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4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供应商须完整填写响应表。如果未完整填写本表的各项内容则视作供应商已经对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文件相关要求和内容完全理解并同意，其报价为在此基础上的完全价格。</w:t>
      </w:r>
    </w:p>
    <w:p w14:paraId="7437FC04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5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在采购人与</w:t>
      </w: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中标供应商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签订合同时，如</w:t>
      </w: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中标供应商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未在响应文件“响应表”中列出偏离说明，无论已发生或即将发生任何情形，均视为完全符合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文件要求，并写入合同。若</w:t>
      </w: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中标供应商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在合同签订前，以上述事项为借口而不履行合同签订手续及执行合同，则视作拒绝与采购人签订合同。</w:t>
      </w:r>
    </w:p>
    <w:p w14:paraId="3E2E1A26">
      <w:pPr>
        <w:rPr>
          <w:rFonts w:hint="eastAsia" w:ascii="宋体" w:hAnsi="宋体" w:eastAsia="宋体" w:cs="宋体"/>
          <w:sz w:val="24"/>
          <w:szCs w:val="24"/>
          <w:u w:val="single" w:color="auto"/>
        </w:rPr>
      </w:pPr>
      <w:r>
        <w:rPr>
          <w:rFonts w:hint="eastAsia" w:ascii="宋体" w:hAnsi="宋体" w:eastAsia="宋体" w:cs="宋体"/>
          <w:sz w:val="24"/>
          <w:szCs w:val="24"/>
          <w:u w:val="single" w:color="auto"/>
        </w:rPr>
        <w:br w:type="page"/>
      </w:r>
    </w:p>
    <w:p w14:paraId="195C0ECA">
      <w:pPr>
        <w:adjustRightInd w:val="0"/>
        <w:spacing w:line="360" w:lineRule="atLeast"/>
        <w:jc w:val="center"/>
        <w:textAlignment w:val="baseline"/>
        <w:rPr>
          <w:rFonts w:hint="eastAsia" w:ascii="宋体" w:hAnsi="宋体" w:eastAsia="宋体" w:cs="宋体"/>
          <w:b/>
          <w:bCs w:val="0"/>
          <w:sz w:val="28"/>
          <w:szCs w:val="28"/>
        </w:rPr>
      </w:pPr>
      <w:bookmarkStart w:id="0" w:name="_Toc414445775"/>
      <w:bookmarkStart w:id="1" w:name="_Toc410631184"/>
      <w:bookmarkStart w:id="2" w:name="_Toc416103825"/>
      <w:bookmarkStart w:id="3" w:name="_Toc25310"/>
      <w:r>
        <w:rPr>
          <w:rFonts w:hint="eastAsia" w:ascii="宋体" w:hAnsi="宋体" w:eastAsia="宋体" w:cs="宋体"/>
          <w:b/>
          <w:bCs w:val="0"/>
          <w:sz w:val="28"/>
          <w:szCs w:val="28"/>
        </w:rPr>
        <w:t>技术偏离表</w:t>
      </w:r>
      <w:bookmarkEnd w:id="0"/>
      <w:bookmarkEnd w:id="1"/>
      <w:bookmarkEnd w:id="2"/>
      <w:bookmarkEnd w:id="3"/>
    </w:p>
    <w:p w14:paraId="140FDC1D">
      <w:pPr>
        <w:adjustRightInd w:val="0"/>
        <w:spacing w:line="360" w:lineRule="atLeast"/>
        <w:jc w:val="center"/>
        <w:textAlignment w:val="baseline"/>
        <w:rPr>
          <w:rFonts w:hint="eastAsia" w:ascii="宋体" w:hAnsi="宋体" w:eastAsia="宋体" w:cs="宋体"/>
          <w:b/>
          <w:bCs w:val="0"/>
          <w:sz w:val="28"/>
          <w:szCs w:val="28"/>
        </w:rPr>
      </w:pPr>
    </w:p>
    <w:tbl>
      <w:tblPr>
        <w:tblStyle w:val="3"/>
        <w:tblpPr w:leftFromText="180" w:rightFromText="180" w:vertAnchor="text" w:horzAnchor="page" w:tblpX="1108" w:tblpY="261"/>
        <w:tblOverlap w:val="never"/>
        <w:tblW w:w="4994" w:type="pct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9"/>
        <w:gridCol w:w="2331"/>
        <w:gridCol w:w="2575"/>
        <w:gridCol w:w="2608"/>
        <w:gridCol w:w="2001"/>
        <w:gridCol w:w="1712"/>
        <w:gridCol w:w="2420"/>
      </w:tblGrid>
      <w:tr w14:paraId="0C2B10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413" w:type="pct"/>
            <w:vAlign w:val="center"/>
          </w:tcPr>
          <w:p w14:paraId="724B71CD">
            <w:pPr>
              <w:pStyle w:val="5"/>
              <w:spacing w:before="114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783" w:type="pct"/>
            <w:vAlign w:val="center"/>
          </w:tcPr>
          <w:p w14:paraId="7777206D">
            <w:pPr>
              <w:pStyle w:val="5"/>
              <w:spacing w:before="114" w:line="360" w:lineRule="auto"/>
              <w:jc w:val="center"/>
              <w:rPr>
                <w:rFonts w:hint="eastAsia" w:ascii="宋体" w:hAnsi="宋体" w:eastAsia="宋体" w:cs="宋体"/>
                <w:spacing w:val="-9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  <w:lang w:val="en-US" w:eastAsia="zh-CN"/>
              </w:rPr>
              <w:t>条目</w:t>
            </w:r>
          </w:p>
        </w:tc>
        <w:tc>
          <w:tcPr>
            <w:tcW w:w="865" w:type="pct"/>
            <w:vAlign w:val="center"/>
          </w:tcPr>
          <w:p w14:paraId="257C09C0">
            <w:pPr>
              <w:pStyle w:val="5"/>
              <w:spacing w:before="114" w:line="360" w:lineRule="auto"/>
              <w:jc w:val="center"/>
              <w:rPr>
                <w:rFonts w:hint="eastAsia" w:ascii="宋体" w:hAnsi="宋体" w:eastAsia="宋体" w:cs="宋体"/>
                <w:spacing w:val="-9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  <w:lang w:val="en-US" w:eastAsia="zh-CN"/>
              </w:rPr>
              <w:t>招标文件要求</w:t>
            </w:r>
          </w:p>
        </w:tc>
        <w:tc>
          <w:tcPr>
            <w:tcW w:w="876" w:type="pct"/>
            <w:vAlign w:val="center"/>
          </w:tcPr>
          <w:p w14:paraId="0DEEB17C">
            <w:pPr>
              <w:pStyle w:val="5"/>
              <w:spacing w:before="115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投标文件响应</w:t>
            </w:r>
          </w:p>
        </w:tc>
        <w:tc>
          <w:tcPr>
            <w:tcW w:w="672" w:type="pct"/>
            <w:vAlign w:val="center"/>
          </w:tcPr>
          <w:p w14:paraId="377950A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3"/>
                <w:kern w:val="0"/>
                <w:sz w:val="24"/>
                <w:szCs w:val="24"/>
                <w:lang w:val="en-US" w:eastAsia="zh-CN" w:bidi="ar"/>
              </w:rPr>
              <w:t>偏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3"/>
                <w:kern w:val="0"/>
                <w:sz w:val="24"/>
                <w:szCs w:val="24"/>
                <w:lang w:val="en-US" w:eastAsia="zh-CN" w:bidi="ar-SA"/>
              </w:rPr>
              <w:t>离情况</w:t>
            </w:r>
          </w:p>
        </w:tc>
        <w:tc>
          <w:tcPr>
            <w:tcW w:w="575" w:type="pct"/>
            <w:vAlign w:val="center"/>
          </w:tcPr>
          <w:p w14:paraId="1C3AC5F3">
            <w:pPr>
              <w:pStyle w:val="5"/>
              <w:spacing w:before="115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偏离</w:t>
            </w: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  <w:lang w:val="en-US" w:eastAsia="zh-CN"/>
              </w:rPr>
              <w:t>简述</w:t>
            </w:r>
          </w:p>
        </w:tc>
        <w:tc>
          <w:tcPr>
            <w:tcW w:w="813" w:type="pct"/>
            <w:vAlign w:val="center"/>
          </w:tcPr>
          <w:p w14:paraId="22E53C9F">
            <w:pPr>
              <w:pStyle w:val="5"/>
              <w:spacing w:before="115" w:line="360" w:lineRule="auto"/>
              <w:jc w:val="center"/>
              <w:rPr>
                <w:rFonts w:hint="eastAsia" w:ascii="宋体" w:hAnsi="宋体" w:eastAsia="宋体" w:cs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  <w:lang w:val="en-US" w:eastAsia="zh-CN"/>
              </w:rPr>
              <w:t>支撑材料对应页码</w:t>
            </w:r>
          </w:p>
        </w:tc>
      </w:tr>
      <w:tr w14:paraId="1319E2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413" w:type="pct"/>
            <w:vAlign w:val="center"/>
          </w:tcPr>
          <w:p w14:paraId="50172918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1</w:t>
            </w:r>
          </w:p>
        </w:tc>
        <w:tc>
          <w:tcPr>
            <w:tcW w:w="783" w:type="pct"/>
            <w:vAlign w:val="center"/>
          </w:tcPr>
          <w:p w14:paraId="01A14ED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材料要求</w:t>
            </w:r>
          </w:p>
        </w:tc>
        <w:tc>
          <w:tcPr>
            <w:tcW w:w="865" w:type="pct"/>
            <w:vAlign w:val="center"/>
          </w:tcPr>
          <w:p w14:paraId="056C3E8A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pct"/>
            <w:vAlign w:val="center"/>
          </w:tcPr>
          <w:p w14:paraId="7C2E5237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2" w:type="pct"/>
            <w:vAlign w:val="center"/>
          </w:tcPr>
          <w:p w14:paraId="5309AD7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3"/>
                <w:kern w:val="0"/>
                <w:sz w:val="24"/>
                <w:szCs w:val="24"/>
                <w:lang w:val="en-US" w:eastAsia="zh-CN" w:bidi="ar"/>
              </w:rPr>
              <w:t>正/负/无</w:t>
            </w:r>
          </w:p>
        </w:tc>
        <w:tc>
          <w:tcPr>
            <w:tcW w:w="575" w:type="pct"/>
          </w:tcPr>
          <w:p w14:paraId="269FF9D6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3" w:type="pct"/>
          </w:tcPr>
          <w:p w14:paraId="7819A418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479E1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413" w:type="pct"/>
            <w:vAlign w:val="center"/>
          </w:tcPr>
          <w:p w14:paraId="1DE2351E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2</w:t>
            </w:r>
          </w:p>
        </w:tc>
        <w:tc>
          <w:tcPr>
            <w:tcW w:w="783" w:type="pct"/>
            <w:vAlign w:val="center"/>
          </w:tcPr>
          <w:p w14:paraId="0DECD10E">
            <w:pPr>
              <w:keepNext w:val="0"/>
              <w:keepLines w:val="0"/>
              <w:pageBreakBefore w:val="0"/>
              <w:tabs>
                <w:tab w:val="left" w:pos="0"/>
              </w:tabs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控制系统</w:t>
            </w:r>
          </w:p>
        </w:tc>
        <w:tc>
          <w:tcPr>
            <w:tcW w:w="865" w:type="pct"/>
          </w:tcPr>
          <w:p w14:paraId="7E82587C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pct"/>
          </w:tcPr>
          <w:p w14:paraId="77262F20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2" w:type="pct"/>
          </w:tcPr>
          <w:p w14:paraId="00F8AF24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5" w:type="pct"/>
          </w:tcPr>
          <w:p w14:paraId="70FBADA2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3" w:type="pct"/>
          </w:tcPr>
          <w:p w14:paraId="72FA3050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8BAA9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413" w:type="pct"/>
            <w:vAlign w:val="center"/>
          </w:tcPr>
          <w:p w14:paraId="34F46EFF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3</w:t>
            </w:r>
          </w:p>
        </w:tc>
        <w:tc>
          <w:tcPr>
            <w:tcW w:w="783" w:type="pct"/>
            <w:vAlign w:val="center"/>
          </w:tcPr>
          <w:p w14:paraId="2C1A9413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裂缝模块一</w:t>
            </w:r>
          </w:p>
        </w:tc>
        <w:tc>
          <w:tcPr>
            <w:tcW w:w="865" w:type="pct"/>
          </w:tcPr>
          <w:p w14:paraId="09419C90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pct"/>
          </w:tcPr>
          <w:p w14:paraId="106AB445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2" w:type="pct"/>
          </w:tcPr>
          <w:p w14:paraId="12771F0E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5" w:type="pct"/>
          </w:tcPr>
          <w:p w14:paraId="6E0B76A7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3" w:type="pct"/>
          </w:tcPr>
          <w:p w14:paraId="467C67B2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CD47A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413" w:type="pct"/>
            <w:vAlign w:val="center"/>
          </w:tcPr>
          <w:p w14:paraId="0D1B52B2">
            <w:pPr>
              <w:keepLines/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4</w:t>
            </w:r>
          </w:p>
        </w:tc>
        <w:tc>
          <w:tcPr>
            <w:tcW w:w="783" w:type="pct"/>
            <w:vAlign w:val="center"/>
          </w:tcPr>
          <w:p w14:paraId="71F8876A">
            <w:pPr>
              <w:keepNext w:val="0"/>
              <w:keepLines w:val="0"/>
              <w:pageBreakBefore w:val="0"/>
              <w:tabs>
                <w:tab w:val="left" w:pos="0"/>
                <w:tab w:val="center" w:pos="4153"/>
                <w:tab w:val="right" w:pos="8306"/>
              </w:tabs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裂缝模块二</w:t>
            </w:r>
          </w:p>
        </w:tc>
        <w:tc>
          <w:tcPr>
            <w:tcW w:w="865" w:type="pct"/>
          </w:tcPr>
          <w:p w14:paraId="6F3F8913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pct"/>
          </w:tcPr>
          <w:p w14:paraId="517A5B3A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2" w:type="pct"/>
          </w:tcPr>
          <w:p w14:paraId="065D0C29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5" w:type="pct"/>
          </w:tcPr>
          <w:p w14:paraId="7D77961A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3" w:type="pct"/>
          </w:tcPr>
          <w:p w14:paraId="3E35EBB1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DE1DA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413" w:type="pct"/>
            <w:vAlign w:val="center"/>
          </w:tcPr>
          <w:p w14:paraId="122E200C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5</w:t>
            </w:r>
          </w:p>
        </w:tc>
        <w:tc>
          <w:tcPr>
            <w:tcW w:w="783" w:type="pct"/>
            <w:vAlign w:val="center"/>
          </w:tcPr>
          <w:p w14:paraId="2283D9DD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裂缝模块三</w:t>
            </w:r>
          </w:p>
        </w:tc>
        <w:tc>
          <w:tcPr>
            <w:tcW w:w="865" w:type="pct"/>
          </w:tcPr>
          <w:p w14:paraId="31D5B725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pct"/>
          </w:tcPr>
          <w:p w14:paraId="704104A2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2" w:type="pct"/>
          </w:tcPr>
          <w:p w14:paraId="576B802F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5" w:type="pct"/>
          </w:tcPr>
          <w:p w14:paraId="4617954C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3" w:type="pct"/>
          </w:tcPr>
          <w:p w14:paraId="5B36E981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9A8D2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413" w:type="pct"/>
            <w:vAlign w:val="center"/>
          </w:tcPr>
          <w:p w14:paraId="42B4EDA3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6</w:t>
            </w:r>
          </w:p>
        </w:tc>
        <w:tc>
          <w:tcPr>
            <w:tcW w:w="783" w:type="pct"/>
            <w:vAlign w:val="center"/>
          </w:tcPr>
          <w:p w14:paraId="4AF4EE9B">
            <w:pPr>
              <w:keepNext w:val="0"/>
              <w:keepLines w:val="0"/>
              <w:pageBreakBefore w:val="0"/>
              <w:tabs>
                <w:tab w:val="left" w:pos="0"/>
                <w:tab w:val="center" w:pos="4153"/>
                <w:tab w:val="right" w:pos="8306"/>
              </w:tabs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所有裂缝拼接</w:t>
            </w:r>
          </w:p>
        </w:tc>
        <w:tc>
          <w:tcPr>
            <w:tcW w:w="865" w:type="pct"/>
          </w:tcPr>
          <w:p w14:paraId="4731A727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pct"/>
          </w:tcPr>
          <w:p w14:paraId="0E82A177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2" w:type="pct"/>
          </w:tcPr>
          <w:p w14:paraId="5C703FD4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5" w:type="pct"/>
          </w:tcPr>
          <w:p w14:paraId="224AC43A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3" w:type="pct"/>
          </w:tcPr>
          <w:p w14:paraId="75E345A5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B78D8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413" w:type="pct"/>
            <w:vAlign w:val="center"/>
          </w:tcPr>
          <w:p w14:paraId="210C6463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7</w:t>
            </w:r>
          </w:p>
        </w:tc>
        <w:tc>
          <w:tcPr>
            <w:tcW w:w="783" w:type="pct"/>
            <w:vAlign w:val="center"/>
          </w:tcPr>
          <w:p w14:paraId="69A590B2">
            <w:pPr>
              <w:keepNext w:val="0"/>
              <w:keepLines w:val="0"/>
              <w:pageBreakBefore w:val="0"/>
              <w:tabs>
                <w:tab w:val="left" w:pos="0"/>
              </w:tabs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裂缝口注入部件</w:t>
            </w:r>
          </w:p>
        </w:tc>
        <w:tc>
          <w:tcPr>
            <w:tcW w:w="865" w:type="pct"/>
          </w:tcPr>
          <w:p w14:paraId="769393D2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pct"/>
          </w:tcPr>
          <w:p w14:paraId="31E97DF8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2" w:type="pct"/>
          </w:tcPr>
          <w:p w14:paraId="314C1332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5" w:type="pct"/>
          </w:tcPr>
          <w:p w14:paraId="40C2358E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3" w:type="pct"/>
          </w:tcPr>
          <w:p w14:paraId="6E2E9EAB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D1588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413" w:type="pct"/>
            <w:vAlign w:val="center"/>
          </w:tcPr>
          <w:p w14:paraId="16D3D5AD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8</w:t>
            </w:r>
          </w:p>
        </w:tc>
        <w:tc>
          <w:tcPr>
            <w:tcW w:w="783" w:type="pct"/>
            <w:vAlign w:val="center"/>
          </w:tcPr>
          <w:p w14:paraId="3A156686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裂缝壁面粗糙度</w:t>
            </w:r>
          </w:p>
        </w:tc>
        <w:tc>
          <w:tcPr>
            <w:tcW w:w="865" w:type="pct"/>
          </w:tcPr>
          <w:p w14:paraId="1D669D0F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pct"/>
          </w:tcPr>
          <w:p w14:paraId="504D1CB3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2" w:type="pct"/>
          </w:tcPr>
          <w:p w14:paraId="64587597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5" w:type="pct"/>
          </w:tcPr>
          <w:p w14:paraId="552AA9E7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3" w:type="pct"/>
          </w:tcPr>
          <w:p w14:paraId="43077219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2FD8A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413" w:type="pct"/>
            <w:vAlign w:val="center"/>
          </w:tcPr>
          <w:p w14:paraId="3D88E76F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9</w:t>
            </w:r>
          </w:p>
        </w:tc>
        <w:tc>
          <w:tcPr>
            <w:tcW w:w="783" w:type="pct"/>
            <w:vAlign w:val="center"/>
          </w:tcPr>
          <w:p w14:paraId="0F00AA5C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支撑剂静态沉降实验装置</w:t>
            </w:r>
          </w:p>
        </w:tc>
        <w:tc>
          <w:tcPr>
            <w:tcW w:w="865" w:type="pct"/>
          </w:tcPr>
          <w:p w14:paraId="254EC649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pct"/>
          </w:tcPr>
          <w:p w14:paraId="45A91CC2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2" w:type="pct"/>
          </w:tcPr>
          <w:p w14:paraId="0E52A415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5" w:type="pct"/>
          </w:tcPr>
          <w:p w14:paraId="2904AD94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3" w:type="pct"/>
          </w:tcPr>
          <w:p w14:paraId="26D63A63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3AA99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413" w:type="pct"/>
            <w:vAlign w:val="center"/>
          </w:tcPr>
          <w:p w14:paraId="4986DB1D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0</w:t>
            </w:r>
          </w:p>
        </w:tc>
        <w:tc>
          <w:tcPr>
            <w:tcW w:w="783" w:type="pct"/>
            <w:vAlign w:val="center"/>
          </w:tcPr>
          <w:p w14:paraId="694859D8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混砂泵注装置</w:t>
            </w:r>
          </w:p>
        </w:tc>
        <w:tc>
          <w:tcPr>
            <w:tcW w:w="865" w:type="pct"/>
          </w:tcPr>
          <w:p w14:paraId="2DDDCF54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pct"/>
          </w:tcPr>
          <w:p w14:paraId="514D2267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2" w:type="pct"/>
          </w:tcPr>
          <w:p w14:paraId="0D9E160F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5" w:type="pct"/>
          </w:tcPr>
          <w:p w14:paraId="6AC520C6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3" w:type="pct"/>
          </w:tcPr>
          <w:p w14:paraId="05B26925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0F520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413" w:type="pct"/>
            <w:vAlign w:val="center"/>
          </w:tcPr>
          <w:p w14:paraId="4E68AF32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1</w:t>
            </w:r>
          </w:p>
        </w:tc>
        <w:tc>
          <w:tcPr>
            <w:tcW w:w="783" w:type="pct"/>
            <w:vAlign w:val="center"/>
          </w:tcPr>
          <w:p w14:paraId="2B7FF8A0">
            <w:pPr>
              <w:keepNext w:val="0"/>
              <w:keepLines w:val="0"/>
              <w:pageBreakBefore w:val="0"/>
              <w:tabs>
                <w:tab w:val="left" w:pos="0"/>
              </w:tabs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CO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vertAlign w:val="subscript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/N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vertAlign w:val="subscript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泡沫生成、泡沫携砂注入模块</w:t>
            </w:r>
          </w:p>
        </w:tc>
        <w:tc>
          <w:tcPr>
            <w:tcW w:w="865" w:type="pct"/>
          </w:tcPr>
          <w:p w14:paraId="07DEC44F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pct"/>
          </w:tcPr>
          <w:p w14:paraId="0A55C158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2" w:type="pct"/>
          </w:tcPr>
          <w:p w14:paraId="6B5E9CD8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5" w:type="pct"/>
          </w:tcPr>
          <w:p w14:paraId="00BF69C5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3" w:type="pct"/>
          </w:tcPr>
          <w:p w14:paraId="2FAE783B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CA634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413" w:type="pct"/>
            <w:vAlign w:val="center"/>
          </w:tcPr>
          <w:p w14:paraId="5E92DA24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2</w:t>
            </w:r>
          </w:p>
        </w:tc>
        <w:tc>
          <w:tcPr>
            <w:tcW w:w="783" w:type="pct"/>
            <w:vAlign w:val="center"/>
          </w:tcPr>
          <w:p w14:paraId="0FF47C88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高温高压可视泡沫评价模块</w:t>
            </w:r>
          </w:p>
        </w:tc>
        <w:tc>
          <w:tcPr>
            <w:tcW w:w="865" w:type="pct"/>
          </w:tcPr>
          <w:p w14:paraId="53207435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pct"/>
          </w:tcPr>
          <w:p w14:paraId="2B572B5C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2" w:type="pct"/>
          </w:tcPr>
          <w:p w14:paraId="3B102C51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5" w:type="pct"/>
          </w:tcPr>
          <w:p w14:paraId="6BE48FA7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3" w:type="pct"/>
          </w:tcPr>
          <w:p w14:paraId="2E4CC77F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FA226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413" w:type="pct"/>
            <w:vAlign w:val="center"/>
          </w:tcPr>
          <w:p w14:paraId="65F5DAA0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3</w:t>
            </w:r>
          </w:p>
        </w:tc>
        <w:tc>
          <w:tcPr>
            <w:tcW w:w="783" w:type="pct"/>
            <w:vAlign w:val="center"/>
          </w:tcPr>
          <w:p w14:paraId="66216A1C">
            <w:pPr>
              <w:keepNext w:val="0"/>
              <w:keepLines w:val="0"/>
              <w:pageBreakBefore w:val="0"/>
              <w:tabs>
                <w:tab w:val="left" w:pos="0"/>
                <w:tab w:val="center" w:pos="4153"/>
                <w:tab w:val="right" w:pos="8306"/>
              </w:tabs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沉降分离系统</w:t>
            </w:r>
          </w:p>
        </w:tc>
        <w:tc>
          <w:tcPr>
            <w:tcW w:w="865" w:type="pct"/>
          </w:tcPr>
          <w:p w14:paraId="00A143B2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pct"/>
          </w:tcPr>
          <w:p w14:paraId="4366303F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2" w:type="pct"/>
          </w:tcPr>
          <w:p w14:paraId="5B4E9F23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5" w:type="pct"/>
          </w:tcPr>
          <w:p w14:paraId="2653E78B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3" w:type="pct"/>
          </w:tcPr>
          <w:p w14:paraId="5DF6CDAD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0CD38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413" w:type="pct"/>
            <w:vAlign w:val="center"/>
          </w:tcPr>
          <w:p w14:paraId="04E3F213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4</w:t>
            </w:r>
          </w:p>
        </w:tc>
        <w:tc>
          <w:tcPr>
            <w:tcW w:w="783" w:type="pct"/>
            <w:vAlign w:val="center"/>
          </w:tcPr>
          <w:p w14:paraId="7FA175FA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高压清洗系统</w:t>
            </w:r>
          </w:p>
        </w:tc>
        <w:tc>
          <w:tcPr>
            <w:tcW w:w="865" w:type="pct"/>
          </w:tcPr>
          <w:p w14:paraId="4924CBBD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pct"/>
          </w:tcPr>
          <w:p w14:paraId="346ABC64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2" w:type="pct"/>
          </w:tcPr>
          <w:p w14:paraId="1AB9DCE7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5" w:type="pct"/>
          </w:tcPr>
          <w:p w14:paraId="378A88DA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3" w:type="pct"/>
          </w:tcPr>
          <w:p w14:paraId="472C52AB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ECB3D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413" w:type="pct"/>
            <w:shd w:val="clear" w:color="auto" w:fill="auto"/>
            <w:vAlign w:val="center"/>
          </w:tcPr>
          <w:p w14:paraId="2CA09F43">
            <w:pPr>
              <w:widowControl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5</w:t>
            </w:r>
          </w:p>
        </w:tc>
        <w:tc>
          <w:tcPr>
            <w:tcW w:w="783" w:type="pct"/>
            <w:vAlign w:val="center"/>
          </w:tcPr>
          <w:p w14:paraId="4E35E340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关键管路切换阀门</w:t>
            </w:r>
          </w:p>
        </w:tc>
        <w:tc>
          <w:tcPr>
            <w:tcW w:w="865" w:type="pct"/>
          </w:tcPr>
          <w:p w14:paraId="6E136B75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pct"/>
          </w:tcPr>
          <w:p w14:paraId="02DBA28E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2" w:type="pct"/>
          </w:tcPr>
          <w:p w14:paraId="66939D4E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5" w:type="pct"/>
          </w:tcPr>
          <w:p w14:paraId="60DE6128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3" w:type="pct"/>
          </w:tcPr>
          <w:p w14:paraId="0891C1C5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B9FE1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413" w:type="pct"/>
            <w:shd w:val="clear" w:color="auto" w:fill="auto"/>
            <w:vAlign w:val="center"/>
          </w:tcPr>
          <w:p w14:paraId="7BE06EA0">
            <w:pPr>
              <w:widowControl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6</w:t>
            </w:r>
          </w:p>
        </w:tc>
        <w:tc>
          <w:tcPr>
            <w:tcW w:w="783" w:type="pct"/>
            <w:vAlign w:val="center"/>
          </w:tcPr>
          <w:p w14:paraId="1D8E4BEE">
            <w:pPr>
              <w:keepNext w:val="0"/>
              <w:keepLines w:val="0"/>
              <w:pageBreakBefore w:val="0"/>
              <w:tabs>
                <w:tab w:val="left" w:pos="0"/>
                <w:tab w:val="center" w:pos="4153"/>
                <w:tab w:val="right" w:pos="8306"/>
              </w:tabs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压力传感器</w:t>
            </w:r>
          </w:p>
        </w:tc>
        <w:tc>
          <w:tcPr>
            <w:tcW w:w="865" w:type="pct"/>
          </w:tcPr>
          <w:p w14:paraId="76500F4E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pct"/>
          </w:tcPr>
          <w:p w14:paraId="13A4830E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2" w:type="pct"/>
          </w:tcPr>
          <w:p w14:paraId="6F1F6BAC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5" w:type="pct"/>
          </w:tcPr>
          <w:p w14:paraId="671CB33D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3" w:type="pct"/>
          </w:tcPr>
          <w:p w14:paraId="5879F7B9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70912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413" w:type="pct"/>
            <w:shd w:val="clear" w:color="auto" w:fill="auto"/>
            <w:vAlign w:val="center"/>
          </w:tcPr>
          <w:p w14:paraId="638AC10B">
            <w:pPr>
              <w:widowControl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7</w:t>
            </w:r>
          </w:p>
        </w:tc>
        <w:tc>
          <w:tcPr>
            <w:tcW w:w="783" w:type="pct"/>
            <w:vAlign w:val="center"/>
          </w:tcPr>
          <w:p w14:paraId="4F49796D">
            <w:pPr>
              <w:keepNext w:val="0"/>
              <w:keepLines w:val="0"/>
              <w:pageBreakBefore w:val="0"/>
              <w:tabs>
                <w:tab w:val="left" w:pos="0"/>
              </w:tabs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流量计</w:t>
            </w:r>
          </w:p>
        </w:tc>
        <w:tc>
          <w:tcPr>
            <w:tcW w:w="865" w:type="pct"/>
          </w:tcPr>
          <w:p w14:paraId="0CBF264C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pct"/>
          </w:tcPr>
          <w:p w14:paraId="5D5D0071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2" w:type="pct"/>
          </w:tcPr>
          <w:p w14:paraId="442850BE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5" w:type="pct"/>
          </w:tcPr>
          <w:p w14:paraId="04424FBA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3" w:type="pct"/>
          </w:tcPr>
          <w:p w14:paraId="0F5DE39E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D25CD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413" w:type="pct"/>
            <w:shd w:val="clear" w:color="auto" w:fill="auto"/>
            <w:vAlign w:val="center"/>
          </w:tcPr>
          <w:p w14:paraId="4A508F56">
            <w:pPr>
              <w:widowControl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18</w:t>
            </w:r>
          </w:p>
        </w:tc>
        <w:tc>
          <w:tcPr>
            <w:tcW w:w="783" w:type="pct"/>
            <w:vAlign w:val="center"/>
          </w:tcPr>
          <w:p w14:paraId="50F96870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用于裂缝模块三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的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激光位移传感器</w:t>
            </w:r>
          </w:p>
        </w:tc>
        <w:tc>
          <w:tcPr>
            <w:tcW w:w="865" w:type="pct"/>
          </w:tcPr>
          <w:p w14:paraId="7DDDE0D8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pct"/>
          </w:tcPr>
          <w:p w14:paraId="4A28A8DA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2" w:type="pct"/>
          </w:tcPr>
          <w:p w14:paraId="73B42960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5" w:type="pct"/>
          </w:tcPr>
          <w:p w14:paraId="0E712502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3" w:type="pct"/>
          </w:tcPr>
          <w:p w14:paraId="213050A2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DE4B3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413" w:type="pct"/>
            <w:shd w:val="clear" w:color="auto" w:fill="auto"/>
            <w:vAlign w:val="center"/>
          </w:tcPr>
          <w:p w14:paraId="37DE180B">
            <w:pPr>
              <w:widowControl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19</w:t>
            </w:r>
          </w:p>
        </w:tc>
        <w:tc>
          <w:tcPr>
            <w:tcW w:w="783" w:type="pct"/>
            <w:vAlign w:val="center"/>
          </w:tcPr>
          <w:p w14:paraId="09FE65E1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高清摄像机模块</w:t>
            </w:r>
          </w:p>
        </w:tc>
        <w:tc>
          <w:tcPr>
            <w:tcW w:w="865" w:type="pct"/>
          </w:tcPr>
          <w:p w14:paraId="64CDAE6B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pct"/>
          </w:tcPr>
          <w:p w14:paraId="4745B5F5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2" w:type="pct"/>
          </w:tcPr>
          <w:p w14:paraId="5A50808F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5" w:type="pct"/>
          </w:tcPr>
          <w:p w14:paraId="10B7315D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3" w:type="pct"/>
          </w:tcPr>
          <w:p w14:paraId="23A2E6FA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20A9C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413" w:type="pct"/>
            <w:shd w:val="clear" w:color="auto" w:fill="auto"/>
            <w:vAlign w:val="center"/>
          </w:tcPr>
          <w:p w14:paraId="18CB9CC6">
            <w:pPr>
              <w:widowControl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0</w:t>
            </w:r>
          </w:p>
        </w:tc>
        <w:tc>
          <w:tcPr>
            <w:tcW w:w="783" w:type="pct"/>
            <w:vAlign w:val="center"/>
          </w:tcPr>
          <w:p w14:paraId="38787CFA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高速摄像机模块</w:t>
            </w:r>
          </w:p>
        </w:tc>
        <w:tc>
          <w:tcPr>
            <w:tcW w:w="865" w:type="pct"/>
          </w:tcPr>
          <w:p w14:paraId="5A760E85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pct"/>
          </w:tcPr>
          <w:p w14:paraId="2E575434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2" w:type="pct"/>
          </w:tcPr>
          <w:p w14:paraId="1E4A05FF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5" w:type="pct"/>
          </w:tcPr>
          <w:p w14:paraId="0A1BECC0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3" w:type="pct"/>
          </w:tcPr>
          <w:p w14:paraId="7580939E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AD666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413" w:type="pct"/>
            <w:shd w:val="clear" w:color="auto" w:fill="auto"/>
            <w:vAlign w:val="center"/>
          </w:tcPr>
          <w:p w14:paraId="4ECE267B">
            <w:pPr>
              <w:widowControl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1</w:t>
            </w:r>
          </w:p>
        </w:tc>
        <w:tc>
          <w:tcPr>
            <w:tcW w:w="783" w:type="pct"/>
            <w:vAlign w:val="center"/>
          </w:tcPr>
          <w:p w14:paraId="281DF1B8">
            <w:pPr>
              <w:keepNext w:val="0"/>
              <w:keepLines w:val="0"/>
              <w:pageBreakBefore w:val="0"/>
              <w:tabs>
                <w:tab w:val="left" w:pos="0"/>
              </w:tabs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3D扫描仪模块</w:t>
            </w:r>
          </w:p>
        </w:tc>
        <w:tc>
          <w:tcPr>
            <w:tcW w:w="865" w:type="pct"/>
          </w:tcPr>
          <w:p w14:paraId="53350F19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pct"/>
          </w:tcPr>
          <w:p w14:paraId="0BC7B78E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2" w:type="pct"/>
          </w:tcPr>
          <w:p w14:paraId="48427148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5" w:type="pct"/>
          </w:tcPr>
          <w:p w14:paraId="36A89FC4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3" w:type="pct"/>
          </w:tcPr>
          <w:p w14:paraId="0D20CC25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5DC8F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413" w:type="pct"/>
            <w:shd w:val="clear" w:color="auto" w:fill="auto"/>
            <w:vAlign w:val="center"/>
          </w:tcPr>
          <w:p w14:paraId="3B1869E8">
            <w:pPr>
              <w:widowControl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22</w:t>
            </w:r>
          </w:p>
        </w:tc>
        <w:tc>
          <w:tcPr>
            <w:tcW w:w="783" w:type="pct"/>
            <w:vAlign w:val="center"/>
          </w:tcPr>
          <w:p w14:paraId="42401C85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黏度计</w:t>
            </w:r>
          </w:p>
        </w:tc>
        <w:tc>
          <w:tcPr>
            <w:tcW w:w="865" w:type="pct"/>
          </w:tcPr>
          <w:p w14:paraId="262257B0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pct"/>
          </w:tcPr>
          <w:p w14:paraId="499C1F3E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2" w:type="pct"/>
          </w:tcPr>
          <w:p w14:paraId="714F06C2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5" w:type="pct"/>
          </w:tcPr>
          <w:p w14:paraId="1514A456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3" w:type="pct"/>
          </w:tcPr>
          <w:p w14:paraId="0AE658AA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55EAB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413" w:type="pct"/>
            <w:shd w:val="clear" w:color="auto" w:fill="auto"/>
            <w:vAlign w:val="center"/>
          </w:tcPr>
          <w:p w14:paraId="6B585C50">
            <w:pPr>
              <w:widowControl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23</w:t>
            </w:r>
          </w:p>
        </w:tc>
        <w:tc>
          <w:tcPr>
            <w:tcW w:w="783" w:type="pct"/>
            <w:vAlign w:val="center"/>
          </w:tcPr>
          <w:p w14:paraId="2D15CCAA">
            <w:pPr>
              <w:keepNext w:val="0"/>
              <w:keepLines w:val="0"/>
              <w:pageBreakBefore w:val="0"/>
              <w:tabs>
                <w:tab w:val="left" w:pos="0"/>
                <w:tab w:val="center" w:pos="4153"/>
                <w:tab w:val="right" w:pos="8306"/>
              </w:tabs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台式pH计</w:t>
            </w:r>
          </w:p>
        </w:tc>
        <w:tc>
          <w:tcPr>
            <w:tcW w:w="865" w:type="pct"/>
          </w:tcPr>
          <w:p w14:paraId="3CB2C09A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pct"/>
          </w:tcPr>
          <w:p w14:paraId="589A2F59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2" w:type="pct"/>
          </w:tcPr>
          <w:p w14:paraId="5891A0EF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5" w:type="pct"/>
          </w:tcPr>
          <w:p w14:paraId="57931DF8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3" w:type="pct"/>
          </w:tcPr>
          <w:p w14:paraId="7AA2D78D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D0058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413" w:type="pct"/>
            <w:shd w:val="clear" w:color="auto" w:fill="auto"/>
            <w:vAlign w:val="center"/>
          </w:tcPr>
          <w:p w14:paraId="71D1F9D0">
            <w:pPr>
              <w:widowControl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24</w:t>
            </w:r>
          </w:p>
        </w:tc>
        <w:tc>
          <w:tcPr>
            <w:tcW w:w="783" w:type="pct"/>
            <w:vAlign w:val="center"/>
          </w:tcPr>
          <w:p w14:paraId="0CD709CA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固液一体式密度计</w:t>
            </w:r>
          </w:p>
        </w:tc>
        <w:tc>
          <w:tcPr>
            <w:tcW w:w="865" w:type="pct"/>
          </w:tcPr>
          <w:p w14:paraId="093D251B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pct"/>
          </w:tcPr>
          <w:p w14:paraId="619A716F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2" w:type="pct"/>
          </w:tcPr>
          <w:p w14:paraId="2E1A1A2A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5" w:type="pct"/>
          </w:tcPr>
          <w:p w14:paraId="32A17DF4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3" w:type="pct"/>
          </w:tcPr>
          <w:p w14:paraId="7F3A69CA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34F01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413" w:type="pct"/>
            <w:shd w:val="clear" w:color="auto" w:fill="auto"/>
            <w:vAlign w:val="center"/>
          </w:tcPr>
          <w:p w14:paraId="326864A3">
            <w:pPr>
              <w:widowControl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25</w:t>
            </w:r>
          </w:p>
        </w:tc>
        <w:tc>
          <w:tcPr>
            <w:tcW w:w="783" w:type="pct"/>
            <w:vAlign w:val="center"/>
          </w:tcPr>
          <w:p w14:paraId="21788E04">
            <w:pPr>
              <w:keepNext w:val="0"/>
              <w:keepLines w:val="0"/>
              <w:pageBreakBefore w:val="0"/>
              <w:tabs>
                <w:tab w:val="left" w:pos="0"/>
                <w:tab w:val="center" w:pos="4153"/>
                <w:tab w:val="right" w:pos="8306"/>
              </w:tabs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粉体休止角测试仪</w:t>
            </w:r>
          </w:p>
        </w:tc>
        <w:tc>
          <w:tcPr>
            <w:tcW w:w="865" w:type="pct"/>
          </w:tcPr>
          <w:p w14:paraId="67BA0B6A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pct"/>
          </w:tcPr>
          <w:p w14:paraId="7D31B11D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2" w:type="pct"/>
          </w:tcPr>
          <w:p w14:paraId="2807E663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5" w:type="pct"/>
          </w:tcPr>
          <w:p w14:paraId="290855A2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3" w:type="pct"/>
          </w:tcPr>
          <w:p w14:paraId="6FDE8AE8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88D81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413" w:type="pct"/>
            <w:shd w:val="clear" w:color="auto" w:fill="auto"/>
            <w:vAlign w:val="center"/>
          </w:tcPr>
          <w:p w14:paraId="1033800A">
            <w:pPr>
              <w:widowControl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26</w:t>
            </w:r>
          </w:p>
        </w:tc>
        <w:tc>
          <w:tcPr>
            <w:tcW w:w="783" w:type="pct"/>
            <w:vAlign w:val="center"/>
          </w:tcPr>
          <w:p w14:paraId="0B25D21A">
            <w:pPr>
              <w:keepNext w:val="0"/>
              <w:keepLines w:val="0"/>
              <w:pageBreakBefore w:val="0"/>
              <w:tabs>
                <w:tab w:val="left" w:pos="0"/>
              </w:tabs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机械振筛机</w:t>
            </w:r>
          </w:p>
        </w:tc>
        <w:tc>
          <w:tcPr>
            <w:tcW w:w="865" w:type="pct"/>
          </w:tcPr>
          <w:p w14:paraId="289CE99C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pct"/>
          </w:tcPr>
          <w:p w14:paraId="6D95862F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2" w:type="pct"/>
          </w:tcPr>
          <w:p w14:paraId="7D3D20B6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5" w:type="pct"/>
          </w:tcPr>
          <w:p w14:paraId="231C7953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3" w:type="pct"/>
          </w:tcPr>
          <w:p w14:paraId="614B851B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19275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413" w:type="pct"/>
            <w:shd w:val="clear" w:color="auto" w:fill="auto"/>
            <w:vAlign w:val="center"/>
          </w:tcPr>
          <w:p w14:paraId="46A62162">
            <w:pPr>
              <w:widowControl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7</w:t>
            </w:r>
          </w:p>
        </w:tc>
        <w:tc>
          <w:tcPr>
            <w:tcW w:w="783" w:type="pct"/>
            <w:vAlign w:val="center"/>
          </w:tcPr>
          <w:p w14:paraId="25DBF25A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系统控制及数据处理模块1套</w:t>
            </w:r>
          </w:p>
        </w:tc>
        <w:tc>
          <w:tcPr>
            <w:tcW w:w="865" w:type="pct"/>
          </w:tcPr>
          <w:p w14:paraId="62F4F164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pct"/>
          </w:tcPr>
          <w:p w14:paraId="1D3940AF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2" w:type="pct"/>
          </w:tcPr>
          <w:p w14:paraId="4B7DF93A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5" w:type="pct"/>
          </w:tcPr>
          <w:p w14:paraId="041A1BBE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3" w:type="pct"/>
          </w:tcPr>
          <w:p w14:paraId="41B60518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D840E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413" w:type="pct"/>
            <w:shd w:val="clear" w:color="auto" w:fill="auto"/>
            <w:vAlign w:val="center"/>
          </w:tcPr>
          <w:p w14:paraId="6CDBE2C7">
            <w:pPr>
              <w:widowControl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28</w:t>
            </w:r>
          </w:p>
        </w:tc>
        <w:tc>
          <w:tcPr>
            <w:tcW w:w="783" w:type="pct"/>
            <w:vAlign w:val="center"/>
          </w:tcPr>
          <w:p w14:paraId="6A3E1602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高压高精度泵注装置</w:t>
            </w:r>
          </w:p>
        </w:tc>
        <w:tc>
          <w:tcPr>
            <w:tcW w:w="865" w:type="pct"/>
          </w:tcPr>
          <w:p w14:paraId="2659AFB8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pct"/>
          </w:tcPr>
          <w:p w14:paraId="35FC283B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2" w:type="pct"/>
          </w:tcPr>
          <w:p w14:paraId="63635453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5" w:type="pct"/>
          </w:tcPr>
          <w:p w14:paraId="5DE86F5B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3" w:type="pct"/>
          </w:tcPr>
          <w:p w14:paraId="0662AAE8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C8AB8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413" w:type="pct"/>
            <w:shd w:val="clear" w:color="auto" w:fill="auto"/>
            <w:vAlign w:val="center"/>
          </w:tcPr>
          <w:p w14:paraId="3FE3FD0C">
            <w:pPr>
              <w:widowControl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29</w:t>
            </w:r>
          </w:p>
        </w:tc>
        <w:tc>
          <w:tcPr>
            <w:tcW w:w="783" w:type="pct"/>
            <w:vAlign w:val="center"/>
          </w:tcPr>
          <w:p w14:paraId="15BA386A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安全保护要求</w:t>
            </w:r>
          </w:p>
        </w:tc>
        <w:tc>
          <w:tcPr>
            <w:tcW w:w="865" w:type="pct"/>
          </w:tcPr>
          <w:p w14:paraId="4E653D8A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pct"/>
          </w:tcPr>
          <w:p w14:paraId="383FED2A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2" w:type="pct"/>
          </w:tcPr>
          <w:p w14:paraId="569F27A2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5" w:type="pct"/>
          </w:tcPr>
          <w:p w14:paraId="32E18C45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3" w:type="pct"/>
          </w:tcPr>
          <w:p w14:paraId="4428325A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283E9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413" w:type="pct"/>
            <w:shd w:val="clear" w:color="auto" w:fill="auto"/>
            <w:vAlign w:val="center"/>
          </w:tcPr>
          <w:p w14:paraId="2D8C010E">
            <w:pPr>
              <w:widowControl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0</w:t>
            </w:r>
          </w:p>
        </w:tc>
        <w:tc>
          <w:tcPr>
            <w:tcW w:w="783" w:type="pct"/>
            <w:vAlign w:val="center"/>
          </w:tcPr>
          <w:p w14:paraId="1BA6FA54">
            <w:pPr>
              <w:keepNext w:val="0"/>
              <w:keepLines w:val="0"/>
              <w:pageBreakBefore w:val="0"/>
              <w:tabs>
                <w:tab w:val="left" w:pos="0"/>
              </w:tabs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技术文件、易损件及软件服务要求</w:t>
            </w:r>
          </w:p>
        </w:tc>
        <w:tc>
          <w:tcPr>
            <w:tcW w:w="865" w:type="pct"/>
          </w:tcPr>
          <w:p w14:paraId="50C9E95C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pct"/>
          </w:tcPr>
          <w:p w14:paraId="5C510B7A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2" w:type="pct"/>
          </w:tcPr>
          <w:p w14:paraId="000E8BAA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5" w:type="pct"/>
          </w:tcPr>
          <w:p w14:paraId="241BC7CD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3" w:type="pct"/>
          </w:tcPr>
          <w:p w14:paraId="5D8F7073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C7F40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413" w:type="pct"/>
            <w:shd w:val="clear" w:color="auto" w:fill="auto"/>
            <w:vAlign w:val="center"/>
          </w:tcPr>
          <w:p w14:paraId="06261FFC">
            <w:pPr>
              <w:widowControl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31</w:t>
            </w:r>
          </w:p>
        </w:tc>
        <w:tc>
          <w:tcPr>
            <w:tcW w:w="783" w:type="pct"/>
            <w:vAlign w:val="center"/>
          </w:tcPr>
          <w:p w14:paraId="7E0E97AD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水平井筒模型</w:t>
            </w:r>
          </w:p>
        </w:tc>
        <w:tc>
          <w:tcPr>
            <w:tcW w:w="865" w:type="pct"/>
          </w:tcPr>
          <w:p w14:paraId="2F3DC1EF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pct"/>
          </w:tcPr>
          <w:p w14:paraId="5B514674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2" w:type="pct"/>
          </w:tcPr>
          <w:p w14:paraId="5AC1742A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5" w:type="pct"/>
          </w:tcPr>
          <w:p w14:paraId="2DBFD133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3" w:type="pct"/>
          </w:tcPr>
          <w:p w14:paraId="139BC8D6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5D430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413" w:type="pct"/>
            <w:shd w:val="clear" w:color="auto" w:fill="auto"/>
            <w:vAlign w:val="center"/>
          </w:tcPr>
          <w:p w14:paraId="36AA2D11">
            <w:pPr>
              <w:widowControl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2</w:t>
            </w:r>
          </w:p>
        </w:tc>
        <w:tc>
          <w:tcPr>
            <w:tcW w:w="783" w:type="pct"/>
            <w:vAlign w:val="center"/>
          </w:tcPr>
          <w:p w14:paraId="01FBA316">
            <w:pPr>
              <w:keepNext w:val="0"/>
              <w:keepLines w:val="0"/>
              <w:pageBreakBefore w:val="0"/>
              <w:tabs>
                <w:tab w:val="left" w:pos="0"/>
                <w:tab w:val="center" w:pos="4153"/>
                <w:tab w:val="right" w:pos="8306"/>
              </w:tabs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高温高压釜生产厂家的有效的特种设备生产许可证</w:t>
            </w:r>
          </w:p>
        </w:tc>
        <w:tc>
          <w:tcPr>
            <w:tcW w:w="865" w:type="pct"/>
          </w:tcPr>
          <w:p w14:paraId="3AEE6D83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pct"/>
          </w:tcPr>
          <w:p w14:paraId="41AB799F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2" w:type="pct"/>
          </w:tcPr>
          <w:p w14:paraId="27006E23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5" w:type="pct"/>
          </w:tcPr>
          <w:p w14:paraId="5E291368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3" w:type="pct"/>
          </w:tcPr>
          <w:p w14:paraId="78295801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53B49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413" w:type="pct"/>
            <w:shd w:val="clear" w:color="auto" w:fill="auto"/>
            <w:vAlign w:val="center"/>
          </w:tcPr>
          <w:p w14:paraId="383DF356">
            <w:pPr>
              <w:widowControl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3</w:t>
            </w:r>
          </w:p>
        </w:tc>
        <w:tc>
          <w:tcPr>
            <w:tcW w:w="783" w:type="pct"/>
            <w:vAlign w:val="center"/>
          </w:tcPr>
          <w:p w14:paraId="5802BA33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完整的专用拆卸/维护工具箱</w:t>
            </w:r>
          </w:p>
        </w:tc>
        <w:tc>
          <w:tcPr>
            <w:tcW w:w="865" w:type="pct"/>
          </w:tcPr>
          <w:p w14:paraId="7113FEB0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pct"/>
          </w:tcPr>
          <w:p w14:paraId="2998AEB4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2" w:type="pct"/>
          </w:tcPr>
          <w:p w14:paraId="1E3EA0DC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5" w:type="pct"/>
          </w:tcPr>
          <w:p w14:paraId="075C01D0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3" w:type="pct"/>
          </w:tcPr>
          <w:p w14:paraId="7D9CCAA8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AD733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413" w:type="pct"/>
            <w:vAlign w:val="center"/>
          </w:tcPr>
          <w:p w14:paraId="6179D761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>34</w:t>
            </w:r>
          </w:p>
        </w:tc>
        <w:tc>
          <w:tcPr>
            <w:tcW w:w="783" w:type="pct"/>
            <w:vAlign w:val="center"/>
          </w:tcPr>
          <w:p w14:paraId="62AFBB21">
            <w:pPr>
              <w:keepNext w:val="0"/>
              <w:keepLines w:val="0"/>
              <w:pageBreakBefore w:val="0"/>
              <w:tabs>
                <w:tab w:val="left" w:pos="0"/>
                <w:tab w:val="center" w:pos="4153"/>
                <w:tab w:val="right" w:pos="8306"/>
              </w:tabs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混凝土承重底座</w:t>
            </w:r>
          </w:p>
        </w:tc>
        <w:tc>
          <w:tcPr>
            <w:tcW w:w="865" w:type="pct"/>
          </w:tcPr>
          <w:p w14:paraId="26970837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pct"/>
          </w:tcPr>
          <w:p w14:paraId="4B585B29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2" w:type="pct"/>
          </w:tcPr>
          <w:p w14:paraId="143FDA65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5" w:type="pct"/>
          </w:tcPr>
          <w:p w14:paraId="26A740C6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3" w:type="pct"/>
          </w:tcPr>
          <w:p w14:paraId="60D8E53C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A2DA8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413" w:type="pct"/>
            <w:vAlign w:val="center"/>
          </w:tcPr>
          <w:p w14:paraId="44949F5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83" w:type="pct"/>
            <w:vAlign w:val="center"/>
          </w:tcPr>
          <w:p w14:paraId="582055F2">
            <w:pPr>
              <w:keepNext w:val="0"/>
              <w:keepLines w:val="0"/>
              <w:pageBreakBefore w:val="0"/>
              <w:tabs>
                <w:tab w:val="left" w:pos="0"/>
              </w:tabs>
              <w:overflowPunct/>
              <w:topLinePunct w:val="0"/>
              <w:bidi w:val="0"/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865" w:type="pct"/>
          </w:tcPr>
          <w:p w14:paraId="5ABE6D28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pct"/>
          </w:tcPr>
          <w:p w14:paraId="2B3705C7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2" w:type="pct"/>
          </w:tcPr>
          <w:p w14:paraId="2E445C04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5" w:type="pct"/>
          </w:tcPr>
          <w:p w14:paraId="2FDB5079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3" w:type="pct"/>
          </w:tcPr>
          <w:p w14:paraId="4CB95DB1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E25FB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413" w:type="pct"/>
            <w:vAlign w:val="center"/>
          </w:tcPr>
          <w:p w14:paraId="0FF6ED8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83" w:type="pct"/>
            <w:vAlign w:val="center"/>
          </w:tcPr>
          <w:p w14:paraId="422E7B81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865" w:type="pct"/>
          </w:tcPr>
          <w:p w14:paraId="1A4F375C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pct"/>
          </w:tcPr>
          <w:p w14:paraId="23031B04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2" w:type="pct"/>
          </w:tcPr>
          <w:p w14:paraId="4DA5A8B6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5" w:type="pct"/>
          </w:tcPr>
          <w:p w14:paraId="3D0B5B30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3" w:type="pct"/>
          </w:tcPr>
          <w:p w14:paraId="66C63EB5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08694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413" w:type="pct"/>
            <w:vAlign w:val="center"/>
          </w:tcPr>
          <w:p w14:paraId="43FE0B9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83" w:type="pct"/>
            <w:vAlign w:val="center"/>
          </w:tcPr>
          <w:p w14:paraId="4FB236D4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865" w:type="pct"/>
          </w:tcPr>
          <w:p w14:paraId="6B2BEF3F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pct"/>
          </w:tcPr>
          <w:p w14:paraId="26460AC7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2" w:type="pct"/>
          </w:tcPr>
          <w:p w14:paraId="6D919C09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5" w:type="pct"/>
          </w:tcPr>
          <w:p w14:paraId="75113E9B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3" w:type="pct"/>
          </w:tcPr>
          <w:p w14:paraId="4DA72ED6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8BE8E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413" w:type="pct"/>
            <w:vAlign w:val="center"/>
          </w:tcPr>
          <w:p w14:paraId="60A4314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83" w:type="pct"/>
            <w:vAlign w:val="center"/>
          </w:tcPr>
          <w:p w14:paraId="24649C1D"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865" w:type="pct"/>
          </w:tcPr>
          <w:p w14:paraId="1DE89353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pct"/>
          </w:tcPr>
          <w:p w14:paraId="7A17916E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2" w:type="pct"/>
          </w:tcPr>
          <w:p w14:paraId="661B0934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5" w:type="pct"/>
          </w:tcPr>
          <w:p w14:paraId="1B04E294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3" w:type="pct"/>
          </w:tcPr>
          <w:p w14:paraId="1E0E48C5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22CE3E29">
      <w:pPr>
        <w:spacing w:after="240"/>
        <w:rPr>
          <w:rFonts w:hint="eastAsia" w:ascii="宋体" w:hAnsi="宋体" w:eastAsia="宋体" w:cs="宋体"/>
          <w:sz w:val="24"/>
          <w:szCs w:val="24"/>
        </w:rPr>
      </w:pPr>
    </w:p>
    <w:p w14:paraId="1FA07DEF">
      <w:pPr>
        <w:pStyle w:val="2"/>
        <w:spacing w:before="79" w:line="360" w:lineRule="auto"/>
        <w:ind w:firstLine="7956" w:firstLineChars="39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8"/>
          <w:sz w:val="24"/>
          <w:szCs w:val="24"/>
        </w:rPr>
        <w:t>供应商（盖章</w:t>
      </w:r>
      <w:r>
        <w:rPr>
          <w:rFonts w:hint="eastAsia" w:ascii="宋体" w:hAnsi="宋体" w:eastAsia="宋体" w:cs="宋体"/>
          <w:spacing w:val="-34"/>
          <w:sz w:val="24"/>
          <w:szCs w:val="24"/>
        </w:rPr>
        <w:t>）：</w:t>
      </w:r>
      <w:r>
        <w:rPr>
          <w:rFonts w:hint="eastAsia" w:ascii="宋体" w:hAnsi="宋体" w:eastAsia="宋体" w:cs="宋体"/>
          <w:spacing w:val="-72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                              </w:t>
      </w:r>
    </w:p>
    <w:p w14:paraId="0F28B7A0">
      <w:pPr>
        <w:pStyle w:val="2"/>
        <w:spacing w:before="78" w:line="360" w:lineRule="auto"/>
        <w:ind w:left="2643" w:leftChars="0" w:firstLine="5335" w:firstLineChars="272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2"/>
          <w:sz w:val="24"/>
          <w:szCs w:val="24"/>
        </w:rPr>
        <w:t xml:space="preserve">日      </w:t>
      </w:r>
      <w:r>
        <w:rPr>
          <w:rFonts w:hint="eastAsia" w:ascii="宋体" w:hAnsi="宋体" w:eastAsia="宋体" w:cs="宋体"/>
          <w:spacing w:val="-22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-22"/>
          <w:sz w:val="24"/>
          <w:szCs w:val="24"/>
        </w:rPr>
        <w:t xml:space="preserve">   期：</w:t>
      </w:r>
      <w:r>
        <w:rPr>
          <w:rFonts w:hint="eastAsia" w:ascii="宋体" w:hAnsi="宋体" w:eastAsia="宋体" w:cs="宋体"/>
          <w:spacing w:val="-73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                         </w:t>
      </w:r>
      <w:r>
        <w:rPr>
          <w:rFonts w:hint="eastAsia" w:ascii="宋体" w:hAnsi="宋体" w:eastAsia="宋体" w:cs="宋体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  </w:t>
      </w:r>
    </w:p>
    <w:p w14:paraId="2F93C8CF">
      <w:pPr>
        <w:spacing w:line="360" w:lineRule="auto"/>
        <w:rPr>
          <w:rFonts w:hint="eastAsia" w:ascii="宋体" w:hAnsi="宋体" w:eastAsia="宋体" w:cs="宋体"/>
          <w:spacing w:val="-1"/>
          <w:sz w:val="24"/>
          <w:szCs w:val="24"/>
        </w:rPr>
      </w:pPr>
    </w:p>
    <w:p w14:paraId="629808DB">
      <w:pPr>
        <w:spacing w:line="360" w:lineRule="auto"/>
        <w:rPr>
          <w:rFonts w:hint="eastAsia" w:ascii="宋体" w:hAnsi="宋体" w:eastAsia="宋体" w:cs="宋体"/>
          <w:spacing w:val="-1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注：</w:t>
      </w:r>
    </w:p>
    <w:p w14:paraId="14758A5A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pacing w:val="-1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color w:val="000000"/>
          <w:spacing w:val="-1"/>
          <w:kern w:val="0"/>
          <w:sz w:val="24"/>
          <w:szCs w:val="24"/>
          <w:lang w:val="en-US" w:eastAsia="en-US" w:bidi="ar-SA"/>
        </w:rPr>
        <w:t>1.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供应商根据本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文件的供应商须知</w:t>
      </w: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第三章除商务要求外的内容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填写本表；</w:t>
      </w:r>
    </w:p>
    <w:p w14:paraId="1B1EFA37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pacing w:val="-1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.对完全响应的条目在本表相应列中标注“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无偏离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”。对有偏离的条目在本表相应列中标注“正偏离”或“负偏离”。</w:t>
      </w:r>
    </w:p>
    <w:p w14:paraId="3B467AEC">
      <w:pPr>
        <w:spacing w:line="360" w:lineRule="auto"/>
        <w:rPr>
          <w:rFonts w:hint="eastAsia" w:ascii="宋体" w:hAnsi="宋体" w:eastAsia="宋体" w:cs="宋体"/>
          <w:spacing w:val="-1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.正偏离是指应答的条件高于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文件要求，负偏离是指应答的条件低于</w:t>
      </w: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招标文件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要求，正偏离项目不作扣分处理。</w:t>
      </w:r>
    </w:p>
    <w:p w14:paraId="317BFCBF">
      <w:pPr>
        <w:spacing w:line="360" w:lineRule="auto"/>
        <w:rPr>
          <w:rFonts w:hint="eastAsia" w:ascii="宋体" w:hAnsi="宋体" w:eastAsia="宋体" w:cs="宋体"/>
          <w:spacing w:val="-1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供应商须按照用户需求书逐条完整填写响应表。如果未完整填写响应表的各项内容则视作供应商已经对</w:t>
      </w: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招标文件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相关要求和内容完全理解并同意，其报价为在此基础上的完全价格。</w:t>
      </w:r>
    </w:p>
    <w:p w14:paraId="47350D7A">
      <w:pPr>
        <w:spacing w:line="360" w:lineRule="auto"/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在采购人与</w:t>
      </w: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中标供应商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签订合同时，如</w:t>
      </w: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中标供应商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未在响应文件“响应表”中列出偏离说明，无论即将发生或已发生任何情形，均视为完全符合</w:t>
      </w: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招标文件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要求，并写入合同。若</w:t>
      </w: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中标供应商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在合同签订前，以上述事项为借口而不履行合同签订手续及执行合同，则视作拒绝与采购人签订合同</w:t>
      </w: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。</w:t>
      </w:r>
    </w:p>
    <w:p w14:paraId="025C1A74">
      <w:pPr>
        <w:spacing w:line="360" w:lineRule="auto"/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6.</w:t>
      </w:r>
      <w:r>
        <w:rPr>
          <w:rFonts w:hint="eastAsia" w:ascii="宋体" w:hAnsi="宋体" w:eastAsia="宋体" w:cs="宋体"/>
          <w:b/>
          <w:bCs/>
          <w:sz w:val="24"/>
        </w:rPr>
        <w:t>对带“★”</w:t>
      </w:r>
      <w:r>
        <w:rPr>
          <w:rFonts w:hint="eastAsia" w:ascii="宋体" w:hAnsi="宋体" w:eastAsia="宋体" w:cs="宋体"/>
          <w:b/>
          <w:bCs/>
          <w:sz w:val="24"/>
        </w:rPr>
        <w:t>、</w:t>
      </w:r>
      <w:r>
        <w:rPr>
          <w:rFonts w:hint="eastAsia" w:ascii="宋体" w:hAnsi="宋体" w:eastAsia="宋体" w:cs="宋体"/>
          <w:b/>
          <w:bCs/>
          <w:sz w:val="24"/>
        </w:rPr>
        <w:t>“</w:t>
      </w:r>
      <w:r>
        <w:rPr>
          <w:rFonts w:hint="eastAsia" w:ascii="宋体" w:hAnsi="宋体" w:eastAsia="宋体" w:cs="宋体"/>
          <w:b/>
          <w:bCs/>
          <w:sz w:val="24"/>
        </w:rPr>
        <w:t>▲</w:t>
      </w:r>
      <w:r>
        <w:rPr>
          <w:rFonts w:hint="eastAsia" w:ascii="宋体" w:hAnsi="宋体" w:eastAsia="宋体" w:cs="宋体"/>
          <w:b/>
          <w:bCs/>
          <w:sz w:val="24"/>
        </w:rPr>
        <w:t>”的技术参数必须在投标文件中提供</w:t>
      </w:r>
      <w:r>
        <w:rPr>
          <w:rFonts w:hint="eastAsia" w:ascii="宋体" w:hAnsi="宋体" w:eastAsia="宋体" w:cs="宋体"/>
          <w:b/>
          <w:bCs/>
          <w:sz w:val="24"/>
        </w:rPr>
        <w:t>佐证材料</w:t>
      </w:r>
      <w:r>
        <w:rPr>
          <w:rFonts w:hint="eastAsia" w:ascii="宋体" w:hAnsi="宋体" w:eastAsia="宋体" w:cs="宋体"/>
          <w:b/>
          <w:bCs/>
          <w:sz w:val="24"/>
        </w:rPr>
        <w:t>（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技术参数中有佐证材料要求的，按技术参数要求提供，技术参数中无佐证材料要求的，供应商提供</w:t>
      </w:r>
      <w:r>
        <w:rPr>
          <w:rFonts w:hint="eastAsia" w:ascii="宋体" w:hAnsi="宋体" w:eastAsia="宋体" w:cs="宋体"/>
          <w:b/>
          <w:bCs/>
          <w:sz w:val="24"/>
        </w:rPr>
        <w:t>产品</w:t>
      </w:r>
      <w:r>
        <w:rPr>
          <w:rFonts w:hint="eastAsia" w:ascii="宋体" w:hAnsi="宋体" w:eastAsia="宋体" w:cs="宋体"/>
          <w:b/>
          <w:bCs/>
          <w:iCs/>
          <w:sz w:val="24"/>
        </w:rPr>
        <w:t>彩页、检测报告、测试报告、官网截图等证明材料均可</w:t>
      </w:r>
      <w:r>
        <w:rPr>
          <w:rFonts w:hint="eastAsia" w:ascii="宋体" w:hAnsi="宋体" w:eastAsia="宋体" w:cs="宋体"/>
          <w:b/>
          <w:bCs/>
          <w:sz w:val="24"/>
        </w:rPr>
        <w:t>），未提供</w:t>
      </w:r>
      <w:r>
        <w:rPr>
          <w:rFonts w:hint="eastAsia" w:ascii="宋体" w:hAnsi="宋体" w:eastAsia="宋体" w:cs="宋体"/>
          <w:b/>
          <w:bCs/>
          <w:sz w:val="24"/>
        </w:rPr>
        <w:t>或所提供材料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无法识别、模糊不清</w:t>
      </w:r>
      <w:r>
        <w:rPr>
          <w:rFonts w:hint="eastAsia" w:ascii="宋体" w:hAnsi="宋体" w:eastAsia="宋体" w:cs="宋体"/>
          <w:b/>
          <w:bCs/>
          <w:sz w:val="24"/>
        </w:rPr>
        <w:t>的</w:t>
      </w:r>
      <w:r>
        <w:rPr>
          <w:rFonts w:hint="eastAsia" w:ascii="宋体" w:hAnsi="宋体" w:eastAsia="宋体" w:cs="宋体"/>
          <w:b/>
          <w:bCs/>
          <w:sz w:val="24"/>
        </w:rPr>
        <w:t>将</w:t>
      </w:r>
      <w:r>
        <w:rPr>
          <w:rFonts w:hint="eastAsia" w:ascii="宋体" w:hAnsi="宋体" w:eastAsia="宋体" w:cs="宋体"/>
          <w:b/>
          <w:bCs/>
          <w:sz w:val="24"/>
        </w:rPr>
        <w:t>视为不满足本参数要求</w:t>
      </w:r>
      <w:r>
        <w:rPr>
          <w:rFonts w:hint="eastAsia" w:ascii="宋体" w:hAnsi="宋体" w:eastAsia="宋体" w:cs="宋体"/>
          <w:b/>
          <w:bCs/>
          <w:sz w:val="24"/>
        </w:rPr>
        <w:t>；</w:t>
      </w:r>
      <w:r>
        <w:rPr>
          <w:rFonts w:hint="eastAsia" w:ascii="宋体" w:hAnsi="宋体" w:eastAsia="宋体" w:cs="宋体"/>
          <w:b/>
          <w:bCs/>
          <w:sz w:val="24"/>
        </w:rPr>
        <w:t>供应商提交的支持资料和已印刷的文献可以用另一种语言，但相应内容应附有中文翻译本，在解释投标文件时以翻译本为准。</w:t>
      </w: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EA18CC"/>
    <w:rsid w:val="031C2553"/>
    <w:rsid w:val="04710913"/>
    <w:rsid w:val="10127B73"/>
    <w:rsid w:val="15BE50E8"/>
    <w:rsid w:val="1B5C4117"/>
    <w:rsid w:val="1C0E26F1"/>
    <w:rsid w:val="29AE0629"/>
    <w:rsid w:val="2B261C8A"/>
    <w:rsid w:val="2EE43FBD"/>
    <w:rsid w:val="42C93621"/>
    <w:rsid w:val="54E070F1"/>
    <w:rsid w:val="54EA18CC"/>
    <w:rsid w:val="6AA23DFF"/>
    <w:rsid w:val="6F4075A4"/>
    <w:rsid w:val="6FAA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样式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kern w:val="0"/>
      <w:sz w:val="24"/>
      <w:szCs w:val="24"/>
      <w:lang w:val="en-US" w:eastAsia="zh-CN" w:bidi="ar-SA"/>
    </w:rPr>
  </w:style>
  <w:style w:type="paragraph" w:customStyle="1" w:styleId="8">
    <w:name w:val="null3"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1312</Words>
  <Characters>1346</Characters>
  <Lines>0</Lines>
  <Paragraphs>0</Paragraphs>
  <TotalTime>3</TotalTime>
  <ScaleCrop>false</ScaleCrop>
  <LinksUpToDate>false</LinksUpToDate>
  <CharactersWithSpaces>1425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2026-04-02T10:30:00Z</dcterms:created>
  <dc:creator>DU.</dc:creator>
  <cp:lastModifiedBy>肖肖</cp:lastModifiedBy>
  <dcterms:modified xsi:type="dcterms:W3CDTF">2026-06-25T07:17:05Z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E282FD78745A44D08DF9069D7C161B88_11</vt:lpwstr>
  </property>
  <property fmtid="{D5CDD505-2E9C-101B-9397-08002B2CF9AE}" pid="4" name="KSOTemplateDocerSaveRecord">
    <vt:lpwstr>eyJoZGlkIjoiMjRmYjg0N2M1ODc3ODUwZjJhZjcwZDM5MTYzMGM2OWIiLCJ1c2VySWQiOiI0MzM4MTU0MzAifQ==</vt:lpwstr>
  </property>
</Properties>
</file>