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版本号：ZXF20260629-ZFCG20260723001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到贤镇西仁村基础设施建设项目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ZXF20260629-ZFCG</w:t>
      </w:r>
      <w:r>
        <w:br/>
      </w:r>
      <w:r>
        <w:br/>
      </w:r>
      <w:r>
        <w:br/>
      </w:r>
    </w:p>
    <w:p>
      <w:pPr>
        <w:pStyle w:val="null3"/>
        <w:jc w:val="center"/>
        <w:outlineLvl w:val="2"/>
      </w:pPr>
      <w:r>
        <w:rPr>
          <w:rFonts w:ascii="仿宋_GB2312" w:hAnsi="仿宋_GB2312" w:cs="仿宋_GB2312" w:eastAsia="仿宋_GB2312"/>
          <w:sz w:val="28"/>
          <w:b/>
        </w:rPr>
        <w:t>富平县到贤镇人民政府（本级）</w:t>
      </w:r>
    </w:p>
    <w:p>
      <w:pPr>
        <w:pStyle w:val="null3"/>
        <w:jc w:val="center"/>
        <w:outlineLvl w:val="2"/>
      </w:pPr>
      <w:r>
        <w:rPr>
          <w:rFonts w:ascii="仿宋_GB2312" w:hAnsi="仿宋_GB2312" w:cs="仿宋_GB2312" w:eastAsia="仿宋_GB2312"/>
          <w:sz w:val="28"/>
          <w:b/>
        </w:rPr>
        <w:t>中轩项目管理有限公司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中轩项目管理有限公司</w:t>
      </w:r>
      <w:r>
        <w:rPr>
          <w:rFonts w:ascii="仿宋_GB2312" w:hAnsi="仿宋_GB2312" w:cs="仿宋_GB2312" w:eastAsia="仿宋_GB2312"/>
        </w:rPr>
        <w:t>（以下简称“代理机构”）受</w:t>
      </w:r>
      <w:r>
        <w:rPr>
          <w:rFonts w:ascii="仿宋_GB2312" w:hAnsi="仿宋_GB2312" w:cs="仿宋_GB2312" w:eastAsia="仿宋_GB2312"/>
        </w:rPr>
        <w:t>富平县到贤镇人民政府（本级）</w:t>
      </w:r>
      <w:r>
        <w:rPr>
          <w:rFonts w:ascii="仿宋_GB2312" w:hAnsi="仿宋_GB2312" w:cs="仿宋_GB2312" w:eastAsia="仿宋_GB2312"/>
        </w:rPr>
        <w:t>委托，拟对</w:t>
      </w:r>
      <w:r>
        <w:rPr>
          <w:rFonts w:ascii="仿宋_GB2312" w:hAnsi="仿宋_GB2312" w:cs="仿宋_GB2312" w:eastAsia="仿宋_GB2312"/>
        </w:rPr>
        <w:t>到贤镇西仁村基础设施建设项目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ZXF20260629-ZFCG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到贤镇西仁村基础设施建设项目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建设内容为混凝土道路硬化1175平方米，厚度18厘米；巷道暗排600米，雨水箅子35个，检查井14座，自来水管网恢复；无害化处理与资源化利用100户。</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采购包1（到贤镇西仁村基础设施建设项目）：属于专门面向中小企业采购。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法定代表人身份证明书或授权委托书：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3、资质和专业要求：具备建筑工程或市政公用工程施工总承包三级及以上资质；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5、拟派项目经理资质和专业要求：拟派项目经理须具备建筑工程或市政公用工程注册建造师二级及以上资格和有效的安全生产考核证书，须提供项目经理无在建工程的相关证明材料或承诺书；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7、缴纳税收的要求：提供依法缴纳税收的良好记录（提供磋商响应文件递交截止时间前六个月内任意一个月份的缴纳凭据复印件或扫描件。依法免税或开标前一年内零申报的供应商应提供相关证明文件）；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投标截止日前不得为“信用中国”网站（www.creditchina.gov.cn）中列入失信被执行人、重大税收违法失信主体和政府采购严重违法失信行为记录名单的供应商；不得为“中国政府采购网”（www.ccgp.gov.cn）中政府采购严重违法失信行为信息记录名单中被财政部门禁止参加政府采购活动的供应商（注：处罚期限届满的除外，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11、磋商保证金要求：提供磋商保证金银行转账凭证及基本存款账户信息证明资料或金融机构、担保机构出具的保函复印件或扫描件；</w:t>
      </w:r>
    </w:p>
    <w:p>
      <w:pPr>
        <w:pStyle w:val="null3"/>
      </w:pPr>
      <w:r>
        <w:rPr>
          <w:rFonts w:ascii="仿宋_GB2312" w:hAnsi="仿宋_GB2312" w:cs="仿宋_GB2312" w:eastAsia="仿宋_GB2312"/>
        </w:rPr>
        <w:t>12、单位负责人为同一人或者存在直接控股、管理关系的不同供应商，不得参加同一合同项下的政府采购活动的要求：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13、具有履行合同所必需的设备和专业技术能力的要求：提供具有履行本合同所必需的设备和专业技术能力的说明及承诺；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14、面向中小企业采购政策落实情况：本项目专门面向中小企业采购，供应商须提供《中小企业声明函》。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富平县到贤镇人民政府（本级）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富平县到贤镇街道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15336157121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陕西省西安市莲湖区未央路99号荣民中央国际10层1001室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邓小玉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17691101968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开户名称：中轩项目管理有限公司富平分公司</w:t>
            </w:r>
          </w:p>
          <w:p>
            <w:pPr>
              <w:pStyle w:val="null3"/>
            </w:pPr>
            <w:r>
              <w:rPr>
                <w:rFonts w:ascii="仿宋_GB2312" w:hAnsi="仿宋_GB2312" w:cs="仿宋_GB2312" w:eastAsia="仿宋_GB2312"/>
              </w:rPr>
              <w:t>开户银行：中国银行股份有限公司富平县支行</w:t>
            </w:r>
          </w:p>
          <w:p>
            <w:pPr>
              <w:pStyle w:val="null3"/>
            </w:pPr>
            <w:r>
              <w:rPr>
                <w:rFonts w:ascii="仿宋_GB2312" w:hAnsi="仿宋_GB2312" w:cs="仿宋_GB2312" w:eastAsia="仿宋_GB2312"/>
              </w:rPr>
              <w:t>银行账号：103699646516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招标代理服务费参照国家计委印发《招标代理服务收费管理暂行办法》的通知（计价格[2002]1980号）计算收取，不计入工程造价，按照《国家发展改革委办公厅关于招标代理服务收费有关问题的通知》（发改办价格〔2003〕857号）规定向成交供应商收取。造价咨询服务费按（陕价行发【2014】88号文件）计算收取，不计入工程造价，由成交供应商支付。若本次招标失败（非代理机构原因），招标代理服务费和造价咨询服务费由采购人支付。具体金额详见中标（成交）结果公告，在领取成交通知书时向采购代理机构一次付清（现金或转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富平县到贤镇人民政府（本级）</w:t>
      </w:r>
      <w:r>
        <w:rPr>
          <w:rFonts w:ascii="仿宋_GB2312" w:hAnsi="仿宋_GB2312" w:cs="仿宋_GB2312" w:eastAsia="仿宋_GB2312"/>
        </w:rPr>
        <w:t>和</w:t>
      </w:r>
      <w:r>
        <w:rPr>
          <w:rFonts w:ascii="仿宋_GB2312" w:hAnsi="仿宋_GB2312" w:cs="仿宋_GB2312" w:eastAsia="仿宋_GB2312"/>
        </w:rPr>
        <w:t>中轩项目管理有限公司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富平县到贤镇人民政府（本级）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富平县到贤镇人民政府（本级）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联系人：邓小玉</w:t>
      </w:r>
    </w:p>
    <w:p>
      <w:pPr>
        <w:pStyle w:val="null3"/>
      </w:pPr>
      <w:r>
        <w:rPr>
          <w:rFonts w:ascii="仿宋_GB2312" w:hAnsi="仿宋_GB2312" w:cs="仿宋_GB2312" w:eastAsia="仿宋_GB2312"/>
        </w:rPr>
        <w:t>联系电话：17691101968</w:t>
      </w:r>
    </w:p>
    <w:p>
      <w:pPr>
        <w:pStyle w:val="null3"/>
      </w:pPr>
      <w:r>
        <w:rPr>
          <w:rFonts w:ascii="仿宋_GB2312" w:hAnsi="仿宋_GB2312" w:cs="仿宋_GB2312" w:eastAsia="仿宋_GB2312"/>
        </w:rPr>
        <w:t>地址：陕西省西安市莲湖区未央路99号荣民中央国际10层1001室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994,311.12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到贤镇西仁村基础设施建设项目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标的名称：到贤镇西仁村基础设施建设项目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0"/>
              </w:rPr>
              <w:t>到贤镇西仁村基础设施建设项目</w:t>
            </w:r>
          </w:p>
          <w:p>
            <w:pPr>
              <w:pStyle w:val="null3"/>
              <w:jc w:val="center"/>
            </w:pPr>
            <w:r>
              <w:rPr>
                <w:rFonts w:ascii="仿宋_GB2312" w:hAnsi="仿宋_GB2312" w:cs="仿宋_GB2312" w:eastAsia="仿宋_GB2312"/>
                <w:sz w:val="40"/>
              </w:rPr>
              <w:t>工程量清单编制说明</w:t>
            </w:r>
          </w:p>
          <w:p>
            <w:pPr>
              <w:pStyle w:val="null3"/>
              <w:spacing w:after="120"/>
              <w:jc w:val="both"/>
            </w:pPr>
            <w:r>
              <w:rPr>
                <w:rFonts w:ascii="仿宋_GB2312" w:hAnsi="仿宋_GB2312" w:cs="仿宋_GB2312" w:eastAsia="仿宋_GB2312"/>
                <w:sz w:val="32"/>
              </w:rPr>
              <w:t>一、工程概况</w:t>
            </w:r>
          </w:p>
          <w:p>
            <w:pPr>
              <w:pStyle w:val="null3"/>
              <w:jc w:val="both"/>
            </w:pPr>
            <w:r>
              <w:rPr>
                <w:rFonts w:ascii="仿宋_GB2312" w:hAnsi="仿宋_GB2312" w:cs="仿宋_GB2312" w:eastAsia="仿宋_GB2312"/>
                <w:sz w:val="32"/>
              </w:rPr>
              <w:t>（一）、工程名称：</w:t>
            </w:r>
            <w:r>
              <w:rPr>
                <w:rFonts w:ascii="仿宋_GB2312" w:hAnsi="仿宋_GB2312" w:cs="仿宋_GB2312" w:eastAsia="仿宋_GB2312"/>
                <w:sz w:val="32"/>
              </w:rPr>
              <w:t>到贤镇西仁村基础设施建设项目</w:t>
            </w:r>
          </w:p>
          <w:p>
            <w:pPr>
              <w:pStyle w:val="null3"/>
              <w:jc w:val="both"/>
            </w:pPr>
            <w:r>
              <w:rPr>
                <w:rFonts w:ascii="仿宋_GB2312" w:hAnsi="仿宋_GB2312" w:cs="仿宋_GB2312" w:eastAsia="仿宋_GB2312"/>
                <w:sz w:val="32"/>
              </w:rPr>
              <w:t>（二）、建设地点：</w:t>
            </w:r>
            <w:r>
              <w:rPr>
                <w:rFonts w:ascii="仿宋_GB2312" w:hAnsi="仿宋_GB2312" w:cs="仿宋_GB2312" w:eastAsia="仿宋_GB2312"/>
                <w:sz w:val="32"/>
              </w:rPr>
              <w:t>到贤镇西仁村</w:t>
            </w:r>
          </w:p>
          <w:p>
            <w:pPr>
              <w:pStyle w:val="null3"/>
              <w:jc w:val="both"/>
            </w:pPr>
            <w:r>
              <w:rPr>
                <w:rFonts w:ascii="仿宋_GB2312" w:hAnsi="仿宋_GB2312" w:cs="仿宋_GB2312" w:eastAsia="仿宋_GB2312"/>
                <w:sz w:val="32"/>
              </w:rPr>
              <w:t>（三）、</w:t>
            </w:r>
            <w:r>
              <w:rPr>
                <w:rFonts w:ascii="仿宋_GB2312" w:hAnsi="仿宋_GB2312" w:cs="仿宋_GB2312" w:eastAsia="仿宋_GB2312"/>
                <w:sz w:val="32"/>
              </w:rPr>
              <w:t>建设内容为</w:t>
            </w:r>
            <w:r>
              <w:rPr>
                <w:rFonts w:ascii="仿宋_GB2312" w:hAnsi="仿宋_GB2312" w:cs="仿宋_GB2312" w:eastAsia="仿宋_GB2312"/>
                <w:sz w:val="32"/>
              </w:rPr>
              <w:t>混凝土道路硬化</w:t>
            </w:r>
            <w:r>
              <w:rPr>
                <w:rFonts w:ascii="仿宋_GB2312" w:hAnsi="仿宋_GB2312" w:cs="仿宋_GB2312" w:eastAsia="仿宋_GB2312"/>
                <w:sz w:val="32"/>
              </w:rPr>
              <w:t>1175平方米，厚度18厘米；巷道暗排600米，雨水箅子35个，检查井14座，自来水管网恢复；无害化处理与资源化利用100户。</w:t>
            </w:r>
          </w:p>
          <w:p>
            <w:pPr>
              <w:pStyle w:val="null3"/>
              <w:jc w:val="both"/>
            </w:pPr>
            <w:r>
              <w:rPr>
                <w:rFonts w:ascii="仿宋_GB2312" w:hAnsi="仿宋_GB2312" w:cs="仿宋_GB2312" w:eastAsia="仿宋_GB2312"/>
                <w:sz w:val="32"/>
              </w:rPr>
              <w:t>二、编制依据</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到贤镇西仁村基础设施建设项目</w:t>
            </w:r>
            <w:r>
              <w:rPr>
                <w:rFonts w:ascii="仿宋_GB2312" w:hAnsi="仿宋_GB2312" w:cs="仿宋_GB2312" w:eastAsia="仿宋_GB2312"/>
                <w:sz w:val="32"/>
              </w:rPr>
              <w:t>》设计图及相关资料；</w:t>
            </w:r>
          </w:p>
          <w:p>
            <w:pPr>
              <w:pStyle w:val="null3"/>
              <w:ind w:firstLine="640"/>
              <w:jc w:val="both"/>
            </w:pPr>
            <w:r>
              <w:rPr>
                <w:rFonts w:ascii="仿宋_GB2312" w:hAnsi="仿宋_GB2312" w:cs="仿宋_GB2312" w:eastAsia="仿宋_GB2312"/>
                <w:sz w:val="32"/>
              </w:rPr>
              <w:t>2.《陕西省建设工程工程量清单计价标准》（2025）及《陕西省建设工程费用规则》（2025）；</w:t>
            </w:r>
          </w:p>
          <w:p>
            <w:pPr>
              <w:pStyle w:val="null3"/>
              <w:ind w:firstLine="640"/>
              <w:jc w:val="both"/>
            </w:pPr>
            <w:r>
              <w:rPr>
                <w:rFonts w:ascii="仿宋_GB2312" w:hAnsi="仿宋_GB2312" w:cs="仿宋_GB2312" w:eastAsia="仿宋_GB2312"/>
                <w:sz w:val="32"/>
              </w:rPr>
              <w:t>3.《陕西省市政工程工程量计算标准》（2025）、《陕西省园林绿化工程基价表》(2025)；</w:t>
            </w:r>
          </w:p>
          <w:p>
            <w:pPr>
              <w:pStyle w:val="null3"/>
              <w:ind w:firstLine="640"/>
              <w:jc w:val="both"/>
            </w:pPr>
            <w:r>
              <w:rPr>
                <w:rFonts w:ascii="仿宋_GB2312" w:hAnsi="仿宋_GB2312" w:cs="仿宋_GB2312" w:eastAsia="仿宋_GB2312"/>
                <w:sz w:val="32"/>
              </w:rPr>
              <w:t>4.《陕西省市政工程消耗量定额》（2025）、《陕西省园林绿化工程消耗量定额》(2025)；</w:t>
            </w:r>
          </w:p>
          <w:p>
            <w:pPr>
              <w:pStyle w:val="null3"/>
              <w:ind w:firstLine="640"/>
              <w:jc w:val="both"/>
            </w:pPr>
            <w:r>
              <w:rPr>
                <w:rFonts w:ascii="仿宋_GB2312" w:hAnsi="仿宋_GB2312" w:cs="仿宋_GB2312" w:eastAsia="仿宋_GB2312"/>
                <w:sz w:val="32"/>
              </w:rPr>
              <w:t>5.《陕西省建设工程施工机械台班费用定额（2025）》、《陕西省建设工程施工仪器仪表台班费用定额（2025）》；</w:t>
            </w:r>
          </w:p>
          <w:p>
            <w:pPr>
              <w:pStyle w:val="null3"/>
              <w:ind w:firstLine="640"/>
              <w:jc w:val="both"/>
            </w:pPr>
            <w:r>
              <w:rPr>
                <w:rFonts w:ascii="仿宋_GB2312" w:hAnsi="仿宋_GB2312" w:cs="仿宋_GB2312" w:eastAsia="仿宋_GB2312"/>
                <w:sz w:val="32"/>
              </w:rPr>
              <w:t>6.与建设工程项目有关的标准、规范、图集、技术资料；</w:t>
            </w:r>
          </w:p>
          <w:p>
            <w:pPr>
              <w:pStyle w:val="null3"/>
              <w:ind w:firstLine="640"/>
              <w:jc w:val="both"/>
            </w:pPr>
            <w:r>
              <w:rPr>
                <w:rFonts w:ascii="仿宋_GB2312" w:hAnsi="仿宋_GB2312" w:cs="仿宋_GB2312" w:eastAsia="仿宋_GB2312"/>
                <w:sz w:val="32"/>
              </w:rPr>
              <w:t>7.结合施工现场情况、工程特点参照常规的施工方案；</w:t>
            </w:r>
          </w:p>
          <w:p>
            <w:pPr>
              <w:pStyle w:val="null3"/>
              <w:ind w:firstLine="640"/>
              <w:jc w:val="both"/>
            </w:pPr>
            <w:r>
              <w:rPr>
                <w:rFonts w:ascii="仿宋_GB2312" w:hAnsi="仿宋_GB2312" w:cs="仿宋_GB2312" w:eastAsia="仿宋_GB2312"/>
                <w:sz w:val="32"/>
              </w:rPr>
              <w:t>8.其他相关资料。</w:t>
            </w:r>
          </w:p>
          <w:p>
            <w:pPr>
              <w:pStyle w:val="null3"/>
              <w:jc w:val="both"/>
            </w:pPr>
            <w:r>
              <w:rPr>
                <w:rFonts w:ascii="仿宋_GB2312" w:hAnsi="仿宋_GB2312" w:cs="仿宋_GB2312" w:eastAsia="仿宋_GB2312"/>
                <w:sz w:val="32"/>
              </w:rPr>
              <w:t>三、需要说明的内容</w:t>
            </w:r>
          </w:p>
          <w:p>
            <w:pPr>
              <w:pStyle w:val="null3"/>
              <w:ind w:firstLine="640"/>
              <w:jc w:val="both"/>
            </w:pPr>
            <w:r>
              <w:rPr>
                <w:rFonts w:ascii="仿宋_GB2312" w:hAnsi="仿宋_GB2312" w:cs="仿宋_GB2312" w:eastAsia="仿宋_GB2312"/>
                <w:sz w:val="32"/>
              </w:rPr>
              <w:t>1.本工程工程量清单仅描述主要特征，清单描述不完整、但图纸明确标识的以图纸为准进行报价，描述不完整的视为已包含在总价中。</w:t>
            </w:r>
          </w:p>
          <w:p>
            <w:pPr>
              <w:pStyle w:val="null3"/>
              <w:spacing w:after="120"/>
              <w:ind w:firstLine="640"/>
              <w:jc w:val="both"/>
            </w:pPr>
            <w:r>
              <w:rPr>
                <w:rFonts w:ascii="仿宋_GB2312" w:hAnsi="仿宋_GB2312" w:cs="仿宋_GB2312" w:eastAsia="仿宋_GB2312"/>
                <w:sz w:val="32"/>
              </w:rPr>
              <w:t>2.混凝土暂按预拌混凝土考虑。</w:t>
            </w:r>
          </w:p>
          <w:p>
            <w:pPr>
              <w:pStyle w:val="null3"/>
              <w:jc w:val="both"/>
            </w:pPr>
            <w:r>
              <w:rPr>
                <w:rFonts w:ascii="仿宋_GB2312" w:hAnsi="仿宋_GB2312" w:cs="仿宋_GB2312" w:eastAsia="仿宋_GB2312"/>
                <w:sz w:val="32"/>
              </w:rPr>
              <w:t>四、其他说明</w:t>
            </w:r>
          </w:p>
          <w:p>
            <w:pPr>
              <w:pStyle w:val="null3"/>
              <w:ind w:firstLine="640"/>
              <w:jc w:val="both"/>
            </w:pPr>
            <w:r>
              <w:rPr>
                <w:rFonts w:ascii="仿宋_GB2312" w:hAnsi="仿宋_GB2312" w:cs="仿宋_GB2312" w:eastAsia="仿宋_GB2312"/>
                <w:sz w:val="32"/>
              </w:rPr>
              <w:t>1.采用广联达计价软件版本GCCP7.0(7.5000.23.2)。</w:t>
            </w:r>
          </w:p>
          <w:p>
            <w:pPr>
              <w:pStyle w:val="null3"/>
              <w:ind w:firstLine="640"/>
              <w:jc w:val="both"/>
            </w:pPr>
            <w:r>
              <w:rPr>
                <w:rFonts w:ascii="仿宋_GB2312" w:hAnsi="仿宋_GB2312" w:cs="仿宋_GB2312" w:eastAsia="仿宋_GB2312"/>
                <w:sz w:val="32"/>
              </w:rPr>
              <w:t>2.具体详见工程量清单。</w:t>
            </w:r>
          </w:p>
          <w:p>
            <w:pPr>
              <w:pStyle w:val="null3"/>
              <w:jc w:val="left"/>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1、计划工期：60日历天(计划开、竣工日期以施工合同签订时间为准)；2、付款方式： 本项目工程预付款为合同价款的30%，竣工验收合格后 ，支付至合同价款的 70.00%； 待工程决算审计报告双方签字盖章认可后 ，支付至合同价款的 97.00%；剩余合同总金额3%作为质保金，自终验结束之日起12个月内，在发包人处办理3%工程款的支付手续，7个工作日内支付。（具体付款以财政资金实际下达为依据，如因不可抗力、政府原因或政策影响等因素导致款项未能按合同约定时效、比例支付的，甲方不承担违约责任，乙方不得以此为由拒绝履行合同约定的责任和义务）</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时供应商无需提供纸质版响应文件。成交供应商在领取成交通知书前将纸质版响应文件打印胶装3份、电子版(U盘)文件3份提交至采购代理机构处，以便采购人进行留存备案等工作，成交供应商应保持响应文件纸质版内容与电子版内容完全一致，否则将承担一切法律责任。纸质版响应文件一律采用书籍(胶装)方式装订且单面或双面打印。2、落实政府采购政策需满足的资格要求：（1）《节能产品政府采购实施意见》（财库〔2004〕185号）；（2）《国务院办公厅关于建立政府强制采购节能产品制度的通知》（国办发〔2007〕51号）；（3）《财政部司法部关于政府采购支持监狱企业发展有关问题的通知》（财库〔2014〕68号）；（4）三部门联合发布《关于促进残疾人就业政府采购政策的通知》（财库〔2017〕141号）；（5）《财政部发展改革委生态环境部市场监管总局关于调整优化节能产品、环境标志产品政府采购执行机制的通知》（财库〔2019〕9号）；（6）陕西省财政厅关于印发《陕西省中小企业政府采购信用融资办法》 （陕财办采〔2018〕23号）；（7）《陕西省财政厅关于加快推进我省中小企业政府采购信用融资工作的通知》（陕财办采〔2020〕15号）；（8）《政府采购促进中小企业发展管理办法》（财库〔2020〕46号）；（9）《关于进一步加大政府采购支持中小企业力度的通知》（财库〔2022〕19号）；（10）《财政部 农业农村部 国家乡村振兴局关于运用政府采购政策支持乡村产业振兴的通知》（财库〔2021〕19号）；（11）陕西省财政厅《关于进一步加强政府绿色采购有关问题的通知》（陕财办〔2021〕29号）；（12）《关于促进政府采购公平竞争优化营商环境的通知》（财库〔2019〕38号）；（13）《陕西省财政厅关于进一步落实政府采购支持中小企业相关政策的通知》（陕财办采〔2023〕3号）；（14）《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具备建筑工程或市政公用工程施工总承包三级及以上资质；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拟派项目经理须具备建筑工程或市政公用工程注册建造师二级及以上资格和有效的安全生产考核证书，须提供项目经理无在建工程的相关证明材料或承诺书；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项目组织机构.docx 供应商资格要求.docx 项目管理机构组成表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提供依法缴纳税收的良好记录（提供磋商响应文件递交截止时间前六个月内任意一个月份的缴纳凭据复印件或扫描件。依法免税或开标前一年内零申报的供应商应提供相关证明文件）；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提供依法缴纳社会保障资金的良好记录（提供磋商响应文件递交截止时间前六个月内任意一个月份的缴纳凭据复印件或扫描件。依法不需要缴纳社会保障资金的供应商应提供相关证明文件）；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不得为“中国政府采购网”（www.ccgp.gov.cn）中政府采购严重违法失信行为信息记录名单中被财政部门禁止参加政府采购活动的供应商（注：处罚期限届满的除外，最终以采购代理机构开标现场查询结果为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提供磋商保证金银行转账凭证及基本存款账户信息证明资料或金融机构、担保机构出具的保函复印件或扫描件；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供应商资格要求.docx 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项目管理机构组成表 其他应说明的事项.docx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付款方式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计划工期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技术响应.docx 报价函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磋商报价不得高于本项目最高限价</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项目管理机构组成表 其他应说明的事项.docx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响应文件含有采购人不能接受的附加条件，按无效响应处理</w:t>
            </w:r>
          </w:p>
        </w:tc>
        <w:tc>
          <w:tcPr>
            <w:tcW w:type="dxa" w:w="3322"/>
          </w:tcPr>
          <w:p>
            <w:pPr>
              <w:pStyle w:val="null3"/>
            </w:pPr>
            <w:r>
              <w:rPr>
                <w:rFonts w:ascii="仿宋_GB2312" w:hAnsi="仿宋_GB2312" w:cs="仿宋_GB2312" w:eastAsia="仿宋_GB2312"/>
              </w:rPr>
              <w:t>响应文件含有采购人不能接受的附加条件，按无效响应处理</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项目管理机构组成表 其他应说明的事项.docx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项目管理机构组成表 其他应说明的事项.docx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提供针对本项目的施工组织设计，至少应包括：①确保工程质量的技术组织措施；②确保安全生产的技术组织措施；③确保文明施工及环境保护的技术组织措施；④确保工期的技术组织措施及施工进度表(横道图或网络图)；⑤施工方案；⑥施工机械配备和材料投入计划及劳动力安排计划；⑦新技术、新产品、新工艺、新材料应用。包含但不限于上述全部内容，方案详细，清晰有利于项目实施的每项得8分。（如有缺陷或不足在此分数基础上进行扣分），以上7项中： （1）每有1项缺失或不切实符合项目需求的扣8分； （2）每有1项内容存在缺陷或不足扣5分； （3）每有1项总体内容完备但存在部分瑕疵扣2分。</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1、项目经理具有中级职称的得2分，高级及以上职称得3分。 2、具有五大员（质量员、安全员、施工员、材料员、资料员）上岗证书（安全员须具有安全生产考核合格证书）的一项得1分，最高得5分。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项目组织机构.docx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2023年6月至今完成的类似业绩，一项得2分，最多得6分。 注：1.须附类似项目业绩的成交（中标）通知书或合同或竣工验收证明材料复印件或扫描件，并加盖公章； 2. 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经资格审查合格及符合性审查合格的磋商响应文件，其磋商报价有效；将满足磋商文件要求且最后报价最低的供应商的价格作为磋商基准价，其价格分为满分（30分）； 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详见附件：近年完成的类似项目情况表.docx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