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17E59">
      <w:pPr>
        <w:pStyle w:val="9"/>
        <w:jc w:val="center"/>
        <w:outlineLvl w:val="1"/>
        <w:rPr>
          <w:rFonts w:hint="eastAsia" w:ascii="仿宋_GB2312" w:hAnsi="仿宋_GB2312" w:eastAsia="仿宋_GB2312" w:cs="仿宋_GB2312"/>
          <w:b/>
          <w:sz w:val="36"/>
          <w:lang w:val="en-US" w:eastAsia="zh-CN"/>
        </w:rPr>
      </w:pPr>
      <w:r>
        <w:rPr>
          <w:rFonts w:hint="eastAsia" w:ascii="仿宋_GB2312" w:hAnsi="仿宋_GB2312" w:eastAsia="仿宋_GB2312" w:cs="仿宋_GB2312"/>
          <w:b/>
          <w:sz w:val="36"/>
          <w:lang w:val="en-US" w:eastAsia="zh-CN"/>
        </w:rPr>
        <w:t>补充说明</w:t>
      </w:r>
    </w:p>
    <w:tbl>
      <w:tblPr>
        <w:tblStyle w:val="7"/>
        <w:tblW w:w="9386"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1907"/>
        <w:gridCol w:w="6589"/>
      </w:tblGrid>
      <w:tr w14:paraId="24187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rPr>
        <w:tc>
          <w:tcPr>
            <w:tcW w:w="890" w:type="dxa"/>
            <w:vAlign w:val="center"/>
          </w:tcPr>
          <w:p w14:paraId="0E70173C">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907" w:type="dxa"/>
            <w:vAlign w:val="center"/>
          </w:tcPr>
          <w:p w14:paraId="02A057B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条款名称</w:t>
            </w:r>
          </w:p>
        </w:tc>
        <w:tc>
          <w:tcPr>
            <w:tcW w:w="6589" w:type="dxa"/>
            <w:vAlign w:val="center"/>
          </w:tcPr>
          <w:p w14:paraId="4E4CA7B6">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lang w:val="en-US" w:eastAsia="zh-CN"/>
              </w:rPr>
              <w:t>内容</w:t>
            </w:r>
          </w:p>
        </w:tc>
      </w:tr>
      <w:tr w14:paraId="0BE53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05E380C6">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i w:val="0"/>
                <w:iCs w:val="0"/>
                <w:color w:val="auto"/>
                <w:kern w:val="2"/>
                <w:sz w:val="24"/>
                <w:szCs w:val="24"/>
                <w:lang w:val="en-US" w:eastAsia="zh-CN" w:bidi="ar-SA"/>
              </w:rPr>
            </w:pPr>
            <w:r>
              <w:rPr>
                <w:rFonts w:hint="eastAsia" w:ascii="仿宋" w:hAnsi="仿宋" w:eastAsia="仿宋" w:cs="仿宋"/>
                <w:color w:val="auto"/>
                <w:sz w:val="24"/>
                <w:szCs w:val="24"/>
                <w:lang w:val="en-US" w:eastAsia="zh-CN"/>
              </w:rPr>
              <w:t>1</w:t>
            </w:r>
          </w:p>
        </w:tc>
        <w:tc>
          <w:tcPr>
            <w:tcW w:w="1907" w:type="dxa"/>
            <w:shd w:val="clear" w:color="auto" w:fill="auto"/>
            <w:vAlign w:val="center"/>
          </w:tcPr>
          <w:p w14:paraId="74FB033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供应商</w:t>
            </w:r>
          </w:p>
          <w:p w14:paraId="2327F8FF">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i w:val="0"/>
                <w:iCs w:val="0"/>
                <w:color w:val="auto"/>
                <w:kern w:val="2"/>
                <w:sz w:val="24"/>
                <w:szCs w:val="24"/>
                <w:lang w:val="en-US" w:eastAsia="zh-CN" w:bidi="ar-SA"/>
              </w:rPr>
            </w:pPr>
            <w:r>
              <w:rPr>
                <w:rFonts w:hint="eastAsia" w:ascii="仿宋" w:hAnsi="仿宋" w:eastAsia="仿宋" w:cs="仿宋"/>
                <w:color w:val="auto"/>
                <w:sz w:val="24"/>
                <w:highlight w:val="none"/>
                <w:lang w:val="en-US" w:eastAsia="zh-CN"/>
              </w:rPr>
              <w:t>资格连续性</w:t>
            </w:r>
          </w:p>
        </w:tc>
        <w:tc>
          <w:tcPr>
            <w:tcW w:w="6589" w:type="dxa"/>
            <w:shd w:val="clear" w:color="auto" w:fill="auto"/>
            <w:vAlign w:val="center"/>
          </w:tcPr>
          <w:p w14:paraId="3A0DAEB3">
            <w:pPr>
              <w:keepNext w:val="0"/>
              <w:keepLines w:val="0"/>
              <w:pageBreakBefore w:val="0"/>
              <w:widowControl w:val="0"/>
              <w:kinsoku/>
              <w:wordWrap/>
              <w:overflowPunct/>
              <w:topLinePunct w:val="0"/>
              <w:autoSpaceDE/>
              <w:autoSpaceDN/>
              <w:bidi w:val="0"/>
              <w:adjustRightInd/>
              <w:snapToGrid/>
              <w:spacing w:beforeAutospacing="0" w:afterAutospacing="0" w:line="480" w:lineRule="exact"/>
              <w:jc w:val="both"/>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en-US" w:eastAsia="zh-CN"/>
              </w:rPr>
              <w:t>供应商</w:t>
            </w:r>
            <w:r>
              <w:rPr>
                <w:rFonts w:hint="default" w:ascii="仿宋" w:hAnsi="仿宋" w:eastAsia="仿宋" w:cs="仿宋"/>
                <w:color w:val="auto"/>
                <w:sz w:val="24"/>
                <w:szCs w:val="24"/>
                <w:highlight w:val="none"/>
                <w:lang w:val="en-US" w:eastAsia="zh-CN"/>
              </w:rPr>
              <w:t>发生合并、分立、破产等重大变化的，应及时书面告知</w:t>
            </w:r>
            <w:r>
              <w:rPr>
                <w:rFonts w:hint="eastAsia" w:ascii="仿宋" w:hAnsi="仿宋" w:eastAsia="仿宋" w:cs="仿宋"/>
                <w:color w:val="auto"/>
                <w:sz w:val="24"/>
                <w:szCs w:val="24"/>
                <w:highlight w:val="none"/>
                <w:lang w:val="en-US" w:eastAsia="zh-CN"/>
              </w:rPr>
              <w:t>采购人</w:t>
            </w:r>
            <w:r>
              <w:rPr>
                <w:rFonts w:hint="default" w:ascii="仿宋" w:hAnsi="仿宋" w:eastAsia="仿宋" w:cs="仿宋"/>
                <w:color w:val="auto"/>
                <w:sz w:val="24"/>
                <w:szCs w:val="24"/>
                <w:highlight w:val="none"/>
                <w:lang w:val="en-US" w:eastAsia="zh-CN"/>
              </w:rPr>
              <w:t>，否则承担一切不利后果</w:t>
            </w:r>
            <w:r>
              <w:rPr>
                <w:rFonts w:hint="eastAsia" w:ascii="仿宋" w:hAnsi="仿宋" w:eastAsia="仿宋" w:cs="仿宋"/>
                <w:color w:val="auto"/>
                <w:sz w:val="24"/>
                <w:szCs w:val="24"/>
                <w:highlight w:val="none"/>
                <w:lang w:val="en-US" w:eastAsia="zh-CN"/>
              </w:rPr>
              <w:t>。重大变化导致供应商或中标人不再符合招标要求或不能正常履约的，任何时候采购人均有权取消其投标或中标资格。</w:t>
            </w:r>
          </w:p>
          <w:p w14:paraId="4BE6B3FD">
            <w:pPr>
              <w:pStyle w:val="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default" w:ascii="仿宋" w:hAnsi="仿宋" w:eastAsia="仿宋" w:cs="仿宋"/>
                <w:color w:val="auto"/>
                <w:kern w:val="2"/>
                <w:sz w:val="24"/>
                <w:szCs w:val="24"/>
                <w:highlight w:val="none"/>
                <w:lang w:val="en-US" w:eastAsia="zh-CN" w:bidi="ar-SA"/>
              </w:rPr>
            </w:pPr>
            <w:r>
              <w:rPr>
                <w:rFonts w:hint="default" w:ascii="仿宋" w:hAnsi="仿宋" w:eastAsia="仿宋" w:cs="仿宋"/>
                <w:color w:val="auto"/>
                <w:sz w:val="24"/>
                <w:szCs w:val="24"/>
                <w:highlight w:val="none"/>
                <w:lang w:val="en-US" w:eastAsia="zh-CN"/>
              </w:rPr>
              <w:t>2）中标人</w:t>
            </w:r>
            <w:r>
              <w:rPr>
                <w:rFonts w:hint="eastAsia" w:ascii="仿宋" w:hAnsi="仿宋" w:eastAsia="仿宋" w:cs="仿宋"/>
                <w:color w:val="auto"/>
                <w:sz w:val="24"/>
                <w:szCs w:val="24"/>
                <w:highlight w:val="none"/>
                <w:lang w:val="en-US" w:eastAsia="zh-CN"/>
              </w:rPr>
              <w:t>应</w:t>
            </w:r>
            <w:r>
              <w:rPr>
                <w:rFonts w:hint="default" w:ascii="仿宋" w:hAnsi="仿宋" w:eastAsia="仿宋" w:cs="仿宋"/>
                <w:color w:val="auto"/>
                <w:sz w:val="24"/>
                <w:szCs w:val="24"/>
                <w:highlight w:val="none"/>
                <w:lang w:val="en-US" w:eastAsia="zh-CN"/>
              </w:rPr>
              <w:t>保证企业</w:t>
            </w:r>
            <w:r>
              <w:rPr>
                <w:rFonts w:hint="eastAsia" w:ascii="仿宋" w:hAnsi="仿宋" w:eastAsia="仿宋" w:cs="仿宋"/>
                <w:color w:val="auto"/>
                <w:sz w:val="24"/>
                <w:szCs w:val="24"/>
                <w:highlight w:val="none"/>
                <w:lang w:val="en-US" w:eastAsia="zh-CN"/>
              </w:rPr>
              <w:t>、投标产品及与项目履约相关的必备资质及相关证书的有效性、连续性。如</w:t>
            </w:r>
            <w:r>
              <w:rPr>
                <w:rFonts w:hint="default" w:ascii="仿宋" w:hAnsi="仿宋" w:eastAsia="仿宋" w:cs="仿宋"/>
                <w:color w:val="auto"/>
                <w:sz w:val="24"/>
                <w:szCs w:val="24"/>
                <w:highlight w:val="none"/>
                <w:lang w:val="en-US" w:eastAsia="zh-CN"/>
              </w:rPr>
              <w:t>遇</w:t>
            </w:r>
            <w:r>
              <w:rPr>
                <w:rFonts w:hint="eastAsia" w:ascii="仿宋" w:hAnsi="仿宋" w:eastAsia="仿宋" w:cs="仿宋"/>
                <w:color w:val="auto"/>
                <w:sz w:val="24"/>
                <w:szCs w:val="24"/>
                <w:highlight w:val="none"/>
                <w:lang w:val="en-US" w:eastAsia="zh-CN"/>
              </w:rPr>
              <w:t>资质或证书</w:t>
            </w:r>
            <w:r>
              <w:rPr>
                <w:rFonts w:hint="default" w:ascii="仿宋" w:hAnsi="仿宋" w:eastAsia="仿宋" w:cs="仿宋"/>
                <w:color w:val="auto"/>
                <w:sz w:val="24"/>
                <w:szCs w:val="24"/>
                <w:highlight w:val="none"/>
                <w:lang w:val="en-US" w:eastAsia="zh-CN"/>
              </w:rPr>
              <w:t>临界</w:t>
            </w:r>
            <w:r>
              <w:rPr>
                <w:rFonts w:hint="eastAsia" w:ascii="仿宋" w:hAnsi="仿宋" w:eastAsia="仿宋" w:cs="仿宋"/>
                <w:color w:val="auto"/>
                <w:sz w:val="24"/>
                <w:szCs w:val="24"/>
                <w:highlight w:val="none"/>
                <w:lang w:val="en-US" w:eastAsia="zh-CN"/>
              </w:rPr>
              <w:t>到期需更换，中标人应提前及时续办，确保中标人资格合规合法有效，</w:t>
            </w:r>
            <w:r>
              <w:rPr>
                <w:rFonts w:hint="default" w:ascii="仿宋" w:hAnsi="仿宋" w:eastAsia="仿宋" w:cs="仿宋"/>
                <w:color w:val="auto"/>
                <w:sz w:val="24"/>
                <w:szCs w:val="24"/>
                <w:highlight w:val="none"/>
                <w:lang w:val="en-US" w:eastAsia="zh-CN"/>
              </w:rPr>
              <w:t>否则</w:t>
            </w:r>
            <w:r>
              <w:rPr>
                <w:rFonts w:hint="eastAsia" w:ascii="仿宋" w:hAnsi="仿宋" w:eastAsia="仿宋" w:cs="仿宋"/>
                <w:color w:val="auto"/>
                <w:sz w:val="24"/>
                <w:szCs w:val="24"/>
                <w:highlight w:val="none"/>
                <w:lang w:val="en-US" w:eastAsia="zh-CN"/>
              </w:rPr>
              <w:t>招标人</w:t>
            </w:r>
            <w:r>
              <w:rPr>
                <w:rFonts w:hint="default" w:ascii="仿宋" w:hAnsi="仿宋" w:eastAsia="仿宋" w:cs="仿宋"/>
                <w:color w:val="auto"/>
                <w:sz w:val="24"/>
                <w:szCs w:val="24"/>
                <w:highlight w:val="none"/>
                <w:lang w:val="en-US" w:eastAsia="zh-CN"/>
              </w:rPr>
              <w:t>有权随时取消其</w:t>
            </w:r>
            <w:r>
              <w:rPr>
                <w:rFonts w:hint="eastAsia" w:ascii="仿宋" w:hAnsi="仿宋" w:eastAsia="仿宋" w:cs="仿宋"/>
                <w:color w:val="auto"/>
                <w:sz w:val="24"/>
                <w:szCs w:val="24"/>
                <w:highlight w:val="none"/>
                <w:lang w:val="en-US" w:eastAsia="zh-CN"/>
              </w:rPr>
              <w:t>中标</w:t>
            </w:r>
            <w:r>
              <w:rPr>
                <w:rFonts w:hint="default" w:ascii="仿宋" w:hAnsi="仿宋" w:eastAsia="仿宋" w:cs="仿宋"/>
                <w:color w:val="auto"/>
                <w:sz w:val="24"/>
                <w:szCs w:val="24"/>
                <w:highlight w:val="none"/>
                <w:lang w:val="en-US" w:eastAsia="zh-CN"/>
              </w:rPr>
              <w:t>或履约资格</w:t>
            </w:r>
            <w:r>
              <w:rPr>
                <w:rFonts w:hint="eastAsia" w:ascii="仿宋" w:hAnsi="仿宋" w:eastAsia="仿宋" w:cs="仿宋"/>
                <w:color w:val="auto"/>
                <w:sz w:val="24"/>
                <w:szCs w:val="24"/>
                <w:highlight w:val="none"/>
                <w:lang w:val="en-US" w:eastAsia="zh-CN"/>
              </w:rPr>
              <w:t>，由此造成的后果由中标人自行承担</w:t>
            </w:r>
            <w:r>
              <w:rPr>
                <w:rFonts w:hint="default" w:ascii="仿宋" w:hAnsi="仿宋" w:eastAsia="仿宋" w:cs="仿宋"/>
                <w:color w:val="auto"/>
                <w:sz w:val="24"/>
                <w:szCs w:val="24"/>
                <w:highlight w:val="none"/>
                <w:lang w:val="en-US" w:eastAsia="zh-CN"/>
              </w:rPr>
              <w:t>。</w:t>
            </w:r>
          </w:p>
        </w:tc>
      </w:tr>
      <w:tr w14:paraId="390EE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1263325">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2</w:t>
            </w:r>
          </w:p>
        </w:tc>
        <w:tc>
          <w:tcPr>
            <w:tcW w:w="1907" w:type="dxa"/>
            <w:shd w:val="clear" w:color="auto" w:fill="auto"/>
            <w:vAlign w:val="center"/>
          </w:tcPr>
          <w:p w14:paraId="5CE07E4A">
            <w:pPr>
              <w:keepNext w:val="0"/>
              <w:keepLines w:val="0"/>
              <w:pageBreakBefore w:val="0"/>
              <w:kinsoku/>
              <w:wordWrap/>
              <w:overflowPunct/>
              <w:topLinePunct w:val="0"/>
              <w:autoSpaceDE/>
              <w:autoSpaceDN/>
              <w:bidi w:val="0"/>
              <w:adjustRightInd/>
              <w:spacing w:line="500" w:lineRule="exact"/>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现场勘查</w:t>
            </w:r>
          </w:p>
        </w:tc>
        <w:tc>
          <w:tcPr>
            <w:tcW w:w="6589" w:type="dxa"/>
            <w:shd w:val="clear" w:color="auto" w:fill="auto"/>
            <w:vAlign w:val="center"/>
          </w:tcPr>
          <w:p w14:paraId="6AADA4D8">
            <w:pPr>
              <w:pStyle w:val="2"/>
              <w:keepNext w:val="0"/>
              <w:keepLines w:val="0"/>
              <w:pageBreakBefore w:val="0"/>
              <w:kinsoku/>
              <w:wordWrap/>
              <w:overflowPunct/>
              <w:topLinePunct w:val="0"/>
              <w:autoSpaceDE/>
              <w:autoSpaceDN/>
              <w:bidi w:val="0"/>
              <w:adjustRightInd/>
              <w:spacing w:line="500" w:lineRule="exact"/>
              <w:ind w:firstLine="0" w:firstLineChars="0"/>
              <w:rPr>
                <w:rFonts w:hint="eastAsia" w:ascii="仿宋" w:hAnsi="仿宋" w:eastAsia="仿宋" w:cs="仿宋"/>
                <w:color w:val="auto"/>
                <w:sz w:val="24"/>
                <w:szCs w:val="24"/>
                <w:lang w:eastAsia="zh-CN"/>
              </w:rPr>
            </w:pPr>
            <w:r>
              <w:rPr>
                <w:rFonts w:hint="eastAsia" w:ascii="仿宋" w:hAnsi="仿宋" w:eastAsia="仿宋" w:cs="仿宋"/>
                <w:color w:val="auto"/>
                <w:sz w:val="24"/>
                <w:szCs w:val="24"/>
              </w:rPr>
              <w:t>不组织</w:t>
            </w:r>
            <w:r>
              <w:rPr>
                <w:rFonts w:hint="eastAsia" w:ascii="仿宋" w:hAnsi="仿宋" w:eastAsia="仿宋" w:cs="仿宋"/>
                <w:color w:val="auto"/>
                <w:sz w:val="24"/>
                <w:szCs w:val="24"/>
                <w:lang w:eastAsia="zh-CN"/>
              </w:rPr>
              <w:t>。</w:t>
            </w:r>
          </w:p>
          <w:p w14:paraId="331FBBA7">
            <w:pPr>
              <w:pStyle w:val="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1.若需自行踏勘，请联系采购人。在踏勘现场中发生的费用、人员伤亡和财产损失均由供应商自行负责。</w:t>
            </w:r>
          </w:p>
          <w:p w14:paraId="70F23BC7">
            <w:pPr>
              <w:pStyle w:val="5"/>
              <w:spacing w:line="360" w:lineRule="auto"/>
              <w:rPr>
                <w:rFonts w:hint="eastAsia" w:ascii="仿宋" w:hAnsi="仿宋" w:eastAsia="仿宋" w:cs="仿宋"/>
                <w:color w:val="auto"/>
                <w:sz w:val="24"/>
                <w:szCs w:val="24"/>
                <w:lang w:val="en-US" w:eastAsia="zh-CN"/>
              </w:rPr>
            </w:pPr>
            <w:r>
              <w:rPr>
                <w:rFonts w:hint="eastAsia" w:ascii="仿宋" w:hAnsi="仿宋" w:eastAsia="仿宋" w:cs="仿宋"/>
                <w:color w:val="auto"/>
                <w:kern w:val="2"/>
                <w:sz w:val="24"/>
                <w:szCs w:val="24"/>
                <w:highlight w:val="none"/>
                <w:lang w:val="en-US" w:eastAsia="zh-CN" w:bidi="ar-SA"/>
              </w:rPr>
              <w:t>2.供应商在踏勘现场中了解到的相关情况，仅供其在投标文件时参考，采购人不对供应商据此作出的判断和决策负责。</w:t>
            </w:r>
          </w:p>
        </w:tc>
      </w:tr>
      <w:tr w14:paraId="15EAB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1218B2D">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w:t>
            </w:r>
          </w:p>
        </w:tc>
        <w:tc>
          <w:tcPr>
            <w:tcW w:w="1907" w:type="dxa"/>
            <w:shd w:val="clear" w:color="auto" w:fill="auto"/>
            <w:vAlign w:val="center"/>
          </w:tcPr>
          <w:p w14:paraId="7D9205B0">
            <w:pPr>
              <w:keepNext w:val="0"/>
              <w:keepLines w:val="0"/>
              <w:pageBreakBefore w:val="0"/>
              <w:kinsoku/>
              <w:wordWrap/>
              <w:overflowPunct/>
              <w:topLinePunct w:val="0"/>
              <w:autoSpaceDE/>
              <w:autoSpaceDN/>
              <w:bidi w:val="0"/>
              <w:adjustRightInd/>
              <w:spacing w:line="50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标前答疑会</w:t>
            </w:r>
          </w:p>
        </w:tc>
        <w:tc>
          <w:tcPr>
            <w:tcW w:w="6589" w:type="dxa"/>
            <w:shd w:val="clear" w:color="auto" w:fill="auto"/>
            <w:vAlign w:val="center"/>
          </w:tcPr>
          <w:p w14:paraId="10FF0FB6">
            <w:pPr>
              <w:pStyle w:val="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kern w:val="2"/>
                <w:sz w:val="24"/>
                <w:szCs w:val="24"/>
                <w:highlight w:val="none"/>
                <w:lang w:val="en-US" w:eastAsia="zh-CN" w:bidi="ar-SA"/>
              </w:rPr>
              <w:t>不组织。</w:t>
            </w:r>
          </w:p>
        </w:tc>
      </w:tr>
      <w:tr w14:paraId="7BBBF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1940E98">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w:t>
            </w:r>
          </w:p>
        </w:tc>
        <w:tc>
          <w:tcPr>
            <w:tcW w:w="1907" w:type="dxa"/>
            <w:tcBorders>
              <w:right w:val="nil"/>
            </w:tcBorders>
            <w:vAlign w:val="center"/>
          </w:tcPr>
          <w:p w14:paraId="0C99AFB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rPr>
              <w:t>文件</w:t>
            </w:r>
          </w:p>
        </w:tc>
        <w:tc>
          <w:tcPr>
            <w:tcW w:w="6589" w:type="dxa"/>
            <w:tcBorders>
              <w:left w:val="nil"/>
            </w:tcBorders>
            <w:vAlign w:val="center"/>
          </w:tcPr>
          <w:p w14:paraId="458EB6EE">
            <w:pPr>
              <w:pStyle w:val="2"/>
              <w:keepNext w:val="0"/>
              <w:keepLines w:val="0"/>
              <w:pageBreakBefore w:val="0"/>
              <w:kinsoku/>
              <w:wordWrap/>
              <w:overflowPunct/>
              <w:topLinePunct w:val="0"/>
              <w:autoSpaceDE/>
              <w:autoSpaceDN/>
              <w:bidi w:val="0"/>
              <w:adjustRightInd/>
              <w:spacing w:line="500" w:lineRule="exact"/>
              <w:ind w:firstLine="0" w:firstLineChars="0"/>
              <w:rPr>
                <w:rFonts w:hint="eastAsia" w:ascii="仿宋" w:hAnsi="仿宋" w:eastAsia="仿宋" w:cs="仿宋"/>
                <w:color w:val="auto"/>
                <w:sz w:val="24"/>
                <w:szCs w:val="24"/>
                <w:lang w:val="en-US" w:eastAsia="zh-CN"/>
              </w:rPr>
            </w:pPr>
          </w:p>
        </w:tc>
      </w:tr>
      <w:tr w14:paraId="14250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E157C41">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4.1</w:t>
            </w:r>
          </w:p>
        </w:tc>
        <w:tc>
          <w:tcPr>
            <w:tcW w:w="1907" w:type="dxa"/>
            <w:vAlign w:val="center"/>
          </w:tcPr>
          <w:p w14:paraId="50B5179A">
            <w:pPr>
              <w:keepNext w:val="0"/>
              <w:keepLines w:val="0"/>
              <w:pageBreakBefore w:val="0"/>
              <w:kinsoku/>
              <w:wordWrap/>
              <w:overflowPunct/>
              <w:topLinePunct w:val="0"/>
              <w:autoSpaceDE/>
              <w:autoSpaceDN/>
              <w:bidi w:val="0"/>
              <w:adjustRightInd/>
              <w:spacing w:beforeAutospacing="0" w:afterAutospacing="0" w:line="480" w:lineRule="exact"/>
              <w:jc w:val="center"/>
              <w:textAlignment w:val="auto"/>
              <w:rPr>
                <w:rFonts w:hint="eastAsia" w:ascii="仿宋" w:hAnsi="仿宋" w:eastAsia="仿宋" w:cs="仿宋"/>
                <w:color w:val="auto"/>
                <w:sz w:val="24"/>
                <w:lang w:val="en-US" w:eastAsia="zh-CN"/>
              </w:rPr>
            </w:pPr>
            <w:r>
              <w:rPr>
                <w:rFonts w:hint="eastAsia" w:ascii="仿宋" w:hAnsi="仿宋" w:eastAsia="仿宋" w:cs="仿宋"/>
                <w:color w:val="auto"/>
                <w:sz w:val="24"/>
              </w:rPr>
              <w:t>招标文件</w:t>
            </w:r>
            <w:r>
              <w:rPr>
                <w:rFonts w:hint="eastAsia" w:ascii="仿宋" w:hAnsi="仿宋" w:eastAsia="仿宋" w:cs="仿宋"/>
                <w:color w:val="auto"/>
                <w:sz w:val="24"/>
                <w:lang w:val="en-US" w:eastAsia="zh-CN"/>
              </w:rPr>
              <w:t>的</w:t>
            </w:r>
          </w:p>
          <w:p w14:paraId="66509A0A">
            <w:pPr>
              <w:keepNext w:val="0"/>
              <w:keepLines w:val="0"/>
              <w:pageBreakBefore w:val="0"/>
              <w:kinsoku/>
              <w:wordWrap/>
              <w:overflowPunct/>
              <w:topLinePunct w:val="0"/>
              <w:autoSpaceDE/>
              <w:autoSpaceDN/>
              <w:bidi w:val="0"/>
              <w:adjustRightInd/>
              <w:spacing w:beforeAutospacing="0" w:afterAutospacing="0" w:line="480" w:lineRule="exact"/>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lang w:val="en-US" w:eastAsia="zh-CN"/>
              </w:rPr>
              <w:t>说明、</w:t>
            </w:r>
            <w:r>
              <w:rPr>
                <w:rFonts w:hint="eastAsia" w:ascii="仿宋" w:hAnsi="仿宋" w:eastAsia="仿宋" w:cs="仿宋"/>
                <w:color w:val="auto"/>
                <w:sz w:val="24"/>
              </w:rPr>
              <w:t>澄清、修改</w:t>
            </w:r>
          </w:p>
        </w:tc>
        <w:tc>
          <w:tcPr>
            <w:tcW w:w="6589" w:type="dxa"/>
            <w:vAlign w:val="top"/>
          </w:tcPr>
          <w:p w14:paraId="74C3F5BF">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1.招标</w:t>
            </w:r>
            <w:r>
              <w:rPr>
                <w:rFonts w:hint="eastAsia" w:ascii="仿宋" w:hAnsi="仿宋" w:eastAsia="仿宋" w:cs="仿宋"/>
                <w:color w:val="auto"/>
                <w:kern w:val="2"/>
                <w:sz w:val="24"/>
                <w:szCs w:val="24"/>
                <w:lang w:val="en-US" w:eastAsia="zh-CN" w:bidi="ar-SA"/>
              </w:rPr>
              <w:t>文件发出后，采购人或代理机构可以对已发出的招标文件进行必要的</w:t>
            </w:r>
            <w:r>
              <w:rPr>
                <w:rFonts w:hint="eastAsia" w:ascii="仿宋" w:hAnsi="仿宋" w:eastAsia="仿宋" w:cs="仿宋"/>
                <w:color w:val="auto"/>
                <w:sz w:val="24"/>
                <w:szCs w:val="24"/>
                <w:highlight w:val="none"/>
                <w:lang w:val="en-US" w:eastAsia="zh-CN"/>
              </w:rPr>
              <w:t>说明、</w:t>
            </w:r>
            <w:r>
              <w:rPr>
                <w:rFonts w:hint="eastAsia" w:ascii="仿宋" w:hAnsi="仿宋" w:eastAsia="仿宋" w:cs="仿宋"/>
                <w:color w:val="auto"/>
                <w:kern w:val="2"/>
                <w:sz w:val="24"/>
                <w:szCs w:val="24"/>
                <w:lang w:val="en-US" w:eastAsia="zh-CN" w:bidi="ar-SA"/>
              </w:rPr>
              <w:t>澄清或者修改。</w:t>
            </w:r>
          </w:p>
          <w:p w14:paraId="5760D716">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color w:val="auto"/>
                <w:sz w:val="24"/>
                <w:szCs w:val="24"/>
                <w:lang w:val="en-US" w:eastAsia="zh-CN"/>
              </w:rPr>
              <w:t>2.说明、澄清或修改</w:t>
            </w:r>
            <w:r>
              <w:rPr>
                <w:rFonts w:hint="eastAsia" w:ascii="仿宋" w:hAnsi="仿宋" w:eastAsia="仿宋" w:cs="仿宋"/>
                <w:color w:val="auto"/>
                <w:kern w:val="2"/>
                <w:sz w:val="24"/>
                <w:szCs w:val="24"/>
                <w:lang w:val="en-US" w:eastAsia="zh-CN" w:bidi="ar-SA"/>
              </w:rPr>
              <w:t>的内容为采购文件的组成部分，采购人或者代理机构以书面或公告形式通知所有已合法获取招标文件的供应商。澄清、修改内容可能影响投标文件编制的，</w:t>
            </w:r>
            <w:r>
              <w:rPr>
                <w:rFonts w:hint="eastAsia" w:ascii="仿宋" w:hAnsi="仿宋" w:eastAsia="仿宋" w:cs="仿宋"/>
                <w:color w:val="auto"/>
                <w:sz w:val="24"/>
                <w:szCs w:val="24"/>
                <w:lang w:val="en-US" w:eastAsia="zh-CN"/>
              </w:rPr>
              <w:t>应</w:t>
            </w:r>
            <w:r>
              <w:rPr>
                <w:rFonts w:hint="eastAsia" w:ascii="仿宋" w:hAnsi="仿宋" w:eastAsia="仿宋" w:cs="仿宋"/>
                <w:color w:val="auto"/>
                <w:sz w:val="24"/>
                <w:szCs w:val="24"/>
              </w:rPr>
              <w:t>在提交</w:t>
            </w:r>
            <w:r>
              <w:rPr>
                <w:rFonts w:hint="eastAsia" w:ascii="仿宋" w:hAnsi="仿宋" w:eastAsia="仿宋" w:cs="仿宋"/>
                <w:color w:val="auto"/>
                <w:sz w:val="24"/>
                <w:szCs w:val="24"/>
                <w:lang w:val="en-US" w:eastAsia="zh-CN"/>
              </w:rPr>
              <w:t>投标文</w:t>
            </w:r>
            <w:r>
              <w:rPr>
                <w:rFonts w:hint="eastAsia" w:ascii="仿宋" w:hAnsi="仿宋" w:eastAsia="仿宋" w:cs="仿宋"/>
                <w:b w:val="0"/>
                <w:bCs w:val="0"/>
                <w:color w:val="auto"/>
                <w:sz w:val="24"/>
                <w:szCs w:val="24"/>
                <w:lang w:val="en-US" w:eastAsia="zh-CN"/>
              </w:rPr>
              <w:t>件截止日至少15日前进行</w:t>
            </w:r>
            <w:r>
              <w:rPr>
                <w:rFonts w:hint="eastAsia" w:ascii="仿宋" w:hAnsi="仿宋" w:eastAsia="仿宋" w:cs="仿宋"/>
                <w:b w:val="0"/>
                <w:bCs w:val="0"/>
                <w:color w:val="auto"/>
                <w:sz w:val="24"/>
                <w:szCs w:val="24"/>
              </w:rPr>
              <w:t>，</w:t>
            </w:r>
            <w:r>
              <w:rPr>
                <w:rFonts w:hint="eastAsia" w:ascii="仿宋" w:hAnsi="仿宋" w:eastAsia="仿宋" w:cs="仿宋"/>
                <w:b w:val="0"/>
                <w:bCs w:val="0"/>
                <w:color w:val="auto"/>
                <w:sz w:val="24"/>
                <w:szCs w:val="24"/>
                <w:lang w:val="en-US" w:eastAsia="zh-CN"/>
              </w:rPr>
              <w:t>不足</w:t>
            </w:r>
            <w:r>
              <w:rPr>
                <w:rFonts w:hint="eastAsia" w:ascii="仿宋" w:hAnsi="仿宋" w:eastAsia="仿宋" w:cs="仿宋"/>
                <w:b w:val="0"/>
                <w:bCs w:val="0"/>
                <w:color w:val="auto"/>
                <w:sz w:val="24"/>
                <w:szCs w:val="24"/>
              </w:rPr>
              <w:t>顺延。</w:t>
            </w:r>
          </w:p>
          <w:p w14:paraId="35E03FF6">
            <w:pPr>
              <w:keepNext w:val="0"/>
              <w:keepLines w:val="0"/>
              <w:pageBreakBefore w:val="0"/>
              <w:kinsoku/>
              <w:wordWrap/>
              <w:overflowPunct/>
              <w:topLinePunct w:val="0"/>
              <w:autoSpaceDE/>
              <w:autoSpaceDN/>
              <w:bidi w:val="0"/>
              <w:adjustRightInd/>
              <w:spacing w:beforeAutospacing="0" w:afterAutospacing="0" w:line="480" w:lineRule="exac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3.</w:t>
            </w:r>
            <w:r>
              <w:rPr>
                <w:rFonts w:hint="eastAsia" w:ascii="仿宋" w:hAnsi="仿宋" w:eastAsia="仿宋" w:cs="仿宋"/>
                <w:color w:val="auto"/>
                <w:kern w:val="2"/>
                <w:sz w:val="24"/>
                <w:szCs w:val="24"/>
                <w:lang w:val="en-US" w:eastAsia="zh-CN" w:bidi="ar-SA"/>
              </w:rPr>
              <w:t>供应商应及时关注并了解本项目更正信息，按更正后的最新要求进行应标，若未按最新要求应标的，自行承担不利后果。采购人或代理机构不承担由于供应商联络信息不准确、人员变动等自身原因造成的信息接收不及时、不准确等后果。</w:t>
            </w:r>
          </w:p>
        </w:tc>
      </w:tr>
      <w:tr w14:paraId="1ECE0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6321F15">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4.2</w:t>
            </w:r>
          </w:p>
        </w:tc>
        <w:tc>
          <w:tcPr>
            <w:tcW w:w="1907" w:type="dxa"/>
            <w:vAlign w:val="center"/>
          </w:tcPr>
          <w:p w14:paraId="21D3E813">
            <w:pPr>
              <w:keepNext w:val="0"/>
              <w:keepLines w:val="0"/>
              <w:pageBreakBefore w:val="0"/>
              <w:widowControl/>
              <w:kinsoku/>
              <w:wordWrap/>
              <w:overflowPunct/>
              <w:topLinePunct w:val="0"/>
              <w:autoSpaceDE/>
              <w:autoSpaceDN/>
              <w:bidi w:val="0"/>
              <w:adjustRightInd/>
              <w:spacing w:beforeAutospacing="0" w:afterAutospacing="0"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供应商对</w:t>
            </w:r>
            <w:r>
              <w:rPr>
                <w:rFonts w:hint="eastAsia" w:ascii="仿宋" w:hAnsi="仿宋" w:eastAsia="仿宋" w:cs="仿宋"/>
                <w:color w:val="auto"/>
                <w:sz w:val="24"/>
                <w:szCs w:val="24"/>
                <w:lang w:val="en-US" w:eastAsia="zh-CN"/>
              </w:rPr>
              <w:t>招标</w:t>
            </w:r>
            <w:r>
              <w:rPr>
                <w:rFonts w:hint="eastAsia" w:ascii="仿宋" w:hAnsi="仿宋" w:eastAsia="仿宋" w:cs="仿宋"/>
                <w:color w:val="auto"/>
                <w:kern w:val="0"/>
                <w:sz w:val="24"/>
                <w:szCs w:val="24"/>
                <w:highlight w:val="none"/>
                <w:lang w:val="en-US" w:eastAsia="zh-CN"/>
              </w:rPr>
              <w:t>文件的</w:t>
            </w:r>
            <w:r>
              <w:rPr>
                <w:rFonts w:hint="eastAsia" w:ascii="仿宋" w:hAnsi="仿宋" w:eastAsia="仿宋" w:cs="仿宋"/>
                <w:color w:val="auto"/>
                <w:sz w:val="24"/>
                <w:szCs w:val="24"/>
                <w:highlight w:val="none"/>
                <w:lang w:val="en-US" w:eastAsia="zh-CN"/>
              </w:rPr>
              <w:t>咨询</w:t>
            </w:r>
          </w:p>
        </w:tc>
        <w:tc>
          <w:tcPr>
            <w:tcW w:w="6589" w:type="dxa"/>
            <w:vAlign w:val="top"/>
          </w:tcPr>
          <w:p w14:paraId="0D9EBFB3">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highlight w:val="cyan"/>
                <w:lang w:val="en-US" w:eastAsia="zh-CN"/>
              </w:rPr>
            </w:pPr>
            <w:r>
              <w:rPr>
                <w:rFonts w:hint="eastAsia" w:ascii="仿宋" w:hAnsi="仿宋" w:eastAsia="仿宋" w:cs="仿宋"/>
                <w:color w:val="auto"/>
                <w:kern w:val="0"/>
                <w:sz w:val="24"/>
                <w:szCs w:val="24"/>
                <w:highlight w:val="none"/>
                <w:lang w:val="en-US" w:eastAsia="zh-CN"/>
              </w:rPr>
              <w:t>1.供应商</w:t>
            </w:r>
            <w:r>
              <w:rPr>
                <w:rFonts w:hint="eastAsia" w:ascii="仿宋" w:hAnsi="仿宋" w:eastAsia="仿宋" w:cs="仿宋"/>
                <w:color w:val="auto"/>
                <w:sz w:val="24"/>
                <w:szCs w:val="24"/>
                <w:highlight w:val="none"/>
                <w:lang w:val="en-US" w:eastAsia="zh-CN"/>
              </w:rPr>
              <w:t>获取</w:t>
            </w:r>
            <w:r>
              <w:rPr>
                <w:rFonts w:hint="eastAsia" w:ascii="仿宋" w:hAnsi="仿宋" w:eastAsia="仿宋" w:cs="仿宋"/>
                <w:color w:val="auto"/>
                <w:sz w:val="24"/>
                <w:szCs w:val="24"/>
                <w:lang w:val="en-US" w:eastAsia="zh-CN"/>
              </w:rPr>
              <w:t>招标</w:t>
            </w:r>
            <w:r>
              <w:rPr>
                <w:rFonts w:hint="eastAsia" w:ascii="仿宋" w:hAnsi="仿宋" w:eastAsia="仿宋" w:cs="仿宋"/>
                <w:color w:val="auto"/>
                <w:kern w:val="0"/>
                <w:sz w:val="24"/>
                <w:szCs w:val="24"/>
                <w:highlight w:val="none"/>
                <w:lang w:val="en-US" w:eastAsia="zh-CN"/>
              </w:rPr>
              <w:t>文件后，应尽快阅读，</w:t>
            </w:r>
            <w:r>
              <w:rPr>
                <w:rFonts w:hint="eastAsia" w:ascii="仿宋" w:hAnsi="仿宋" w:eastAsia="仿宋" w:cs="仿宋"/>
                <w:color w:val="auto"/>
                <w:sz w:val="24"/>
                <w:highlight w:val="none"/>
                <w:lang w:val="en-US" w:eastAsia="zh-CN"/>
              </w:rPr>
              <w:t>对于</w:t>
            </w: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highlight w:val="none"/>
                <w:lang w:val="en-US" w:eastAsia="zh-CN"/>
              </w:rPr>
              <w:t>文件中出现的同一内容前后不一致、表述不准确、笔误/瑕疵、漏项或异议等问题，供应商应及时向代理公司提出咨询、确认，否则应视为其完全理解和接受</w:t>
            </w: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highlight w:val="none"/>
                <w:lang w:val="en-US" w:eastAsia="zh-CN"/>
              </w:rPr>
              <w:t>文件，对此造成的投标不良后果供应商自担</w:t>
            </w:r>
            <w:r>
              <w:rPr>
                <w:rFonts w:hint="eastAsia" w:ascii="仿宋" w:hAnsi="仿宋" w:eastAsia="仿宋" w:cs="仿宋"/>
                <w:color w:val="auto"/>
                <w:sz w:val="24"/>
                <w:szCs w:val="24"/>
                <w:highlight w:val="none"/>
                <w:lang w:val="en-US" w:eastAsia="zh-CN"/>
              </w:rPr>
              <w:t>。</w:t>
            </w:r>
          </w:p>
          <w:p w14:paraId="698FEB48">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2.供应商未及时查看获取</w:t>
            </w:r>
            <w:r>
              <w:rPr>
                <w:rFonts w:hint="eastAsia" w:ascii="仿宋" w:hAnsi="仿宋" w:eastAsia="仿宋" w:cs="仿宋"/>
                <w:color w:val="auto"/>
                <w:sz w:val="24"/>
                <w:szCs w:val="24"/>
                <w:highlight w:val="none"/>
                <w:lang w:val="en-US" w:eastAsia="zh-CN"/>
              </w:rPr>
              <w:t>项目相关信息及</w:t>
            </w:r>
            <w:r>
              <w:rPr>
                <w:rFonts w:hint="eastAsia" w:ascii="仿宋" w:hAnsi="仿宋" w:eastAsia="仿宋" w:cs="仿宋"/>
                <w:color w:val="auto"/>
                <w:kern w:val="0"/>
                <w:sz w:val="24"/>
                <w:szCs w:val="24"/>
                <w:highlight w:val="none"/>
                <w:lang w:val="en-US" w:eastAsia="zh-CN"/>
              </w:rPr>
              <w:t>对</w:t>
            </w:r>
            <w:r>
              <w:rPr>
                <w:rFonts w:hint="eastAsia" w:ascii="仿宋" w:hAnsi="仿宋" w:eastAsia="仿宋" w:cs="仿宋"/>
                <w:color w:val="auto"/>
                <w:sz w:val="24"/>
                <w:szCs w:val="24"/>
                <w:lang w:val="en-US" w:eastAsia="zh-CN"/>
              </w:rPr>
              <w:t>招标</w:t>
            </w:r>
            <w:r>
              <w:rPr>
                <w:rFonts w:hint="eastAsia" w:ascii="仿宋" w:hAnsi="仿宋" w:eastAsia="仿宋" w:cs="仿宋"/>
                <w:color w:val="auto"/>
                <w:kern w:val="0"/>
                <w:sz w:val="24"/>
                <w:szCs w:val="24"/>
                <w:highlight w:val="none"/>
                <w:lang w:val="en-US" w:eastAsia="zh-CN"/>
              </w:rPr>
              <w:t>文件的自我理解、判定、推测等</w:t>
            </w:r>
            <w:r>
              <w:rPr>
                <w:rFonts w:hint="eastAsia" w:ascii="仿宋" w:hAnsi="仿宋" w:eastAsia="仿宋" w:cs="仿宋"/>
                <w:color w:val="auto"/>
                <w:sz w:val="24"/>
                <w:szCs w:val="24"/>
                <w:highlight w:val="none"/>
                <w:lang w:val="en-US" w:eastAsia="zh-CN"/>
              </w:rPr>
              <w:t>造成的</w:t>
            </w:r>
            <w:r>
              <w:rPr>
                <w:rFonts w:hint="eastAsia" w:ascii="仿宋" w:hAnsi="仿宋" w:eastAsia="仿宋" w:cs="仿宋"/>
                <w:color w:val="auto"/>
                <w:kern w:val="0"/>
                <w:sz w:val="24"/>
                <w:szCs w:val="24"/>
                <w:highlight w:val="none"/>
                <w:lang w:val="en-US" w:eastAsia="zh-CN"/>
              </w:rPr>
              <w:t>不利后果，供应商自行承担。</w:t>
            </w:r>
          </w:p>
          <w:p w14:paraId="1C025A8C">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w:t>
            </w:r>
            <w:r>
              <w:rPr>
                <w:rFonts w:hint="eastAsia" w:ascii="仿宋" w:hAnsi="仿宋" w:eastAsia="仿宋" w:cs="仿宋"/>
                <w:color w:val="auto"/>
                <w:kern w:val="2"/>
                <w:sz w:val="24"/>
                <w:szCs w:val="24"/>
                <w:lang w:val="en-US" w:eastAsia="zh-CN" w:bidi="ar-SA"/>
              </w:rPr>
              <w:t>招标人有权拒绝接收或回复投标人人逾期提出的任何要求。</w:t>
            </w:r>
          </w:p>
        </w:tc>
      </w:tr>
      <w:tr w14:paraId="280ED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50E789C">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rPr>
              <w:t>5</w:t>
            </w:r>
          </w:p>
        </w:tc>
        <w:tc>
          <w:tcPr>
            <w:tcW w:w="1907" w:type="dxa"/>
            <w:tcBorders>
              <w:right w:val="nil"/>
            </w:tcBorders>
            <w:vAlign w:val="center"/>
          </w:tcPr>
          <w:p w14:paraId="65FA4F49">
            <w:pPr>
              <w:pStyle w:val="10"/>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投标</w:t>
            </w:r>
            <w:r>
              <w:rPr>
                <w:rFonts w:hint="eastAsia" w:ascii="仿宋" w:hAnsi="仿宋" w:eastAsia="仿宋" w:cs="仿宋"/>
                <w:color w:val="auto"/>
                <w:sz w:val="24"/>
                <w:szCs w:val="24"/>
              </w:rPr>
              <w:t>文件</w:t>
            </w:r>
          </w:p>
        </w:tc>
        <w:tc>
          <w:tcPr>
            <w:tcW w:w="6589" w:type="dxa"/>
            <w:tcBorders>
              <w:left w:val="nil"/>
            </w:tcBorders>
            <w:vAlign w:val="top"/>
          </w:tcPr>
          <w:p w14:paraId="408137BF">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0"/>
                <w:sz w:val="24"/>
                <w:szCs w:val="24"/>
                <w:lang w:val="en-US" w:eastAsia="zh-CN"/>
              </w:rPr>
            </w:pPr>
          </w:p>
        </w:tc>
      </w:tr>
      <w:tr w14:paraId="1005C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0F2FA8F">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kern w:val="2"/>
                <w:sz w:val="24"/>
                <w:szCs w:val="24"/>
                <w:lang w:val="en-US" w:eastAsia="zh-CN" w:bidi="ar-SA"/>
              </w:rPr>
              <w:t>.1</w:t>
            </w:r>
          </w:p>
        </w:tc>
        <w:tc>
          <w:tcPr>
            <w:tcW w:w="1907" w:type="dxa"/>
            <w:shd w:val="clear" w:color="auto" w:fill="auto"/>
            <w:vAlign w:val="center"/>
          </w:tcPr>
          <w:p w14:paraId="0F9DF5DE">
            <w:pPr>
              <w:pStyle w:val="10"/>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lang w:val="en-US" w:eastAsia="zh-CN"/>
              </w:rPr>
              <w:t>供应商对</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lang w:val="en-US" w:eastAsia="zh-CN"/>
              </w:rPr>
              <w:t>文件的补充、修改、澄清</w:t>
            </w:r>
          </w:p>
        </w:tc>
        <w:tc>
          <w:tcPr>
            <w:tcW w:w="6589" w:type="dxa"/>
            <w:shd w:val="clear" w:color="auto" w:fill="auto"/>
            <w:vAlign w:val="top"/>
          </w:tcPr>
          <w:p w14:paraId="5A8E7BCB">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1.供应商</w:t>
            </w:r>
            <w:r>
              <w:rPr>
                <w:rFonts w:hint="eastAsia" w:ascii="仿宋" w:hAnsi="仿宋" w:eastAsia="仿宋" w:cs="仿宋"/>
                <w:color w:val="auto"/>
                <w:kern w:val="0"/>
                <w:sz w:val="24"/>
                <w:szCs w:val="24"/>
              </w:rPr>
              <w:t>在</w:t>
            </w:r>
            <w:r>
              <w:rPr>
                <w:rFonts w:hint="eastAsia" w:ascii="仿宋" w:hAnsi="仿宋" w:eastAsia="仿宋" w:cs="仿宋"/>
                <w:color w:val="auto"/>
                <w:kern w:val="0"/>
                <w:sz w:val="24"/>
                <w:szCs w:val="24"/>
                <w:lang w:val="en-US" w:eastAsia="zh-CN"/>
              </w:rPr>
              <w:t>投标</w:t>
            </w:r>
            <w:r>
              <w:rPr>
                <w:rFonts w:hint="eastAsia" w:ascii="仿宋" w:hAnsi="仿宋" w:eastAsia="仿宋" w:cs="仿宋"/>
                <w:color w:val="auto"/>
                <w:kern w:val="0"/>
                <w:sz w:val="24"/>
                <w:szCs w:val="24"/>
              </w:rPr>
              <w:t>截止时间</w:t>
            </w:r>
            <w:r>
              <w:rPr>
                <w:rFonts w:hint="eastAsia" w:ascii="仿宋" w:hAnsi="仿宋" w:eastAsia="仿宋" w:cs="仿宋"/>
                <w:color w:val="auto"/>
                <w:sz w:val="24"/>
                <w:szCs w:val="24"/>
                <w:highlight w:val="none"/>
                <w:lang w:val="en-US" w:eastAsia="zh-CN"/>
              </w:rPr>
              <w:t>前，供应商可以补充、修改或者撤回已成功提交的投标文件；对投标文件进行补充、修改的，应当先行撤回已提交的投标文件，补充、修改后重新提交。</w:t>
            </w:r>
          </w:p>
          <w:p w14:paraId="0A98620D">
            <w:pPr>
              <w:keepNext w:val="0"/>
              <w:keepLines w:val="0"/>
              <w:pageBreakBefore w:val="0"/>
              <w:kinsoku/>
              <w:wordWrap/>
              <w:overflowPunct/>
              <w:topLinePunct w:val="0"/>
              <w:autoSpaceDE/>
              <w:autoSpaceDN/>
              <w:bidi w:val="0"/>
              <w:adjustRightInd/>
              <w:spacing w:line="500" w:lineRule="exact"/>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2.供应商投标文件撤回后，视为未提交投标文件。</w:t>
            </w:r>
          </w:p>
        </w:tc>
      </w:tr>
      <w:tr w14:paraId="5B4B8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9FD6E5F">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5.2</w:t>
            </w:r>
          </w:p>
        </w:tc>
        <w:tc>
          <w:tcPr>
            <w:tcW w:w="1907" w:type="dxa"/>
            <w:shd w:val="clear" w:color="auto" w:fill="auto"/>
            <w:vAlign w:val="center"/>
          </w:tcPr>
          <w:p w14:paraId="58F52FD1">
            <w:pPr>
              <w:pStyle w:val="10"/>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kern w:val="0"/>
                <w:sz w:val="24"/>
                <w:szCs w:val="24"/>
                <w:lang w:val="en-US" w:eastAsia="zh-CN"/>
              </w:rPr>
              <w:t>投标</w:t>
            </w:r>
            <w:r>
              <w:rPr>
                <w:rFonts w:hint="eastAsia" w:ascii="仿宋" w:hAnsi="仿宋" w:eastAsia="仿宋" w:cs="仿宋"/>
                <w:color w:val="auto"/>
                <w:sz w:val="24"/>
                <w:szCs w:val="24"/>
                <w:lang w:val="en-US" w:eastAsia="zh-CN"/>
              </w:rPr>
              <w:t>响应</w:t>
            </w:r>
          </w:p>
        </w:tc>
        <w:tc>
          <w:tcPr>
            <w:tcW w:w="6589" w:type="dxa"/>
            <w:shd w:val="clear" w:color="auto" w:fill="auto"/>
            <w:vAlign w:val="center"/>
          </w:tcPr>
          <w:p w14:paraId="382C51A9">
            <w:pPr>
              <w:pStyle w:val="11"/>
              <w:keepNext w:val="0"/>
              <w:keepLines w:val="0"/>
              <w:pageBreakBefore w:val="0"/>
              <w:widowControl/>
              <w:numPr>
                <w:ilvl w:val="0"/>
                <w:numId w:val="0"/>
              </w:numPr>
              <w:kinsoku/>
              <w:wordWrap/>
              <w:overflowPunct/>
              <w:topLinePunct w:val="0"/>
              <w:autoSpaceDE w:val="0"/>
              <w:autoSpaceDN w:val="0"/>
              <w:bidi w:val="0"/>
              <w:adjustRightInd w:val="0"/>
              <w:snapToGrid w:val="0"/>
              <w:spacing w:before="81" w:line="440" w:lineRule="exact"/>
              <w:ind w:leftChars="0"/>
              <w:jc w:val="left"/>
              <w:textAlignment w:val="baseline"/>
              <w:rPr>
                <w:rFonts w:hint="eastAsia"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cs="仿宋"/>
                <w:color w:val="auto"/>
                <w:sz w:val="24"/>
                <w:szCs w:val="24"/>
                <w:highlight w:val="none"/>
                <w:lang w:val="en-US" w:eastAsia="zh-CN"/>
              </w:rPr>
              <w:t>投标</w:t>
            </w:r>
            <w:r>
              <w:rPr>
                <w:rFonts w:hint="eastAsia" w:ascii="仿宋" w:hAnsi="仿宋" w:eastAsia="仿宋" w:cs="仿宋"/>
                <w:color w:val="auto"/>
                <w:sz w:val="24"/>
                <w:szCs w:val="24"/>
                <w:highlight w:val="none"/>
                <w:lang w:val="en-US" w:eastAsia="zh-CN"/>
              </w:rPr>
              <w:t>提</w:t>
            </w:r>
            <w:r>
              <w:rPr>
                <w:rFonts w:hint="eastAsia" w:cs="仿宋"/>
                <w:color w:val="auto"/>
                <w:sz w:val="24"/>
                <w:szCs w:val="24"/>
                <w:highlight w:val="none"/>
                <w:lang w:val="en-US" w:eastAsia="zh-CN"/>
              </w:rPr>
              <w:t>供的货物、</w:t>
            </w:r>
            <w:r>
              <w:rPr>
                <w:rFonts w:hint="eastAsia" w:ascii="仿宋" w:hAnsi="仿宋" w:eastAsia="仿宋" w:cs="仿宋"/>
                <w:color w:val="auto"/>
                <w:sz w:val="24"/>
                <w:szCs w:val="24"/>
                <w:highlight w:val="none"/>
                <w:lang w:val="en-US" w:eastAsia="zh-CN"/>
              </w:rPr>
              <w:t>技术、质量、服务等</w:t>
            </w:r>
            <w:r>
              <w:rPr>
                <w:rFonts w:hint="eastAsia" w:cs="仿宋"/>
                <w:color w:val="auto"/>
                <w:sz w:val="24"/>
                <w:szCs w:val="24"/>
                <w:highlight w:val="none"/>
                <w:lang w:val="en-US" w:eastAsia="zh-CN"/>
              </w:rPr>
              <w:t>应</w:t>
            </w:r>
            <w:r>
              <w:rPr>
                <w:rFonts w:hint="eastAsia" w:ascii="仿宋" w:hAnsi="仿宋" w:eastAsia="仿宋" w:cs="仿宋"/>
                <w:color w:val="auto"/>
                <w:sz w:val="24"/>
                <w:szCs w:val="24"/>
                <w:highlight w:val="none"/>
                <w:lang w:val="en-US" w:eastAsia="zh-CN"/>
              </w:rPr>
              <w:t>满足国家、行业</w:t>
            </w:r>
            <w:r>
              <w:rPr>
                <w:rFonts w:hint="eastAsia" w:cs="仿宋"/>
                <w:color w:val="auto"/>
                <w:sz w:val="24"/>
                <w:szCs w:val="24"/>
                <w:highlight w:val="none"/>
                <w:lang w:val="en-US" w:eastAsia="zh-CN"/>
              </w:rPr>
              <w:t>现行</w:t>
            </w:r>
            <w:r>
              <w:rPr>
                <w:rFonts w:hint="eastAsia" w:ascii="仿宋" w:hAnsi="仿宋" w:eastAsia="仿宋" w:cs="仿宋"/>
                <w:color w:val="auto"/>
                <w:sz w:val="24"/>
                <w:szCs w:val="24"/>
                <w:highlight w:val="none"/>
                <w:lang w:val="en-US" w:eastAsia="zh-CN"/>
              </w:rPr>
              <w:t>标准规范及本次采购要求</w:t>
            </w:r>
            <w:r>
              <w:rPr>
                <w:rFonts w:hint="eastAsia" w:cs="仿宋"/>
                <w:color w:val="auto"/>
                <w:sz w:val="24"/>
                <w:szCs w:val="24"/>
                <w:highlight w:val="none"/>
                <w:lang w:val="en-US" w:eastAsia="zh-CN"/>
              </w:rPr>
              <w:t>是基本要求；对于国家、行业相关的强制性要求</w:t>
            </w:r>
            <w:r>
              <w:rPr>
                <w:rFonts w:hint="eastAsia" w:ascii="仿宋" w:hAnsi="仿宋" w:eastAsia="仿宋" w:cs="仿宋"/>
                <w:color w:val="auto"/>
                <w:sz w:val="24"/>
                <w:szCs w:val="24"/>
                <w:highlight w:val="none"/>
                <w:lang w:val="en-US" w:eastAsia="zh-CN"/>
              </w:rPr>
              <w:t>，</w:t>
            </w:r>
            <w:r>
              <w:rPr>
                <w:rFonts w:hint="eastAsia" w:cs="仿宋"/>
                <w:color w:val="auto"/>
                <w:sz w:val="24"/>
                <w:szCs w:val="24"/>
                <w:highlight w:val="none"/>
                <w:lang w:val="en-US" w:eastAsia="zh-CN"/>
              </w:rPr>
              <w:t>无论</w:t>
            </w:r>
            <w:r>
              <w:rPr>
                <w:rFonts w:hint="eastAsia" w:ascii="仿宋" w:hAnsi="仿宋" w:eastAsia="仿宋" w:cs="仿宋"/>
                <w:color w:val="auto"/>
                <w:sz w:val="24"/>
                <w:szCs w:val="24"/>
                <w:highlight w:val="none"/>
                <w:lang w:val="en-US" w:eastAsia="zh-CN"/>
              </w:rPr>
              <w:t>招标文件是否</w:t>
            </w:r>
            <w:r>
              <w:rPr>
                <w:rFonts w:hint="eastAsia" w:cs="仿宋"/>
                <w:color w:val="auto"/>
                <w:sz w:val="24"/>
                <w:szCs w:val="24"/>
                <w:highlight w:val="none"/>
                <w:lang w:val="en-US" w:eastAsia="zh-CN"/>
              </w:rPr>
              <w:t>要求/规定，</w:t>
            </w:r>
            <w:r>
              <w:rPr>
                <w:rFonts w:hint="eastAsia" w:ascii="仿宋" w:hAnsi="仿宋" w:eastAsia="仿宋" w:cs="仿宋"/>
                <w:color w:val="auto"/>
                <w:sz w:val="24"/>
                <w:szCs w:val="24"/>
                <w:highlight w:val="none"/>
                <w:lang w:val="en-US" w:eastAsia="zh-CN"/>
              </w:rPr>
              <w:t>投标人</w:t>
            </w:r>
            <w:r>
              <w:rPr>
                <w:rFonts w:hint="eastAsia" w:cs="仿宋"/>
                <w:color w:val="auto"/>
                <w:sz w:val="24"/>
                <w:szCs w:val="24"/>
                <w:highlight w:val="none"/>
                <w:lang w:val="en-US" w:eastAsia="zh-CN"/>
              </w:rPr>
              <w:t>也</w:t>
            </w:r>
            <w:r>
              <w:rPr>
                <w:rFonts w:hint="eastAsia" w:ascii="仿宋" w:hAnsi="仿宋" w:eastAsia="仿宋" w:cs="仿宋"/>
                <w:color w:val="auto"/>
                <w:sz w:val="24"/>
                <w:szCs w:val="24"/>
                <w:highlight w:val="none"/>
                <w:lang w:val="en-US" w:eastAsia="zh-CN"/>
              </w:rPr>
              <w:t>均应</w:t>
            </w:r>
            <w:r>
              <w:rPr>
                <w:rFonts w:hint="eastAsia" w:cs="仿宋"/>
                <w:color w:val="auto"/>
                <w:sz w:val="24"/>
                <w:szCs w:val="24"/>
                <w:highlight w:val="none"/>
                <w:lang w:val="en-US" w:eastAsia="zh-CN"/>
              </w:rPr>
              <w:t>完全满足且提供必须的佐证资料，否则投标无效。</w:t>
            </w:r>
          </w:p>
          <w:p w14:paraId="318A5A64">
            <w:pPr>
              <w:pStyle w:val="11"/>
              <w:keepNext w:val="0"/>
              <w:keepLines w:val="0"/>
              <w:pageBreakBefore w:val="0"/>
              <w:widowControl/>
              <w:numPr>
                <w:ilvl w:val="0"/>
                <w:numId w:val="0"/>
              </w:numPr>
              <w:kinsoku/>
              <w:wordWrap/>
              <w:overflowPunct/>
              <w:topLinePunct w:val="0"/>
              <w:autoSpaceDE w:val="0"/>
              <w:autoSpaceDN w:val="0"/>
              <w:bidi w:val="0"/>
              <w:adjustRightInd w:val="0"/>
              <w:snapToGrid w:val="0"/>
              <w:spacing w:before="81" w:line="440" w:lineRule="exact"/>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cs="仿宋"/>
                <w:snapToGrid w:val="0"/>
                <w:color w:val="auto"/>
                <w:spacing w:val="4"/>
                <w:kern w:val="0"/>
                <w:sz w:val="24"/>
                <w:szCs w:val="24"/>
                <w:highlight w:val="none"/>
                <w:lang w:val="en-US" w:eastAsia="zh-CN" w:bidi="ar-SA"/>
              </w:rPr>
              <w:t>评审小组须依据招标文件规定的关联文件进行要素评审，若关联文件相应内容与投标文件前后不一致，以关联文件内容为准。关联文件以外的投标内容前后不一致时，以澄清后的内容为准，若未经澄清，则以对采购人有利的内容为准。</w:t>
            </w:r>
          </w:p>
        </w:tc>
      </w:tr>
      <w:tr w14:paraId="0AC08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A9CB97D">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5.3</w:t>
            </w:r>
          </w:p>
        </w:tc>
        <w:tc>
          <w:tcPr>
            <w:tcW w:w="1907" w:type="dxa"/>
            <w:shd w:val="clear" w:color="auto" w:fill="auto"/>
            <w:vAlign w:val="center"/>
          </w:tcPr>
          <w:p w14:paraId="5F7967BE">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报价</w:t>
            </w:r>
          </w:p>
        </w:tc>
        <w:tc>
          <w:tcPr>
            <w:tcW w:w="6589" w:type="dxa"/>
            <w:shd w:val="clear" w:color="auto" w:fill="auto"/>
            <w:vAlign w:val="center"/>
          </w:tcPr>
          <w:p w14:paraId="0ED85B0C">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1.人民币报价，为含税价。</w:t>
            </w:r>
          </w:p>
          <w:p w14:paraId="52C779F8">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2.本项目为固定总价合同（全费用交钥匙价），包含按采购要求及投标响应完成本项目所发生的可预见和不可预见的一切费用，采购人不再支付任何费用（合同另有约定的事项除外）。</w:t>
            </w:r>
          </w:p>
          <w:p w14:paraId="4B9192C3">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3.本项目中标价在合同期内应固定不变。（不可抗力、法定情形或合法变更等影响价格情形除外）。</w:t>
            </w:r>
          </w:p>
          <w:p w14:paraId="312C19B1">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供应商应全面考虑风险，及时了解和掌握项目情况及所在地区与本项目相关的政策、规定及价格等情况，结合企业自身技术力量、装备管理水平及市场行情，做到报价准确合理、合法合规，减少失误。不得违反《价格法》和《反不正当竞争法》的相关规定。因误读、理解偏差、对文件、项目或政策了解不全等原因造成的后果，将按照对采购人有利的方法进行处理，不利后果由供应商自行承担。</w:t>
            </w:r>
          </w:p>
          <w:p w14:paraId="6AA13DA4">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5.除实质性要求外，漏报、少报费用视为已含在投标报价中，且不对采购范围、采购内容及项目质量等完整履约产生任何影响。</w:t>
            </w:r>
          </w:p>
        </w:tc>
      </w:tr>
      <w:tr w14:paraId="24910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890" w:type="dxa"/>
            <w:vAlign w:val="center"/>
          </w:tcPr>
          <w:p w14:paraId="1F2770C2">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6</w:t>
            </w:r>
          </w:p>
        </w:tc>
        <w:tc>
          <w:tcPr>
            <w:tcW w:w="1907" w:type="dxa"/>
            <w:vAlign w:val="center"/>
          </w:tcPr>
          <w:p w14:paraId="735CBD8B">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rPr>
              <w:t>投标</w:t>
            </w:r>
            <w:r>
              <w:rPr>
                <w:rFonts w:hint="eastAsia" w:ascii="仿宋" w:hAnsi="仿宋" w:eastAsia="仿宋" w:cs="仿宋"/>
                <w:color w:val="auto"/>
                <w:sz w:val="24"/>
                <w:szCs w:val="24"/>
                <w:highlight w:val="none"/>
                <w:lang w:val="en-US" w:eastAsia="zh-CN"/>
              </w:rPr>
              <w:t>备选方案</w:t>
            </w:r>
          </w:p>
        </w:tc>
        <w:tc>
          <w:tcPr>
            <w:tcW w:w="6589" w:type="dxa"/>
            <w:vAlign w:val="center"/>
          </w:tcPr>
          <w:p w14:paraId="39FB7DCE">
            <w:pPr>
              <w:keepNext w:val="0"/>
              <w:keepLines w:val="0"/>
              <w:pageBreakBefore w:val="0"/>
              <w:kinsoku/>
              <w:wordWrap/>
              <w:overflowPunct/>
              <w:topLinePunct w:val="0"/>
              <w:autoSpaceDE/>
              <w:autoSpaceDN/>
              <w:bidi w:val="0"/>
              <w:adjustRightInd/>
              <w:snapToGrid w:val="0"/>
              <w:spacing w:line="500" w:lineRule="exact"/>
              <w:jc w:val="left"/>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不允许</w:t>
            </w:r>
          </w:p>
        </w:tc>
      </w:tr>
      <w:tr w14:paraId="37045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99280CA">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7</w:t>
            </w:r>
          </w:p>
        </w:tc>
        <w:tc>
          <w:tcPr>
            <w:tcW w:w="1907" w:type="dxa"/>
            <w:shd w:val="clear" w:color="auto" w:fill="auto"/>
            <w:vAlign w:val="center"/>
          </w:tcPr>
          <w:p w14:paraId="1A1B25FF">
            <w:pPr>
              <w:pStyle w:val="3"/>
              <w:keepNext w:val="0"/>
              <w:keepLines w:val="0"/>
              <w:pageBreakBefore w:val="0"/>
              <w:kinsoku/>
              <w:wordWrap/>
              <w:overflowPunct/>
              <w:topLinePunct w:val="0"/>
              <w:autoSpaceDE/>
              <w:autoSpaceDN/>
              <w:bidi w:val="0"/>
              <w:adjustRightInd/>
              <w:spacing w:before="0" w:beforeAutospacing="0" w:afterAutospacing="0" w:line="500" w:lineRule="exact"/>
              <w:jc w:val="center"/>
              <w:textAlignment w:val="auto"/>
              <w:rPr>
                <w:rFonts w:hint="eastAsia" w:ascii="仿宋" w:hAnsi="仿宋" w:eastAsia="仿宋" w:cs="仿宋"/>
                <w:strike/>
                <w:dstrike w:val="0"/>
                <w:color w:val="auto"/>
                <w:kern w:val="2"/>
                <w:sz w:val="24"/>
                <w:szCs w:val="24"/>
                <w:highlight w:val="none"/>
                <w:lang w:val="en-US" w:eastAsia="zh-CN" w:bidi="ar-SA"/>
              </w:rPr>
            </w:pPr>
            <w:r>
              <w:rPr>
                <w:rFonts w:hint="eastAsia" w:ascii="仿宋" w:hAnsi="仿宋" w:eastAsia="仿宋" w:cs="仿宋"/>
                <w:strike w:val="0"/>
                <w:dstrike w:val="0"/>
                <w:color w:val="auto"/>
                <w:szCs w:val="24"/>
                <w:highlight w:val="none"/>
                <w:lang w:val="en-US" w:eastAsia="zh-CN"/>
              </w:rPr>
              <w:t>产品包装</w:t>
            </w:r>
          </w:p>
        </w:tc>
        <w:tc>
          <w:tcPr>
            <w:tcW w:w="6589" w:type="dxa"/>
            <w:shd w:val="clear" w:color="auto" w:fill="auto"/>
            <w:vAlign w:val="center"/>
          </w:tcPr>
          <w:p w14:paraId="40082A70">
            <w:pPr>
              <w:keepNext w:val="0"/>
              <w:keepLines w:val="0"/>
              <w:pageBreakBefore w:val="0"/>
              <w:widowControl w:val="0"/>
              <w:kinsoku/>
              <w:wordWrap/>
              <w:overflowPunct/>
              <w:topLinePunct w:val="0"/>
              <w:autoSpaceDE/>
              <w:autoSpaceDN/>
              <w:bidi w:val="0"/>
              <w:adjustRightInd/>
              <w:snapToGrid/>
              <w:spacing w:beforeAutospacing="0" w:afterAutospacing="0" w:line="500" w:lineRule="exact"/>
              <w:textAlignment w:val="auto"/>
              <w:rPr>
                <w:rFonts w:hint="eastAsia" w:ascii="仿宋" w:hAnsi="仿宋" w:eastAsia="仿宋" w:cs="仿宋"/>
                <w:strike/>
                <w:dstrike w:val="0"/>
                <w:color w:val="auto"/>
                <w:kern w:val="2"/>
                <w:sz w:val="24"/>
                <w:szCs w:val="24"/>
                <w:highlight w:val="green"/>
                <w:lang w:val="en-US" w:eastAsia="zh-CN" w:bidi="ar-SA"/>
              </w:rPr>
            </w:pPr>
            <w:r>
              <w:rPr>
                <w:rFonts w:hint="eastAsia" w:ascii="仿宋" w:hAnsi="仿宋" w:eastAsia="仿宋" w:cs="仿宋"/>
                <w:color w:val="auto"/>
                <w:sz w:val="24"/>
                <w:szCs w:val="24"/>
                <w:highlight w:val="none"/>
                <w:lang w:val="en-US" w:eastAsia="zh-CN"/>
              </w:rPr>
              <w:t>符合财办库〔2020〕123号文《商品包装政府采购需求标准（试行）》、《快递包装政府采购需求标准（试行）》的要求。</w:t>
            </w:r>
          </w:p>
        </w:tc>
      </w:tr>
      <w:tr w14:paraId="5F902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4CA017E6">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8</w:t>
            </w:r>
          </w:p>
        </w:tc>
        <w:tc>
          <w:tcPr>
            <w:tcW w:w="1907" w:type="dxa"/>
            <w:shd w:val="clear" w:color="auto" w:fill="auto"/>
            <w:vAlign w:val="center"/>
          </w:tcPr>
          <w:p w14:paraId="5888B0B2">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center"/>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进口产品</w:t>
            </w:r>
          </w:p>
        </w:tc>
        <w:tc>
          <w:tcPr>
            <w:tcW w:w="6589" w:type="dxa"/>
            <w:shd w:val="clear" w:color="auto" w:fill="auto"/>
            <w:vAlign w:val="center"/>
          </w:tcPr>
          <w:p w14:paraId="38A63695">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default"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/（指终端标的）</w:t>
            </w:r>
          </w:p>
        </w:tc>
      </w:tr>
      <w:tr w14:paraId="00A0C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45A3FB2B">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9</w:t>
            </w:r>
          </w:p>
        </w:tc>
        <w:tc>
          <w:tcPr>
            <w:tcW w:w="1907" w:type="dxa"/>
            <w:shd w:val="clear" w:color="auto" w:fill="auto"/>
            <w:vAlign w:val="center"/>
          </w:tcPr>
          <w:p w14:paraId="23931840">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w:t>
            </w:r>
            <w:r>
              <w:rPr>
                <w:rFonts w:hint="eastAsia" w:ascii="仿宋" w:hAnsi="仿宋" w:eastAsia="仿宋" w:cs="仿宋"/>
                <w:b w:val="0"/>
                <w:bCs w:val="0"/>
                <w:color w:val="auto"/>
                <w:kern w:val="0"/>
                <w:sz w:val="24"/>
                <w:szCs w:val="24"/>
                <w:lang w:val="en-US" w:eastAsia="zh-CN" w:bidi="ar-SA"/>
              </w:rPr>
              <w:t>实质性要求</w:t>
            </w:r>
          </w:p>
        </w:tc>
        <w:tc>
          <w:tcPr>
            <w:tcW w:w="6589" w:type="dxa"/>
            <w:shd w:val="clear" w:color="auto" w:fill="auto"/>
            <w:vAlign w:val="center"/>
          </w:tcPr>
          <w:p w14:paraId="14C11EF6">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0"/>
                <w:sz w:val="24"/>
                <w:szCs w:val="24"/>
                <w:lang w:val="en-US" w:eastAsia="zh-CN" w:bidi="ar-SA"/>
              </w:rPr>
              <w:t>1.供应商资格要求；2.符合性要求；</w:t>
            </w:r>
            <w:r>
              <w:rPr>
                <w:rFonts w:hint="eastAsia" w:ascii="仿宋" w:hAnsi="仿宋" w:eastAsia="仿宋" w:cs="仿宋"/>
                <w:b w:val="0"/>
                <w:bCs w:val="0"/>
                <w:color w:val="auto"/>
                <w:sz w:val="24"/>
                <w:szCs w:val="24"/>
                <w:highlight w:val="none"/>
                <w:lang w:val="en-US" w:eastAsia="zh-CN"/>
              </w:rPr>
              <w:t>3.法律法规和招标文件规定的其他实质性要求。</w:t>
            </w:r>
          </w:p>
        </w:tc>
      </w:tr>
      <w:tr w14:paraId="1ED75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1D2C08F7">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10</w:t>
            </w:r>
          </w:p>
        </w:tc>
        <w:tc>
          <w:tcPr>
            <w:tcW w:w="1907" w:type="dxa"/>
            <w:shd w:val="clear" w:color="auto" w:fill="auto"/>
            <w:vAlign w:val="center"/>
          </w:tcPr>
          <w:p w14:paraId="3F9289A7">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b w:val="0"/>
                <w:bCs w:val="0"/>
                <w:color w:val="000000" w:themeColor="text1"/>
                <w:kern w:val="0"/>
                <w:sz w:val="24"/>
                <w:szCs w:val="24"/>
                <w:lang w:val="en-US" w:eastAsia="zh-CN" w:bidi="ar-SA"/>
                <w14:textFill>
                  <w14:solidFill>
                    <w14:schemeClr w14:val="tx1"/>
                  </w14:solidFill>
                </w14:textFill>
              </w:rPr>
              <w:t>约定与标准</w:t>
            </w:r>
          </w:p>
        </w:tc>
        <w:tc>
          <w:tcPr>
            <w:tcW w:w="6589" w:type="dxa"/>
            <w:shd w:val="clear" w:color="auto" w:fill="auto"/>
            <w:vAlign w:val="center"/>
          </w:tcPr>
          <w:p w14:paraId="0A697051">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000000" w:themeColor="text1"/>
                <w:kern w:val="0"/>
                <w:sz w:val="24"/>
                <w:szCs w:val="24"/>
                <w:lang w:val="en-US" w:eastAsia="zh-CN" w:bidi="ar-SA"/>
                <w14:textFill>
                  <w14:solidFill>
                    <w14:schemeClr w14:val="tx1"/>
                  </w14:solidFill>
                </w14:textFill>
              </w:rPr>
            </w:pPr>
            <w:r>
              <w:rPr>
                <w:rFonts w:hint="eastAsia" w:ascii="仿宋" w:hAnsi="仿宋" w:eastAsia="仿宋" w:cs="仿宋"/>
                <w:b w:val="0"/>
                <w:bCs w:val="0"/>
                <w:color w:val="000000" w:themeColor="text1"/>
                <w:kern w:val="0"/>
                <w:sz w:val="24"/>
                <w:szCs w:val="24"/>
                <w:lang w:val="en-US" w:eastAsia="zh-CN" w:bidi="ar-SA"/>
                <w14:textFill>
                  <w14:solidFill>
                    <w14:schemeClr w14:val="tx1"/>
                  </w14:solidFill>
                </w14:textFill>
              </w:rPr>
              <w:t>1.中标人在投标或履约过程中，应严格遵守诚信原则与全面履约义务。对于采购活动中有关服务、质量、技术等约定不明确的，应首先按国家强制性标准、推荐性标准、地方标准依次执行，其次应符合国家、行业/地方现行标准规范和采购要求，最终达到满足实现本合同目的和功能的特定标准。</w:t>
            </w:r>
          </w:p>
          <w:p w14:paraId="52404632">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000000" w:themeColor="text1"/>
                <w:kern w:val="0"/>
                <w:sz w:val="24"/>
                <w:szCs w:val="24"/>
                <w:lang w:val="en-US" w:eastAsia="zh-CN" w:bidi="ar-SA"/>
                <w14:textFill>
                  <w14:solidFill>
                    <w14:schemeClr w14:val="tx1"/>
                  </w14:solidFill>
                </w14:textFill>
              </w:rPr>
              <w:t>2.本招标文件所拟订的技术为基本/主要技术要求，并未对一切技术细节做出规定，也未充分引述有关标准和规范条文，供应商所提供的服务、货物、性能和功能应不低于本文件条款的要求，并应按本招标文件的要求提交符合本技术要求规定及与项目</w:t>
            </w:r>
            <w:r>
              <w:rPr>
                <w:rFonts w:hint="eastAsia" w:ascii="仿宋" w:hAnsi="仿宋" w:eastAsia="仿宋" w:cs="仿宋"/>
                <w:b w:val="0"/>
                <w:bCs w:val="0"/>
                <w:color w:val="auto"/>
                <w:kern w:val="0"/>
                <w:sz w:val="24"/>
                <w:szCs w:val="24"/>
                <w:lang w:val="en-US" w:eastAsia="zh-CN" w:bidi="ar-SA"/>
              </w:rPr>
              <w:t>有关的完整的技术方案。</w:t>
            </w:r>
          </w:p>
          <w:p w14:paraId="00243DF8">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3.供应商必须保证所提供服务、货物等的质量满足国家或行业现行法律法规及相关规章和采购要求，并且承担所有在合同中指定的责任和义务。</w:t>
            </w:r>
          </w:p>
          <w:p w14:paraId="7B55BB15">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4.供应商拟提供的产品须是成熟的、先进的、市场供应充足的、能保证正常履约的。中标后不能以任何理由对招投标做实质性的修改（如变更货物品牌、减少配置、改变性能功能、变更价格、减少数量、服务内容、服务标准、交货期等），导致采购人与中标人之间权利义务发生重大变化。若确实需要变更，则由采购人上报监管部门审批，依法进行处理。</w:t>
            </w:r>
          </w:p>
          <w:p w14:paraId="06707F5C">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default" w:ascii="仿宋" w:hAnsi="仿宋" w:eastAsia="仿宋" w:cs="仿宋"/>
                <w:b w:val="0"/>
                <w:bCs w:val="0"/>
                <w:color w:val="000000" w:themeColor="text1"/>
                <w:kern w:val="2"/>
                <w:sz w:val="24"/>
                <w:szCs w:val="24"/>
                <w:lang w:val="en-US" w:eastAsia="zh-CN" w:bidi="ar-SA"/>
                <w14:textFill>
                  <w14:solidFill>
                    <w14:schemeClr w14:val="tx1"/>
                  </w14:solidFill>
                </w14:textFill>
              </w:rPr>
            </w:pPr>
            <w:r>
              <w:rPr>
                <w:rFonts w:hint="eastAsia" w:ascii="仿宋" w:hAnsi="仿宋" w:eastAsia="仿宋" w:cs="仿宋"/>
                <w:b w:val="0"/>
                <w:bCs w:val="0"/>
                <w:color w:val="auto"/>
                <w:kern w:val="2"/>
                <w:sz w:val="24"/>
                <w:szCs w:val="24"/>
                <w:lang w:val="en-US" w:eastAsia="zh-CN" w:bidi="ar-SA"/>
              </w:rPr>
              <w:t>5.供应商的投标，视为已充分考虑了本项目的特殊性、作业限制性及现场可能存在的所有现场风险，所报价格已涵盖了本项目已明确或未明确但与项目相关联的伴随服务等全部内容，无漏项、缺项，后续不能因未踏勘、未核实现场信息、现场细节及其他问题提出任何调价、索赔和异议。</w:t>
            </w:r>
          </w:p>
        </w:tc>
      </w:tr>
      <w:tr w14:paraId="121ED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3402FE4">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11</w:t>
            </w:r>
          </w:p>
        </w:tc>
        <w:tc>
          <w:tcPr>
            <w:tcW w:w="1907" w:type="dxa"/>
            <w:shd w:val="clear" w:color="auto" w:fill="auto"/>
            <w:vAlign w:val="center"/>
          </w:tcPr>
          <w:p w14:paraId="7AF9FB4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数字计算</w:t>
            </w:r>
          </w:p>
        </w:tc>
        <w:tc>
          <w:tcPr>
            <w:tcW w:w="6589" w:type="dxa"/>
            <w:shd w:val="clear" w:color="auto" w:fill="auto"/>
            <w:vAlign w:val="center"/>
          </w:tcPr>
          <w:p w14:paraId="6006B082">
            <w:pPr>
              <w:keepNext w:val="0"/>
              <w:keepLines w:val="0"/>
              <w:pageBreakBefore w:val="0"/>
              <w:kinsoku/>
              <w:wordWrap/>
              <w:overflowPunct/>
              <w:topLinePunct w:val="0"/>
              <w:autoSpaceDE/>
              <w:autoSpaceDN/>
              <w:bidi w:val="0"/>
              <w:adjustRightInd/>
              <w:spacing w:line="500" w:lineRule="exact"/>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四舍五入，保留小数点后两位</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（特殊说明除外）</w:t>
            </w:r>
          </w:p>
        </w:tc>
      </w:tr>
      <w:tr w14:paraId="1DD9A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1CA38F3">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12</w:t>
            </w:r>
          </w:p>
        </w:tc>
        <w:tc>
          <w:tcPr>
            <w:tcW w:w="1907" w:type="dxa"/>
            <w:tcBorders>
              <w:right w:val="nil"/>
            </w:tcBorders>
            <w:vAlign w:val="center"/>
          </w:tcPr>
          <w:p w14:paraId="2EF6805D">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eastAsia="zh-CN"/>
              </w:rPr>
              <w:t>中小企业</w:t>
            </w:r>
          </w:p>
        </w:tc>
        <w:tc>
          <w:tcPr>
            <w:tcW w:w="6589" w:type="dxa"/>
            <w:tcBorders>
              <w:left w:val="nil"/>
            </w:tcBorders>
            <w:vAlign w:val="center"/>
          </w:tcPr>
          <w:p w14:paraId="44E5743E">
            <w:pPr>
              <w:keepNext w:val="0"/>
              <w:keepLines w:val="0"/>
              <w:pageBreakBefore w:val="0"/>
              <w:tabs>
                <w:tab w:val="left" w:pos="7013"/>
              </w:tabs>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p>
        </w:tc>
      </w:tr>
      <w:tr w14:paraId="144BD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1156136">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12</w:t>
            </w:r>
            <w:r>
              <w:rPr>
                <w:rFonts w:hint="eastAsia" w:ascii="仿宋" w:hAnsi="仿宋" w:eastAsia="仿宋" w:cs="仿宋"/>
                <w:color w:val="auto"/>
                <w:sz w:val="24"/>
                <w:szCs w:val="24"/>
                <w:lang w:val="en-US" w:eastAsia="zh-CN"/>
              </w:rPr>
              <w:t>.1</w:t>
            </w:r>
          </w:p>
        </w:tc>
        <w:tc>
          <w:tcPr>
            <w:tcW w:w="1907" w:type="dxa"/>
            <w:shd w:val="clear" w:color="auto" w:fill="auto"/>
            <w:vAlign w:val="center"/>
          </w:tcPr>
          <w:p w14:paraId="4FD90185">
            <w:pPr>
              <w:keepNext w:val="0"/>
              <w:keepLines w:val="0"/>
              <w:pageBreakBefore w:val="0"/>
              <w:tabs>
                <w:tab w:val="left" w:pos="0"/>
              </w:tabs>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eastAsia="zh-CN"/>
              </w:rPr>
              <w:t>中小企业</w:t>
            </w:r>
          </w:p>
        </w:tc>
        <w:tc>
          <w:tcPr>
            <w:tcW w:w="6589" w:type="dxa"/>
            <w:shd w:val="clear" w:color="auto" w:fill="auto"/>
            <w:vAlign w:val="center"/>
          </w:tcPr>
          <w:p w14:paraId="5BA6E67D">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highlight w:val="none"/>
                <w:lang w:val="en-US" w:eastAsia="zh-CN"/>
              </w:rPr>
              <w:t>中小企业判定依据：《中小企业划型标准规定》</w:t>
            </w:r>
            <w:r>
              <w:rPr>
                <w:rFonts w:hint="eastAsia" w:ascii="仿宋" w:hAnsi="仿宋" w:eastAsia="仿宋" w:cs="仿宋"/>
                <w:color w:val="auto"/>
                <w:sz w:val="24"/>
                <w:szCs w:val="24"/>
                <w:lang w:val="en-US" w:eastAsia="zh-CN"/>
              </w:rPr>
              <w:t>。</w:t>
            </w:r>
          </w:p>
          <w:p w14:paraId="4EFD2389">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2.中小企业，是指在中华人民共和国境内依法设立，依据国务院批准的中小企业划分标准确定的中型企业、小型企业和微型企业，但与大企业的负责人为同一人，或者与大企业存在直接控股、管理关系的除外。</w:t>
            </w:r>
          </w:p>
          <w:p w14:paraId="4ACD0811">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3.符合中小企业划分标准的个体工商户，在政府采购活动中视同中小企业。符合条件的监狱企业、残疾人福利性单位视同小微企业，在参加政府采购活动时享受扶持政策。</w:t>
            </w:r>
          </w:p>
          <w:p w14:paraId="13C575CA">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4.供应商提供《</w:t>
            </w:r>
            <w:r>
              <w:rPr>
                <w:rFonts w:hint="eastAsia" w:ascii="仿宋" w:hAnsi="仿宋" w:eastAsia="仿宋" w:cs="仿宋"/>
                <w:color w:val="auto"/>
                <w:kern w:val="0"/>
                <w:sz w:val="24"/>
                <w:highlight w:val="none"/>
                <w:lang w:val="en-US" w:eastAsia="zh-CN"/>
              </w:rPr>
              <w:t>中</w:t>
            </w:r>
            <w:r>
              <w:rPr>
                <w:rFonts w:hint="eastAsia" w:ascii="仿宋" w:hAnsi="仿宋" w:eastAsia="仿宋" w:cs="仿宋"/>
                <w:color w:val="auto"/>
                <w:kern w:val="0"/>
                <w:sz w:val="24"/>
                <w:highlight w:val="none"/>
              </w:rPr>
              <w:t>小企业</w:t>
            </w:r>
            <w:r>
              <w:rPr>
                <w:rFonts w:hint="eastAsia" w:ascii="仿宋" w:hAnsi="仿宋" w:eastAsia="仿宋" w:cs="仿宋"/>
                <w:color w:val="auto"/>
                <w:kern w:val="0"/>
                <w:sz w:val="24"/>
              </w:rPr>
              <w:t>声明函</w:t>
            </w:r>
            <w:r>
              <w:rPr>
                <w:rFonts w:hint="eastAsia" w:ascii="仿宋" w:hAnsi="仿宋" w:eastAsia="仿宋" w:cs="仿宋"/>
                <w:color w:val="auto"/>
                <w:sz w:val="24"/>
                <w:szCs w:val="24"/>
                <w:lang w:val="en-US" w:eastAsia="zh-CN"/>
              </w:rPr>
              <w:t>》（或《残疾人福利性单位声明函》、《监狱或戒毒企业声明函》），并对声明的真实性、准确性</w:t>
            </w:r>
            <w:r>
              <w:rPr>
                <w:rFonts w:hint="eastAsia" w:ascii="仿宋" w:hAnsi="仿宋" w:eastAsia="仿宋" w:cs="仿宋"/>
                <w:color w:val="auto"/>
                <w:kern w:val="0"/>
                <w:sz w:val="24"/>
                <w:lang w:val="en-US" w:eastAsia="zh-CN"/>
              </w:rPr>
              <w:t>、有效性</w:t>
            </w:r>
            <w:r>
              <w:rPr>
                <w:rFonts w:hint="eastAsia" w:ascii="仿宋" w:hAnsi="仿宋" w:eastAsia="仿宋" w:cs="仿宋"/>
                <w:color w:val="auto"/>
                <w:kern w:val="0"/>
                <w:sz w:val="24"/>
              </w:rPr>
              <w:t>负责</w:t>
            </w:r>
            <w:r>
              <w:rPr>
                <w:rFonts w:hint="eastAsia" w:ascii="仿宋" w:hAnsi="仿宋" w:eastAsia="仿宋" w:cs="仿宋"/>
                <w:color w:val="auto"/>
                <w:kern w:val="0"/>
                <w:sz w:val="24"/>
                <w:lang w:val="en-US" w:eastAsia="zh-CN"/>
              </w:rPr>
              <w:t>（供应商应认真、审慎、客观获取制造商相关信息，不利后果由供应商承担）</w:t>
            </w:r>
            <w:r>
              <w:rPr>
                <w:rFonts w:hint="eastAsia" w:ascii="仿宋" w:hAnsi="仿宋" w:eastAsia="仿宋" w:cs="仿宋"/>
                <w:color w:val="auto"/>
                <w:kern w:val="0"/>
                <w:sz w:val="24"/>
                <w:lang w:eastAsia="zh-CN"/>
              </w:rPr>
              <w:t>。</w:t>
            </w:r>
          </w:p>
          <w:p w14:paraId="2A29E3CB">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5.中标人提供的《</w:t>
            </w:r>
            <w:r>
              <w:rPr>
                <w:rFonts w:hint="eastAsia" w:ascii="仿宋" w:hAnsi="仿宋" w:eastAsia="仿宋" w:cs="仿宋"/>
                <w:color w:val="auto"/>
                <w:kern w:val="0"/>
                <w:sz w:val="24"/>
                <w:highlight w:val="none"/>
                <w:lang w:val="en-US" w:eastAsia="zh-CN"/>
              </w:rPr>
              <w:t>中</w:t>
            </w:r>
            <w:r>
              <w:rPr>
                <w:rFonts w:hint="eastAsia" w:ascii="仿宋" w:hAnsi="仿宋" w:eastAsia="仿宋" w:cs="仿宋"/>
                <w:color w:val="auto"/>
                <w:kern w:val="0"/>
                <w:sz w:val="24"/>
                <w:highlight w:val="none"/>
              </w:rPr>
              <w:t>小企业</w:t>
            </w:r>
            <w:r>
              <w:rPr>
                <w:rFonts w:hint="eastAsia" w:ascii="仿宋" w:hAnsi="仿宋" w:eastAsia="仿宋" w:cs="仿宋"/>
                <w:color w:val="auto"/>
                <w:kern w:val="0"/>
                <w:sz w:val="24"/>
              </w:rPr>
              <w:t>声明函</w:t>
            </w:r>
            <w:r>
              <w:rPr>
                <w:rFonts w:hint="eastAsia" w:ascii="仿宋" w:hAnsi="仿宋" w:eastAsia="仿宋" w:cs="仿宋"/>
                <w:color w:val="auto"/>
                <w:sz w:val="24"/>
                <w:szCs w:val="24"/>
                <w:lang w:val="en-US" w:eastAsia="zh-CN"/>
              </w:rPr>
              <w:t>》、《残疾人福利性单位声明函》、《监狱或戒毒企业声明函》随同中标结果公示，接受社会监督，若有不实，将承担经济和法律后果。</w:t>
            </w:r>
          </w:p>
          <w:p w14:paraId="55C2AD52">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b w:val="0"/>
                <w:bCs w:val="0"/>
                <w:color w:val="auto"/>
                <w:sz w:val="24"/>
                <w:szCs w:val="24"/>
                <w:lang w:val="en-US" w:eastAsia="zh-CN"/>
              </w:rPr>
              <w:t>6.</w:t>
            </w:r>
            <w:r>
              <w:rPr>
                <w:rFonts w:hint="eastAsia" w:ascii="仿宋" w:hAnsi="仿宋" w:eastAsia="仿宋" w:cs="仿宋"/>
                <w:color w:val="auto"/>
                <w:sz w:val="24"/>
                <w:szCs w:val="24"/>
                <w:highlight w:val="none"/>
                <w:lang w:val="en-US" w:eastAsia="zh-CN"/>
              </w:rPr>
              <w:t>享受扶持政策获得政府采购合同的，小微企业不得将合同分包给大中型企业，中型企业不得将合同分包给大型企业。</w:t>
            </w:r>
          </w:p>
          <w:p w14:paraId="07D7CD8E">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7.发生纠纷时，</w:t>
            </w:r>
            <w:r>
              <w:rPr>
                <w:rFonts w:hint="eastAsia" w:ascii="仿宋" w:hAnsi="仿宋" w:eastAsia="仿宋" w:cs="仿宋"/>
                <w:color w:val="auto"/>
                <w:sz w:val="24"/>
                <w:szCs w:val="24"/>
                <w:highlight w:val="none"/>
              </w:rPr>
              <w:t>对中小企业的</w:t>
            </w:r>
            <w:r>
              <w:rPr>
                <w:rFonts w:hint="eastAsia" w:ascii="仿宋" w:hAnsi="仿宋" w:eastAsia="仿宋" w:cs="仿宋"/>
                <w:color w:val="auto"/>
                <w:sz w:val="24"/>
                <w:szCs w:val="24"/>
                <w:highlight w:val="none"/>
                <w:lang w:val="en-US" w:eastAsia="zh-CN"/>
              </w:rPr>
              <w:t>最终</w:t>
            </w:r>
            <w:r>
              <w:rPr>
                <w:rFonts w:hint="eastAsia" w:ascii="仿宋" w:hAnsi="仿宋" w:eastAsia="仿宋" w:cs="仿宋"/>
                <w:color w:val="auto"/>
                <w:sz w:val="24"/>
                <w:szCs w:val="24"/>
                <w:highlight w:val="none"/>
              </w:rPr>
              <w:t>认定，由</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注册登记所在地的县级以上人民政府中小企业主管部门负责。</w:t>
            </w:r>
          </w:p>
        </w:tc>
      </w:tr>
      <w:tr w14:paraId="26035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6B244AF">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12</w:t>
            </w:r>
            <w:r>
              <w:rPr>
                <w:rFonts w:hint="eastAsia" w:ascii="仿宋" w:hAnsi="仿宋" w:eastAsia="仿宋" w:cs="仿宋"/>
                <w:color w:val="auto"/>
                <w:sz w:val="24"/>
                <w:szCs w:val="24"/>
                <w:lang w:val="en-US" w:eastAsia="zh-CN"/>
              </w:rPr>
              <w:t>.2</w:t>
            </w:r>
          </w:p>
        </w:tc>
        <w:tc>
          <w:tcPr>
            <w:tcW w:w="1907" w:type="dxa"/>
            <w:shd w:val="clear" w:color="auto" w:fill="auto"/>
            <w:vAlign w:val="center"/>
          </w:tcPr>
          <w:p w14:paraId="255D0DD3">
            <w:pPr>
              <w:pStyle w:val="3"/>
              <w:keepNext w:val="0"/>
              <w:keepLines w:val="0"/>
              <w:pageBreakBefore w:val="0"/>
              <w:widowControl w:val="0"/>
              <w:kinsoku/>
              <w:wordWrap/>
              <w:overflowPunct/>
              <w:topLinePunct w:val="0"/>
              <w:autoSpaceDE/>
              <w:autoSpaceDN/>
              <w:bidi w:val="0"/>
              <w:adjustRightInd/>
              <w:snapToGrid/>
              <w:spacing w:before="0" w:beforeAutospacing="0" w:afterAutospacing="0" w:line="500" w:lineRule="exact"/>
              <w:ind w:left="0" w:left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中小企业</w:t>
            </w:r>
          </w:p>
          <w:p w14:paraId="6E162195">
            <w:pPr>
              <w:pStyle w:val="3"/>
              <w:keepNext w:val="0"/>
              <w:keepLines w:val="0"/>
              <w:pageBreakBefore w:val="0"/>
              <w:widowControl w:val="0"/>
              <w:kinsoku/>
              <w:wordWrap/>
              <w:overflowPunct/>
              <w:topLinePunct w:val="0"/>
              <w:autoSpaceDE/>
              <w:autoSpaceDN/>
              <w:bidi w:val="0"/>
              <w:adjustRightInd/>
              <w:snapToGrid/>
              <w:spacing w:before="0" w:beforeAutospacing="0" w:afterAutospacing="0" w:line="500" w:lineRule="exact"/>
              <w:ind w:left="0" w:leftChars="0"/>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划型标准</w:t>
            </w:r>
          </w:p>
        </w:tc>
        <w:tc>
          <w:tcPr>
            <w:tcW w:w="6589" w:type="dxa"/>
            <w:shd w:val="clear" w:color="auto" w:fill="auto"/>
            <w:vAlign w:val="center"/>
          </w:tcPr>
          <w:p w14:paraId="7901FF1F">
            <w:pPr>
              <w:pStyle w:val="3"/>
              <w:keepNext w:val="0"/>
              <w:keepLines w:val="0"/>
              <w:pageBreakBefore w:val="0"/>
              <w:widowControl w:val="0"/>
              <w:kinsoku/>
              <w:wordWrap/>
              <w:overflowPunct/>
              <w:topLinePunct w:val="0"/>
              <w:autoSpaceDE/>
              <w:autoSpaceDN/>
              <w:bidi w:val="0"/>
              <w:adjustRightInd/>
              <w:snapToGrid/>
              <w:spacing w:before="0" w:beforeAutospacing="0" w:afterAutospacing="0" w:line="500" w:lineRule="exact"/>
              <w:ind w:left="0" w:leftChars="0"/>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b/>
                <w:bCs/>
                <w:color w:val="auto"/>
                <w:kern w:val="2"/>
                <w:sz w:val="24"/>
                <w:szCs w:val="24"/>
                <w:highlight w:val="none"/>
                <w:lang w:val="en-US" w:eastAsia="zh-CN" w:bidi="ar-SA"/>
              </w:rPr>
              <w:t>1.本项目所属行业：</w:t>
            </w:r>
            <w:r>
              <w:rPr>
                <w:rFonts w:hint="eastAsia" w:ascii="仿宋" w:hAnsi="仿宋" w:eastAsia="仿宋" w:cs="仿宋"/>
                <w:snapToGrid w:val="0"/>
                <w:color w:val="auto"/>
                <w:kern w:val="0"/>
                <w:sz w:val="24"/>
                <w:szCs w:val="24"/>
                <w:highlight w:val="none"/>
                <w:lang w:val="en-US" w:eastAsia="zh-CN" w:bidi="ar-SA"/>
              </w:rPr>
              <w:t>工业</w:t>
            </w:r>
          </w:p>
          <w:p w14:paraId="4669E86D">
            <w:pPr>
              <w:pStyle w:val="6"/>
              <w:keepNext w:val="0"/>
              <w:keepLines w:val="0"/>
              <w:pageBreakBefore w:val="0"/>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2.划型标准</w:t>
            </w:r>
            <w:r>
              <w:rPr>
                <w:rFonts w:hint="eastAsia" w:ascii="仿宋" w:hAnsi="仿宋" w:eastAsia="仿宋" w:cs="仿宋"/>
                <w:color w:val="auto"/>
                <w:kern w:val="2"/>
                <w:sz w:val="24"/>
                <w:szCs w:val="24"/>
                <w:highlight w:val="none"/>
                <w:lang w:val="en-US" w:eastAsia="zh-CN" w:bidi="ar-SA"/>
              </w:rPr>
              <w:t>：</w:t>
            </w:r>
            <w:r>
              <w:rPr>
                <w:rFonts w:hint="default" w:ascii="仿宋" w:hAnsi="仿宋" w:eastAsia="仿宋" w:cs="仿宋"/>
                <w:snapToGrid w:val="0"/>
                <w:color w:val="auto"/>
                <w:kern w:val="0"/>
                <w:sz w:val="24"/>
                <w:szCs w:val="24"/>
                <w:highlight w:val="none"/>
                <w:lang w:val="en-US" w:eastAsia="zh-CN" w:bidi="ar-SA"/>
              </w:rPr>
              <w:t>①</w:t>
            </w:r>
            <w:r>
              <w:rPr>
                <w:rFonts w:hint="eastAsia" w:ascii="仿宋" w:hAnsi="仿宋" w:eastAsia="仿宋" w:cs="仿宋"/>
                <w:snapToGrid w:val="0"/>
                <w:color w:val="auto"/>
                <w:kern w:val="0"/>
                <w:sz w:val="24"/>
                <w:szCs w:val="24"/>
                <w:highlight w:val="none"/>
                <w:lang w:val="en-US" w:eastAsia="zh-CN" w:bidi="ar-SA"/>
              </w:rPr>
              <w:t>从业人员</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1000人，营业收入</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40000万元，为大型企业；</w:t>
            </w:r>
            <w:r>
              <w:rPr>
                <w:rFonts w:hint="default" w:ascii="仿宋" w:hAnsi="仿宋" w:eastAsia="仿宋" w:cs="仿宋"/>
                <w:snapToGrid w:val="0"/>
                <w:color w:val="auto"/>
                <w:kern w:val="0"/>
                <w:sz w:val="24"/>
                <w:szCs w:val="24"/>
                <w:highlight w:val="none"/>
                <w:lang w:val="en-US" w:eastAsia="zh-CN" w:bidi="ar-SA"/>
              </w:rPr>
              <w:t>②</w:t>
            </w:r>
            <w:r>
              <w:rPr>
                <w:rFonts w:hint="eastAsia" w:ascii="仿宋" w:hAnsi="仿宋" w:eastAsia="仿宋" w:cs="仿宋"/>
                <w:snapToGrid w:val="0"/>
                <w:color w:val="auto"/>
                <w:kern w:val="0"/>
                <w:sz w:val="24"/>
                <w:szCs w:val="24"/>
                <w:highlight w:val="none"/>
                <w:lang w:val="en-US" w:eastAsia="zh-CN" w:bidi="ar-SA"/>
              </w:rPr>
              <w:t>300人</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从业人员</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1000人，且2000万元</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营业收入</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40000万元，为中型企业；</w:t>
            </w:r>
            <w:r>
              <w:rPr>
                <w:rFonts w:hint="default" w:ascii="仿宋" w:hAnsi="仿宋" w:eastAsia="仿宋" w:cs="仿宋"/>
                <w:snapToGrid w:val="0"/>
                <w:color w:val="auto"/>
                <w:kern w:val="0"/>
                <w:sz w:val="24"/>
                <w:szCs w:val="24"/>
                <w:highlight w:val="none"/>
                <w:lang w:val="en-US" w:eastAsia="zh-CN" w:bidi="ar-SA"/>
              </w:rPr>
              <w:t>③</w:t>
            </w:r>
            <w:r>
              <w:rPr>
                <w:rFonts w:hint="eastAsia" w:ascii="仿宋" w:hAnsi="仿宋" w:eastAsia="仿宋" w:cs="仿宋"/>
                <w:snapToGrid w:val="0"/>
                <w:color w:val="auto"/>
                <w:kern w:val="0"/>
                <w:sz w:val="24"/>
                <w:szCs w:val="24"/>
                <w:highlight w:val="none"/>
                <w:lang w:val="en-US" w:eastAsia="zh-CN" w:bidi="ar-SA"/>
              </w:rPr>
              <w:t>20人</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从业人员</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300人，且300万元</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营业收入</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2000万元，为小型企业；</w:t>
            </w:r>
            <w:r>
              <w:rPr>
                <w:rFonts w:hint="default" w:ascii="仿宋" w:hAnsi="仿宋" w:eastAsia="仿宋" w:cs="仿宋"/>
                <w:snapToGrid w:val="0"/>
                <w:color w:val="auto"/>
                <w:kern w:val="0"/>
                <w:sz w:val="24"/>
                <w:szCs w:val="24"/>
                <w:highlight w:val="none"/>
                <w:lang w:val="en-US" w:eastAsia="zh-CN" w:bidi="ar-SA"/>
              </w:rPr>
              <w:t>④</w:t>
            </w:r>
            <w:r>
              <w:rPr>
                <w:rFonts w:hint="eastAsia" w:ascii="仿宋" w:hAnsi="仿宋" w:eastAsia="仿宋" w:cs="仿宋"/>
                <w:snapToGrid w:val="0"/>
                <w:color w:val="auto"/>
                <w:kern w:val="0"/>
                <w:sz w:val="24"/>
                <w:szCs w:val="24"/>
                <w:highlight w:val="none"/>
                <w:lang w:val="en-US" w:eastAsia="zh-CN" w:bidi="ar-SA"/>
              </w:rPr>
              <w:t>从业人员</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20人，或营业收入</w:t>
            </w:r>
            <w:r>
              <w:rPr>
                <w:rFonts w:hint="default" w:ascii="仿宋" w:hAnsi="仿宋" w:eastAsia="仿宋" w:cs="仿宋"/>
                <w:snapToGrid w:val="0"/>
                <w:color w:val="auto"/>
                <w:kern w:val="0"/>
                <w:sz w:val="24"/>
                <w:szCs w:val="24"/>
                <w:highlight w:val="none"/>
                <w:lang w:val="en-US" w:eastAsia="zh-CN" w:bidi="ar-SA"/>
              </w:rPr>
              <w:t>＜</w:t>
            </w:r>
            <w:r>
              <w:rPr>
                <w:rFonts w:hint="eastAsia" w:ascii="仿宋" w:hAnsi="仿宋" w:eastAsia="仿宋" w:cs="仿宋"/>
                <w:snapToGrid w:val="0"/>
                <w:color w:val="auto"/>
                <w:kern w:val="0"/>
                <w:sz w:val="24"/>
                <w:szCs w:val="24"/>
                <w:highlight w:val="none"/>
                <w:lang w:val="en-US" w:eastAsia="zh-CN" w:bidi="ar-SA"/>
              </w:rPr>
              <w:t>300万元，为微型企业。</w:t>
            </w:r>
          </w:p>
        </w:tc>
      </w:tr>
      <w:tr w14:paraId="0C920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53FF7E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12</w:t>
            </w:r>
            <w:r>
              <w:rPr>
                <w:rFonts w:hint="eastAsia" w:ascii="仿宋" w:hAnsi="仿宋" w:eastAsia="仿宋" w:cs="仿宋"/>
                <w:color w:val="auto"/>
                <w:sz w:val="24"/>
                <w:szCs w:val="24"/>
                <w:lang w:val="en-US" w:eastAsia="zh-CN"/>
              </w:rPr>
              <w:t>.3</w:t>
            </w:r>
          </w:p>
        </w:tc>
        <w:tc>
          <w:tcPr>
            <w:tcW w:w="1907" w:type="dxa"/>
            <w:shd w:val="clear" w:color="auto" w:fill="auto"/>
            <w:vAlign w:val="center"/>
          </w:tcPr>
          <w:p w14:paraId="1637AE3B">
            <w:pPr>
              <w:pStyle w:val="3"/>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中小企业声明函填写说明</w:t>
            </w:r>
          </w:p>
        </w:tc>
        <w:tc>
          <w:tcPr>
            <w:tcW w:w="6589" w:type="dxa"/>
            <w:shd w:val="clear" w:color="auto" w:fill="auto"/>
            <w:vAlign w:val="center"/>
          </w:tcPr>
          <w:p w14:paraId="0887B8F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strike w:val="0"/>
                <w:dstrike w:val="0"/>
                <w:color w:val="auto"/>
                <w:sz w:val="24"/>
                <w:szCs w:val="24"/>
                <w:highlight w:val="none"/>
                <w:lang w:val="en-US" w:eastAsia="zh-CN"/>
              </w:rPr>
              <w:t>从业人员、营业收入、资产总额：以参加本采购活动的上年年末数字为准（或全年平均数字），无上一年度数据的新成立企业可不填报（须提供有效印证材料）。</w:t>
            </w:r>
          </w:p>
        </w:tc>
      </w:tr>
      <w:tr w14:paraId="75F6C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110CC96">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12.4</w:t>
            </w:r>
          </w:p>
        </w:tc>
        <w:tc>
          <w:tcPr>
            <w:tcW w:w="1907" w:type="dxa"/>
            <w:shd w:val="clear" w:color="auto" w:fill="auto"/>
            <w:vAlign w:val="center"/>
          </w:tcPr>
          <w:p w14:paraId="37D046A4">
            <w:pPr>
              <w:pStyle w:val="3"/>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声明函澄清、</w:t>
            </w:r>
          </w:p>
          <w:p w14:paraId="2BAFCCFF">
            <w:pPr>
              <w:pStyle w:val="3"/>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修正</w:t>
            </w:r>
          </w:p>
        </w:tc>
        <w:tc>
          <w:tcPr>
            <w:tcW w:w="6589" w:type="dxa"/>
            <w:shd w:val="clear" w:color="auto" w:fill="auto"/>
            <w:vAlign w:val="center"/>
          </w:tcPr>
          <w:p w14:paraId="14E1E6C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声明函中存在明显笔误、划</w:t>
            </w:r>
            <w:r>
              <w:rPr>
                <w:rFonts w:hint="default" w:ascii="仿宋" w:hAnsi="仿宋" w:eastAsia="仿宋" w:cs="仿宋"/>
                <w:color w:val="auto"/>
                <w:sz w:val="24"/>
                <w:szCs w:val="24"/>
                <w:lang w:val="en-US" w:eastAsia="zh-CN"/>
              </w:rPr>
              <w:t>型</w:t>
            </w:r>
            <w:r>
              <w:rPr>
                <w:rFonts w:hint="eastAsia" w:ascii="仿宋" w:hAnsi="仿宋" w:eastAsia="仿宋" w:cs="仿宋"/>
                <w:color w:val="auto"/>
                <w:sz w:val="24"/>
                <w:szCs w:val="24"/>
                <w:lang w:val="en-US" w:eastAsia="zh-CN"/>
              </w:rPr>
              <w:t>错误、同一内容前后不一致等无主观故意为之的</w:t>
            </w:r>
            <w:r>
              <w:rPr>
                <w:rFonts w:hint="default" w:ascii="仿宋" w:hAnsi="仿宋" w:eastAsia="仿宋" w:cs="仿宋"/>
                <w:color w:val="auto"/>
                <w:sz w:val="24"/>
                <w:szCs w:val="24"/>
                <w:lang w:val="en-US" w:eastAsia="zh-CN"/>
              </w:rPr>
              <w:t>情</w:t>
            </w:r>
            <w:r>
              <w:rPr>
                <w:rFonts w:hint="eastAsia" w:ascii="仿宋" w:hAnsi="仿宋" w:eastAsia="仿宋" w:cs="仿宋"/>
                <w:color w:val="auto"/>
                <w:sz w:val="24"/>
                <w:szCs w:val="24"/>
                <w:lang w:val="en-US" w:eastAsia="zh-CN"/>
              </w:rPr>
              <w:t>形，评标小组可要求供应商予以澄清，澄清后符合中小企业条件的，该声明函有效，否则无效，不享受价格优惠</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lang w:val="en-US" w:eastAsia="zh-CN"/>
              </w:rPr>
              <w:t>（评审时不寻求外部证据）。</w:t>
            </w:r>
          </w:p>
        </w:tc>
      </w:tr>
      <w:tr w14:paraId="759B4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7A406CE">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13</w:t>
            </w:r>
          </w:p>
        </w:tc>
        <w:tc>
          <w:tcPr>
            <w:tcW w:w="1907" w:type="dxa"/>
            <w:tcBorders>
              <w:right w:val="nil"/>
            </w:tcBorders>
            <w:vAlign w:val="center"/>
          </w:tcPr>
          <w:p w14:paraId="3DCE8484">
            <w:pPr>
              <w:keepNext w:val="0"/>
              <w:keepLines w:val="0"/>
              <w:pageBreakBefore w:val="0"/>
              <w:kinsoku/>
              <w:wordWrap/>
              <w:overflowPunct/>
              <w:topLinePunct w:val="0"/>
              <w:autoSpaceDE/>
              <w:autoSpaceDN/>
              <w:bidi w:val="0"/>
              <w:adjustRightInd/>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合同</w:t>
            </w:r>
          </w:p>
        </w:tc>
        <w:tc>
          <w:tcPr>
            <w:tcW w:w="6589" w:type="dxa"/>
            <w:tcBorders>
              <w:left w:val="nil"/>
            </w:tcBorders>
            <w:vAlign w:val="center"/>
          </w:tcPr>
          <w:p w14:paraId="79E5508C">
            <w:pPr>
              <w:keepNext w:val="0"/>
              <w:keepLines w:val="0"/>
              <w:pageBreakBefore w:val="0"/>
              <w:tabs>
                <w:tab w:val="left" w:pos="7013"/>
              </w:tabs>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p>
        </w:tc>
      </w:tr>
      <w:tr w14:paraId="28149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7F73C62">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13.1</w:t>
            </w:r>
          </w:p>
        </w:tc>
        <w:tc>
          <w:tcPr>
            <w:tcW w:w="1907" w:type="dxa"/>
            <w:vAlign w:val="center"/>
          </w:tcPr>
          <w:p w14:paraId="25D1D3D1">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合同类型</w:t>
            </w:r>
          </w:p>
        </w:tc>
        <w:tc>
          <w:tcPr>
            <w:tcW w:w="6589" w:type="dxa"/>
            <w:vAlign w:val="center"/>
          </w:tcPr>
          <w:p w14:paraId="623C509B">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固定总价合同</w:t>
            </w:r>
          </w:p>
        </w:tc>
      </w:tr>
      <w:tr w14:paraId="3D42B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12B0FF1F">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13.2</w:t>
            </w:r>
          </w:p>
        </w:tc>
        <w:tc>
          <w:tcPr>
            <w:tcW w:w="1907" w:type="dxa"/>
            <w:shd w:val="clear" w:color="auto" w:fill="auto"/>
            <w:vAlign w:val="center"/>
          </w:tcPr>
          <w:p w14:paraId="62B5DC8F">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签订合同</w:t>
            </w:r>
          </w:p>
        </w:tc>
        <w:tc>
          <w:tcPr>
            <w:tcW w:w="6589" w:type="dxa"/>
            <w:shd w:val="clear" w:color="auto" w:fill="auto"/>
            <w:vAlign w:val="center"/>
          </w:tcPr>
          <w:p w14:paraId="1E3EEF29">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rPr>
              <w:t>1、</w:t>
            </w:r>
            <w:r>
              <w:rPr>
                <w:rFonts w:hint="eastAsia" w:ascii="仿宋" w:hAnsi="仿宋" w:eastAsia="仿宋" w:cs="仿宋"/>
                <w:bCs/>
                <w:color w:val="auto"/>
                <w:sz w:val="24"/>
                <w:szCs w:val="24"/>
                <w:lang w:val="en-US" w:eastAsia="zh-CN"/>
              </w:rPr>
              <w:t>自中标</w:t>
            </w:r>
            <w:r>
              <w:rPr>
                <w:rFonts w:hint="eastAsia" w:ascii="仿宋" w:hAnsi="仿宋" w:eastAsia="仿宋" w:cs="仿宋"/>
                <w:bCs/>
                <w:color w:val="auto"/>
                <w:sz w:val="24"/>
                <w:szCs w:val="24"/>
              </w:rPr>
              <w:t>通知书</w:t>
            </w:r>
            <w:r>
              <w:rPr>
                <w:rFonts w:hint="eastAsia" w:ascii="仿宋" w:hAnsi="仿宋" w:eastAsia="仿宋" w:cs="仿宋"/>
                <w:bCs/>
                <w:color w:val="auto"/>
                <w:sz w:val="24"/>
                <w:szCs w:val="24"/>
                <w:lang w:val="en-US" w:eastAsia="zh-CN"/>
              </w:rPr>
              <w:t>发出之日起</w:t>
            </w:r>
            <w:r>
              <w:rPr>
                <w:rFonts w:hint="eastAsia" w:ascii="仿宋" w:hAnsi="仿宋" w:eastAsia="仿宋" w:cs="仿宋"/>
                <w:bCs/>
                <w:color w:val="auto"/>
                <w:sz w:val="24"/>
                <w:szCs w:val="24"/>
                <w:highlight w:val="none"/>
                <w:lang w:val="en-US" w:eastAsia="zh-CN"/>
              </w:rPr>
              <w:t>三十</w:t>
            </w:r>
            <w:r>
              <w:rPr>
                <w:rFonts w:hint="eastAsia" w:ascii="仿宋" w:hAnsi="仿宋" w:eastAsia="仿宋" w:cs="仿宋"/>
                <w:bCs/>
                <w:color w:val="auto"/>
                <w:sz w:val="24"/>
                <w:szCs w:val="24"/>
                <w:highlight w:val="none"/>
                <w:lang w:eastAsia="zh-CN"/>
              </w:rPr>
              <w:t>日（</w:t>
            </w:r>
            <w:r>
              <w:rPr>
                <w:rFonts w:hint="eastAsia" w:ascii="仿宋" w:hAnsi="仿宋" w:eastAsia="仿宋" w:cs="仿宋"/>
                <w:bCs/>
                <w:color w:val="auto"/>
                <w:sz w:val="24"/>
                <w:szCs w:val="24"/>
                <w:highlight w:val="none"/>
                <w:lang w:val="en-US" w:eastAsia="zh-CN"/>
              </w:rPr>
              <w:t>按照政府采购最新政策规定，应当自</w:t>
            </w:r>
            <w:r>
              <w:rPr>
                <w:rFonts w:hint="eastAsia" w:ascii="仿宋" w:hAnsi="仿宋" w:eastAsia="仿宋" w:cs="仿宋"/>
                <w:bCs/>
                <w:color w:val="auto"/>
                <w:sz w:val="24"/>
                <w:szCs w:val="24"/>
                <w:lang w:val="en-US" w:eastAsia="zh-CN"/>
              </w:rPr>
              <w:t>中标</w:t>
            </w:r>
            <w:r>
              <w:rPr>
                <w:rFonts w:hint="eastAsia" w:ascii="仿宋" w:hAnsi="仿宋" w:eastAsia="仿宋" w:cs="仿宋"/>
                <w:bCs/>
                <w:color w:val="auto"/>
                <w:sz w:val="24"/>
                <w:szCs w:val="24"/>
                <w:highlight w:val="none"/>
                <w:lang w:val="en-US" w:eastAsia="zh-CN"/>
              </w:rPr>
              <w:t>通知书发出之日起二十五日</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rPr>
              <w:t>内</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采购人与中标人按照招标文件确定的事项和投标文件订立书面合同（合同不能对招标投标已确定的实质性内容进行修改）。采购人和中标人不得再行订立背离合同实质性内容的其他协议</w:t>
            </w:r>
            <w:r>
              <w:rPr>
                <w:rFonts w:hint="eastAsia" w:ascii="仿宋" w:hAnsi="仿宋" w:eastAsia="仿宋" w:cs="仿宋"/>
                <w:bCs/>
                <w:color w:val="auto"/>
                <w:sz w:val="24"/>
                <w:szCs w:val="24"/>
                <w:lang w:eastAsia="zh-CN"/>
              </w:rPr>
              <w:t>。</w:t>
            </w:r>
          </w:p>
          <w:p w14:paraId="499F9726">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rPr>
              <w:t>2、</w:t>
            </w:r>
            <w:r>
              <w:rPr>
                <w:rFonts w:hint="eastAsia" w:ascii="仿宋" w:hAnsi="仿宋" w:eastAsia="仿宋" w:cs="仿宋"/>
                <w:bCs/>
                <w:color w:val="auto"/>
                <w:sz w:val="24"/>
                <w:szCs w:val="24"/>
                <w:lang w:val="en-US" w:eastAsia="zh-CN"/>
              </w:rPr>
              <w:t>招标文件要求中标人提交履约保证金或者其他形式履约或风险保证的，中标人应当提交；拒绝提交的，视为放弃中标资格</w:t>
            </w:r>
            <w:r>
              <w:rPr>
                <w:rFonts w:hint="eastAsia" w:ascii="仿宋" w:hAnsi="仿宋" w:eastAsia="仿宋" w:cs="仿宋"/>
                <w:bCs/>
                <w:color w:val="auto"/>
                <w:sz w:val="24"/>
                <w:szCs w:val="24"/>
                <w:lang w:eastAsia="zh-CN"/>
              </w:rPr>
              <w:t>。</w:t>
            </w:r>
          </w:p>
          <w:p w14:paraId="146AC484">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中标后签订合同前，采购人有权要求对采购规定的或投标文件资料原件和关键性能指标进行核查、测试，若中标人在规定时间内拒不配合，造成可能导致无法按期签订合同或项目无法按期推进，视为不按采购要求和投标响应执行，不履行对采购要约的承诺，损害了采购方的权益，构成违约，采购人有权取消其中标资格。</w:t>
            </w:r>
          </w:p>
          <w:p w14:paraId="41BE5E04">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4、若合同签订期间与中标产品、技术服务等相关的新的国家/行业强制性标准规范开始施行，则双方须依法进行变更，按最新的强制性标准执行，并做好详细说明、记录。</w:t>
            </w:r>
          </w:p>
          <w:p w14:paraId="75588A67">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5、甲乙双方无正当理由不按规定签订合同，或在签订合同时向对方提出附加条件，更改合同实质性内容的，依法承担相应法律责任；给对方造成损失的应当赔偿。</w:t>
            </w:r>
          </w:p>
          <w:p w14:paraId="1E86839C">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6、中标通知书是合同的重要组成部分。招标文件、投标文件及评审过程中有关的澄清文件均作为合同附件。中标无效的，发出的中标通知书和签订的合同自始没有法律约束力，但不影响合同中独立存在的有关解决争议方法的条款的效力。</w:t>
            </w:r>
          </w:p>
          <w:p w14:paraId="62EA1BB7">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7、中标人应按照合同约定完整履行义务，若其违约，采购人有权单方面取消合同，相应风险由中标人承担。</w:t>
            </w:r>
          </w:p>
          <w:p w14:paraId="7BAAEFAD">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8、若本项目实施条件/要求发生变化或发生不可抗力，采购方有权单方解除合同，相关风险由中标方承担。</w:t>
            </w:r>
          </w:p>
        </w:tc>
      </w:tr>
      <w:tr w14:paraId="3D662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51E8FB41">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13.3</w:t>
            </w:r>
          </w:p>
        </w:tc>
        <w:tc>
          <w:tcPr>
            <w:tcW w:w="1907" w:type="dxa"/>
            <w:vAlign w:val="center"/>
          </w:tcPr>
          <w:p w14:paraId="1A05B601">
            <w:pPr>
              <w:pStyle w:val="3"/>
              <w:keepNext w:val="0"/>
              <w:keepLines w:val="0"/>
              <w:pageBreakBefore w:val="0"/>
              <w:kinsoku/>
              <w:wordWrap/>
              <w:overflowPunct/>
              <w:topLinePunct w:val="0"/>
              <w:autoSpaceDE/>
              <w:autoSpaceDN/>
              <w:bidi w:val="0"/>
              <w:adjustRightInd/>
              <w:spacing w:before="0" w:beforeAutospacing="0" w:afterAutospacing="0"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合同分包、转包</w:t>
            </w:r>
          </w:p>
        </w:tc>
        <w:tc>
          <w:tcPr>
            <w:tcW w:w="6589" w:type="dxa"/>
            <w:vAlign w:val="center"/>
          </w:tcPr>
          <w:p w14:paraId="4D5BEF0F">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lang w:val="en-US" w:eastAsia="zh-CN"/>
              </w:rPr>
            </w:pPr>
            <w:r>
              <w:rPr>
                <w:rFonts w:hint="eastAsia" w:ascii="仿宋" w:hAnsi="仿宋" w:eastAsia="仿宋" w:cs="仿宋"/>
                <w:color w:val="auto"/>
                <w:kern w:val="0"/>
                <w:sz w:val="24"/>
                <w:szCs w:val="24"/>
                <w:lang w:val="en-US" w:eastAsia="zh-CN"/>
              </w:rPr>
              <w:t>不允许</w:t>
            </w:r>
            <w:r>
              <w:rPr>
                <w:rFonts w:hint="eastAsia" w:ascii="仿宋" w:hAnsi="仿宋" w:eastAsia="仿宋" w:cs="仿宋"/>
                <w:color w:val="auto"/>
                <w:sz w:val="24"/>
                <w:szCs w:val="24"/>
                <w:lang w:val="en-US" w:eastAsia="zh-CN"/>
              </w:rPr>
              <w:t>；</w:t>
            </w:r>
          </w:p>
          <w:p w14:paraId="4E37059D">
            <w:pPr>
              <w:keepNext w:val="0"/>
              <w:keepLines w:val="0"/>
              <w:pageBreakBefore w:val="0"/>
              <w:widowControl/>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bCs/>
                <w:color w:val="auto"/>
                <w:sz w:val="24"/>
                <w:szCs w:val="24"/>
                <w:lang w:val="en-US" w:eastAsia="zh-CN"/>
              </w:rPr>
              <w:t>提示：</w:t>
            </w:r>
            <w:r>
              <w:rPr>
                <w:rFonts w:hint="eastAsia" w:ascii="仿宋" w:hAnsi="仿宋" w:eastAsia="仿宋" w:cs="仿宋"/>
                <w:color w:val="auto"/>
                <w:kern w:val="0"/>
                <w:sz w:val="24"/>
                <w:szCs w:val="24"/>
              </w:rPr>
              <w:t>中小企业根据《政府采购促进中小企业发展管办法》（财库〔2020〕46号）规定的政策获取政府采购合同后，小型、微型企业不得分包或转包给大型、中型企业，中型企业不得分包或转包给大型企业。</w:t>
            </w:r>
          </w:p>
        </w:tc>
      </w:tr>
      <w:tr w14:paraId="75850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D927172">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13.4</w:t>
            </w:r>
          </w:p>
        </w:tc>
        <w:tc>
          <w:tcPr>
            <w:tcW w:w="1907" w:type="dxa"/>
            <w:vAlign w:val="center"/>
          </w:tcPr>
          <w:p w14:paraId="5EC67DB6">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合同争议及违约</w:t>
            </w:r>
          </w:p>
        </w:tc>
        <w:tc>
          <w:tcPr>
            <w:tcW w:w="6589" w:type="dxa"/>
            <w:vAlign w:val="center"/>
          </w:tcPr>
          <w:p w14:paraId="4680188A">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bCs/>
                <w:color w:val="auto"/>
                <w:kern w:val="2"/>
                <w:sz w:val="24"/>
                <w:szCs w:val="24"/>
                <w:lang w:val="en-US" w:eastAsia="zh-CN" w:bidi="ar-SA"/>
              </w:rPr>
            </w:pPr>
            <w:r>
              <w:rPr>
                <w:rFonts w:hint="eastAsia" w:ascii="仿宋" w:hAnsi="仿宋" w:eastAsia="仿宋" w:cs="仿宋"/>
                <w:bCs/>
                <w:color w:val="auto"/>
                <w:sz w:val="24"/>
                <w:szCs w:val="24"/>
                <w:lang w:val="en-US" w:eastAsia="zh-CN"/>
              </w:rPr>
              <w:t>按本项目采购合同、《民法典》等相关规定执行。</w:t>
            </w:r>
          </w:p>
        </w:tc>
      </w:tr>
      <w:tr w14:paraId="7F8F5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F6EDE09">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w:t>
            </w:r>
          </w:p>
        </w:tc>
        <w:tc>
          <w:tcPr>
            <w:tcW w:w="1907" w:type="dxa"/>
            <w:tcBorders>
              <w:right w:val="nil"/>
            </w:tcBorders>
            <w:vAlign w:val="center"/>
          </w:tcPr>
          <w:p w14:paraId="4E942442">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highlight w:val="none"/>
                <w:lang w:eastAsia="zh-CN"/>
              </w:rPr>
              <w:t>评标</w:t>
            </w:r>
          </w:p>
        </w:tc>
        <w:tc>
          <w:tcPr>
            <w:tcW w:w="6589" w:type="dxa"/>
            <w:tcBorders>
              <w:left w:val="nil"/>
            </w:tcBorders>
            <w:vAlign w:val="center"/>
          </w:tcPr>
          <w:p w14:paraId="1B97AE1F">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p>
        </w:tc>
      </w:tr>
      <w:tr w14:paraId="5D13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F819136">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14.1</w:t>
            </w:r>
          </w:p>
        </w:tc>
        <w:tc>
          <w:tcPr>
            <w:tcW w:w="1907" w:type="dxa"/>
            <w:shd w:val="clear" w:color="auto" w:fill="auto"/>
            <w:vAlign w:val="center"/>
          </w:tcPr>
          <w:p w14:paraId="60316C8D">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color w:val="auto"/>
                <w:sz w:val="24"/>
                <w:szCs w:val="24"/>
                <w:lang w:val="en-US" w:eastAsia="zh-CN"/>
              </w:rPr>
              <w:t>资格审查主体</w:t>
            </w:r>
          </w:p>
        </w:tc>
        <w:tc>
          <w:tcPr>
            <w:tcW w:w="6589" w:type="dxa"/>
            <w:shd w:val="clear" w:color="auto" w:fill="auto"/>
            <w:vAlign w:val="center"/>
          </w:tcPr>
          <w:p w14:paraId="2EF7ECF4">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kern w:val="0"/>
                <w:sz w:val="24"/>
                <w:szCs w:val="24"/>
                <w:lang w:val="en-US" w:eastAsia="zh-CN" w:bidi="ar-SA"/>
              </w:rPr>
            </w:pPr>
            <w:r>
              <w:rPr>
                <w:rFonts w:hint="eastAsia" w:ascii="仿宋" w:hAnsi="仿宋" w:eastAsia="仿宋" w:cs="仿宋"/>
                <w:b w:val="0"/>
                <w:bCs w:val="0"/>
                <w:color w:val="auto"/>
                <w:kern w:val="0"/>
                <w:sz w:val="24"/>
                <w:szCs w:val="24"/>
                <w:highlight w:val="none"/>
                <w:lang w:val="en-US" w:eastAsia="zh-CN" w:bidi="ar-SA"/>
              </w:rPr>
              <w:t>采购人</w:t>
            </w:r>
          </w:p>
        </w:tc>
      </w:tr>
      <w:tr w14:paraId="2D3E9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1D81AC8">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14.2</w:t>
            </w:r>
          </w:p>
        </w:tc>
        <w:tc>
          <w:tcPr>
            <w:tcW w:w="1907" w:type="dxa"/>
            <w:shd w:val="clear" w:color="auto" w:fill="auto"/>
            <w:vAlign w:val="center"/>
          </w:tcPr>
          <w:p w14:paraId="383C1475">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trike w:val="0"/>
                <w:dstrike w:val="0"/>
                <w:color w:val="auto"/>
                <w:sz w:val="24"/>
                <w:szCs w:val="24"/>
                <w:highlight w:val="none"/>
                <w:lang w:val="en-US" w:eastAsia="zh-CN"/>
              </w:rPr>
              <w:t>符合性审查主体</w:t>
            </w:r>
          </w:p>
        </w:tc>
        <w:tc>
          <w:tcPr>
            <w:tcW w:w="6589" w:type="dxa"/>
            <w:shd w:val="clear" w:color="auto" w:fill="auto"/>
            <w:vAlign w:val="center"/>
          </w:tcPr>
          <w:p w14:paraId="52978F61">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评</w:t>
            </w:r>
            <w:r>
              <w:rPr>
                <w:rFonts w:hint="eastAsia" w:ascii="仿宋" w:hAnsi="仿宋" w:eastAsia="仿宋" w:cs="仿宋"/>
                <w:sz w:val="24"/>
              </w:rPr>
              <w:t>标</w:t>
            </w:r>
            <w:r>
              <w:rPr>
                <w:rFonts w:hint="eastAsia" w:ascii="仿宋" w:hAnsi="仿宋" w:eastAsia="仿宋" w:cs="仿宋"/>
                <w:b w:val="0"/>
                <w:bCs w:val="0"/>
                <w:color w:val="auto"/>
                <w:kern w:val="0"/>
                <w:sz w:val="24"/>
                <w:szCs w:val="24"/>
                <w:lang w:val="en-US" w:eastAsia="zh-CN" w:bidi="ar-SA"/>
              </w:rPr>
              <w:t>小组</w:t>
            </w:r>
          </w:p>
        </w:tc>
      </w:tr>
      <w:tr w14:paraId="2798C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2957797">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14.3</w:t>
            </w:r>
          </w:p>
        </w:tc>
        <w:tc>
          <w:tcPr>
            <w:tcW w:w="1907" w:type="dxa"/>
            <w:shd w:val="clear" w:color="auto" w:fill="auto"/>
            <w:vAlign w:val="center"/>
          </w:tcPr>
          <w:p w14:paraId="423BCB72">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澄清、更正</w:t>
            </w:r>
          </w:p>
        </w:tc>
        <w:tc>
          <w:tcPr>
            <w:tcW w:w="6589" w:type="dxa"/>
            <w:shd w:val="clear" w:color="auto" w:fill="auto"/>
            <w:vAlign w:val="center"/>
          </w:tcPr>
          <w:p w14:paraId="5277F027">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评标</w:t>
            </w:r>
            <w:r>
              <w:rPr>
                <w:rFonts w:hint="eastAsia" w:ascii="仿宋" w:hAnsi="仿宋" w:eastAsia="仿宋" w:cs="仿宋"/>
                <w:color w:val="auto"/>
                <w:sz w:val="24"/>
                <w:szCs w:val="24"/>
                <w:highlight w:val="none"/>
                <w:lang w:val="en-US" w:eastAsia="zh-CN"/>
              </w:rPr>
              <w:t>小组在对投标文件的符合性进行审查时，可以要求供应商对投标文件中含义不明确、同类问题表述不一致或者有明显文字和计算错误的内容等作出必要的澄清、说明或者更正。供应商的澄清、说明或者更正不得超出投标文件的范围或者改变投标文件的实质性内容。</w:t>
            </w:r>
          </w:p>
          <w:p w14:paraId="3DAE48BB">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color w:val="auto"/>
                <w:sz w:val="24"/>
                <w:szCs w:val="24"/>
                <w:highlight w:val="none"/>
                <w:lang w:val="en-US" w:eastAsia="zh-CN"/>
              </w:rPr>
              <w:t>2.评标小组要求供应商澄清、说明或者更正投标文件应当线上提出。供应商的澄清、说明或者更正应当进行签章。</w:t>
            </w:r>
          </w:p>
        </w:tc>
      </w:tr>
      <w:tr w14:paraId="440B1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A916E79">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14.4</w:t>
            </w:r>
          </w:p>
        </w:tc>
        <w:tc>
          <w:tcPr>
            <w:tcW w:w="1907" w:type="dxa"/>
            <w:shd w:val="clear" w:color="auto" w:fill="auto"/>
            <w:vAlign w:val="center"/>
          </w:tcPr>
          <w:p w14:paraId="630E32E6">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问题修正</w:t>
            </w:r>
          </w:p>
        </w:tc>
        <w:tc>
          <w:tcPr>
            <w:tcW w:w="6589" w:type="dxa"/>
            <w:shd w:val="clear" w:color="auto" w:fill="auto"/>
            <w:vAlign w:val="center"/>
          </w:tcPr>
          <w:p w14:paraId="75F1D1F4">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（1）投标文件中未构成实质性偏差的不正规、不一致或不规则，采购人可以接受，但这种接受不能损害或影响供应商的评审排序；</w:t>
            </w:r>
          </w:p>
          <w:p w14:paraId="3BF87C1F">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 xml:space="preserve">（2）除采购文件另有规定外，投标文件报价出现下列情况的，按以下原则修正： </w:t>
            </w:r>
          </w:p>
          <w:p w14:paraId="3452DBBF">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2.1开标一览表与其他报价不一致的，以开标一览表为准：报价中的大写金额和小写金额不一致的，以大写金额为准，若大写金额出现文字/书写错误，导致金额无法判断以小写金额为准，金额能判断时可进行修正，无大写金额以小写金额为准；</w:t>
            </w:r>
          </w:p>
          <w:p w14:paraId="547C8F07">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2.2明细单价金额小数点或者百分比有明显错位的，应以开标总价为准，并修改单价；</w:t>
            </w:r>
          </w:p>
          <w:p w14:paraId="001C4C6D">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2.3总价金额与按单价汇总金额不一致的，以单价汇总金额计算结果为准；</w:t>
            </w:r>
          </w:p>
          <w:p w14:paraId="6F3049DF">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2.4.文件图表与文字不符时，以文字为准；</w:t>
            </w:r>
          </w:p>
          <w:p w14:paraId="70CFF931">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2.5.供应商承担报价错误的不利后果；</w:t>
            </w:r>
          </w:p>
          <w:p w14:paraId="13C63B4E">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注：以上问题不用澄清，由评审小组按修正原则进行修正，修正后的内容，经供应商确认后产生约束力，不确认可视为无效响应。</w:t>
            </w:r>
          </w:p>
        </w:tc>
      </w:tr>
      <w:tr w14:paraId="4914E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068D15F">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14.4</w:t>
            </w:r>
          </w:p>
        </w:tc>
        <w:tc>
          <w:tcPr>
            <w:tcW w:w="1907" w:type="dxa"/>
            <w:shd w:val="clear" w:color="auto" w:fill="auto"/>
            <w:vAlign w:val="center"/>
          </w:tcPr>
          <w:p w14:paraId="2178A305">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评审中主观分</w:t>
            </w:r>
          </w:p>
          <w:p w14:paraId="476A8548">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的修正</w:t>
            </w:r>
          </w:p>
        </w:tc>
        <w:tc>
          <w:tcPr>
            <w:tcW w:w="6589" w:type="dxa"/>
            <w:shd w:val="clear" w:color="auto" w:fill="auto"/>
            <w:vAlign w:val="center"/>
          </w:tcPr>
          <w:p w14:paraId="3BF41319">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1、采购人、代理机构依法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 </w:t>
            </w:r>
          </w:p>
          <w:p w14:paraId="7B2170AC">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①主观分总分值在 15 分以下的，评审专家主观分评分偏离 全体评委对应主观分平均分 20%以上（含本数）；</w:t>
            </w:r>
          </w:p>
          <w:p w14:paraId="7ACCC068">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②</w:t>
            </w:r>
            <w:r>
              <w:rPr>
                <w:rFonts w:hint="eastAsia" w:ascii="仿宋" w:hAnsi="仿宋" w:eastAsia="仿宋" w:cs="仿宋"/>
                <w:color w:val="auto"/>
                <w:sz w:val="24"/>
                <w:szCs w:val="24"/>
                <w:u w:val="single"/>
                <w:lang w:val="en-US" w:eastAsia="zh-CN"/>
              </w:rPr>
              <w:t>主观分总分值在 15 分（含）至 30 分的，评审专家主观分 评分偏离全体评委对应主观分平均分 15%以上（含本数）；</w:t>
            </w:r>
          </w:p>
          <w:p w14:paraId="3AD41814">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③主观分总分值在 30 分（含）以上的，评审专家主观分评 分偏离全体评委对应主观分平均分 10%以上（含本数）。</w:t>
            </w:r>
          </w:p>
          <w:p w14:paraId="67C8B893">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w:t>
            </w:r>
            <w:r>
              <w:rPr>
                <w:rFonts w:hint="default" w:ascii="仿宋" w:hAnsi="仿宋" w:eastAsia="仿宋" w:cs="仿宋"/>
                <w:color w:val="auto"/>
                <w:sz w:val="24"/>
                <w:szCs w:val="24"/>
                <w:lang w:val="en-US" w:eastAsia="zh-CN"/>
              </w:rPr>
              <w:t>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如评审专家未确认属于畸高、畸低情形且未提供充分、合理 理由，对该评审专家不予支付评审劳务报酬。</w:t>
            </w:r>
          </w:p>
        </w:tc>
      </w:tr>
      <w:tr w14:paraId="3E0B7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173E0B0">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14.5</w:t>
            </w:r>
          </w:p>
        </w:tc>
        <w:tc>
          <w:tcPr>
            <w:tcW w:w="1907" w:type="dxa"/>
            <w:shd w:val="clear" w:color="auto" w:fill="auto"/>
            <w:vAlign w:val="center"/>
          </w:tcPr>
          <w:p w14:paraId="0D0F391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color w:val="auto"/>
                <w:sz w:val="24"/>
                <w:szCs w:val="24"/>
              </w:rPr>
              <w:t>无效标</w:t>
            </w:r>
          </w:p>
        </w:tc>
        <w:tc>
          <w:tcPr>
            <w:tcW w:w="6589" w:type="dxa"/>
            <w:shd w:val="clear" w:color="auto" w:fill="auto"/>
            <w:vAlign w:val="center"/>
          </w:tcPr>
          <w:p w14:paraId="0A6828C4">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投标文件出现下列情形之一为无效投标：</w:t>
            </w:r>
          </w:p>
          <w:p w14:paraId="0B06F2C9">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1.未通过资格审查。</w:t>
            </w:r>
          </w:p>
          <w:p w14:paraId="5D325063">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2.未通过</w:t>
            </w:r>
            <w:r>
              <w:rPr>
                <w:rFonts w:hint="eastAsia" w:ascii="仿宋" w:hAnsi="仿宋" w:eastAsia="仿宋" w:cs="仿宋"/>
                <w:strike w:val="0"/>
                <w:dstrike w:val="0"/>
                <w:color w:val="auto"/>
                <w:sz w:val="24"/>
                <w:szCs w:val="24"/>
                <w:lang w:val="en-US" w:eastAsia="zh-CN"/>
              </w:rPr>
              <w:t>符合性</w:t>
            </w:r>
            <w:r>
              <w:rPr>
                <w:rFonts w:hint="eastAsia" w:ascii="仿宋" w:hAnsi="仿宋" w:eastAsia="仿宋" w:cs="仿宋"/>
                <w:color w:val="auto"/>
                <w:sz w:val="24"/>
                <w:szCs w:val="24"/>
                <w:lang w:val="en-US" w:eastAsia="zh-CN"/>
              </w:rPr>
              <w:t>审查</w:t>
            </w:r>
            <w:r>
              <w:rPr>
                <w:rFonts w:hint="eastAsia" w:ascii="仿宋" w:hAnsi="仿宋" w:eastAsia="仿宋" w:cs="仿宋"/>
                <w:color w:val="auto"/>
                <w:sz w:val="24"/>
                <w:szCs w:val="24"/>
              </w:rPr>
              <w:t>。</w:t>
            </w:r>
          </w:p>
          <w:p w14:paraId="64951DF8">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有弄</w:t>
            </w:r>
            <w:r>
              <w:rPr>
                <w:rFonts w:hint="eastAsia" w:ascii="仿宋" w:hAnsi="仿宋" w:eastAsia="仿宋" w:cs="仿宋"/>
                <w:color w:val="auto"/>
                <w:sz w:val="24"/>
                <w:szCs w:val="24"/>
              </w:rPr>
              <w:t>虚</w:t>
            </w:r>
            <w:r>
              <w:rPr>
                <w:rFonts w:hint="eastAsia" w:ascii="仿宋" w:hAnsi="仿宋" w:eastAsia="仿宋" w:cs="仿宋"/>
                <w:color w:val="auto"/>
                <w:sz w:val="24"/>
                <w:szCs w:val="24"/>
                <w:lang w:val="en-US" w:eastAsia="zh-CN"/>
              </w:rPr>
              <w:t>作</w:t>
            </w:r>
            <w:r>
              <w:rPr>
                <w:rFonts w:hint="eastAsia" w:ascii="仿宋" w:hAnsi="仿宋" w:eastAsia="仿宋" w:cs="仿宋"/>
                <w:color w:val="auto"/>
                <w:sz w:val="24"/>
                <w:szCs w:val="24"/>
              </w:rPr>
              <w:t>假</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串标围标等违法违规行为的</w:t>
            </w:r>
            <w:r>
              <w:rPr>
                <w:rFonts w:hint="eastAsia" w:ascii="仿宋" w:hAnsi="仿宋" w:eastAsia="仿宋" w:cs="仿宋"/>
                <w:color w:val="auto"/>
                <w:sz w:val="24"/>
                <w:szCs w:val="24"/>
              </w:rPr>
              <w:t>。</w:t>
            </w:r>
          </w:p>
          <w:p w14:paraId="503DA2CF">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4.</w:t>
            </w:r>
            <w:r>
              <w:rPr>
                <w:rFonts w:hint="eastAsia" w:ascii="仿宋" w:hAnsi="仿宋" w:eastAsia="仿宋" w:cs="仿宋"/>
                <w:color w:val="auto"/>
                <w:sz w:val="24"/>
                <w:szCs w:val="24"/>
                <w:lang w:val="en-US" w:eastAsia="zh-CN"/>
              </w:rPr>
              <w:t>未合法合规获取采购资料。</w:t>
            </w:r>
          </w:p>
          <w:p w14:paraId="2A613963">
            <w:pPr>
              <w:keepNext w:val="0"/>
              <w:keepLines w:val="0"/>
              <w:pageBreakBefore w:val="0"/>
              <w:kinsoku/>
              <w:wordWrap/>
              <w:overflowPunct/>
              <w:topLinePunct w:val="0"/>
              <w:autoSpaceDE/>
              <w:autoSpaceDN/>
              <w:bidi w:val="0"/>
              <w:adjustRightInd/>
              <w:spacing w:beforeAutospacing="0" w:afterAutospacing="0" w:line="500" w:lineRule="exact"/>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5.投标</w:t>
            </w:r>
            <w:r>
              <w:rPr>
                <w:rFonts w:hint="eastAsia" w:ascii="仿宋" w:hAnsi="仿宋" w:eastAsia="仿宋" w:cs="仿宋"/>
                <w:color w:val="auto"/>
                <w:sz w:val="24"/>
                <w:szCs w:val="24"/>
              </w:rPr>
              <w:t>附有采购人</w:t>
            </w:r>
            <w:r>
              <w:rPr>
                <w:rFonts w:hint="eastAsia" w:ascii="仿宋" w:hAnsi="仿宋" w:eastAsia="仿宋" w:cs="仿宋"/>
                <w:color w:val="auto"/>
                <w:sz w:val="24"/>
                <w:szCs w:val="24"/>
                <w:lang w:val="en-US" w:eastAsia="zh-CN"/>
              </w:rPr>
              <w:t>不能接受的条件。</w:t>
            </w:r>
          </w:p>
          <w:p w14:paraId="51E69334">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6.招标文件及法律法规规定的其他无效情形。</w:t>
            </w:r>
          </w:p>
        </w:tc>
      </w:tr>
      <w:tr w14:paraId="326B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5361894">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w:t>
            </w:r>
          </w:p>
        </w:tc>
        <w:tc>
          <w:tcPr>
            <w:tcW w:w="1907" w:type="dxa"/>
            <w:tcBorders>
              <w:right w:val="nil"/>
            </w:tcBorders>
            <w:shd w:val="clear" w:color="auto" w:fill="auto"/>
            <w:vAlign w:val="center"/>
          </w:tcPr>
          <w:p w14:paraId="39EE05A3">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color w:val="auto"/>
                <w:sz w:val="24"/>
                <w:szCs w:val="24"/>
                <w:lang w:val="en-US" w:eastAsia="zh-CN"/>
              </w:rPr>
              <w:t>中标人</w:t>
            </w:r>
          </w:p>
        </w:tc>
        <w:tc>
          <w:tcPr>
            <w:tcW w:w="6589" w:type="dxa"/>
            <w:tcBorders>
              <w:left w:val="nil"/>
            </w:tcBorders>
            <w:shd w:val="clear" w:color="auto" w:fill="auto"/>
            <w:vAlign w:val="center"/>
          </w:tcPr>
          <w:p w14:paraId="2C255A1A">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b w:val="0"/>
                <w:bCs w:val="0"/>
                <w:color w:val="auto"/>
                <w:kern w:val="0"/>
                <w:sz w:val="24"/>
                <w:szCs w:val="24"/>
                <w:lang w:val="en-US" w:eastAsia="zh-CN" w:bidi="ar-SA"/>
              </w:rPr>
            </w:pPr>
          </w:p>
        </w:tc>
      </w:tr>
      <w:tr w14:paraId="6D300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F56EAA5">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15.1</w:t>
            </w:r>
          </w:p>
        </w:tc>
        <w:tc>
          <w:tcPr>
            <w:tcW w:w="1907" w:type="dxa"/>
            <w:shd w:val="clear" w:color="auto" w:fill="auto"/>
            <w:vAlign w:val="center"/>
          </w:tcPr>
          <w:p w14:paraId="2AEB7AFE">
            <w:pPr>
              <w:keepNext w:val="0"/>
              <w:keepLines w:val="0"/>
              <w:pageBreakBefore w:val="0"/>
              <w:kinsoku/>
              <w:wordWrap/>
              <w:overflowPunct/>
              <w:topLinePunct w:val="0"/>
              <w:autoSpaceDE/>
              <w:autoSpaceDN/>
              <w:bidi w:val="0"/>
              <w:adjustRightInd/>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确定中标人</w:t>
            </w:r>
          </w:p>
        </w:tc>
        <w:tc>
          <w:tcPr>
            <w:tcW w:w="6589" w:type="dxa"/>
            <w:shd w:val="clear" w:color="auto" w:fill="auto"/>
            <w:vAlign w:val="center"/>
          </w:tcPr>
          <w:p w14:paraId="66C9AA44">
            <w:pPr>
              <w:keepNext w:val="0"/>
              <w:keepLines w:val="0"/>
              <w:pageBreakBefore w:val="0"/>
              <w:numPr>
                <w:ilvl w:val="0"/>
                <w:numId w:val="0"/>
              </w:numPr>
              <w:tabs>
                <w:tab w:val="left" w:pos="0"/>
              </w:tabs>
              <w:kinsoku/>
              <w:wordWrap/>
              <w:overflowPunct/>
              <w:topLinePunct w:val="0"/>
              <w:autoSpaceDE/>
              <w:autoSpaceDN/>
              <w:bidi w:val="0"/>
              <w:adjustRightInd/>
              <w:spacing w:line="500" w:lineRule="exact"/>
              <w:ind w:left="0" w:leftChars="0" w:firstLine="0" w:firstLineChars="0"/>
              <w:textAlignment w:val="auto"/>
              <w:rPr>
                <w:rFonts w:hint="eastAsia" w:ascii="仿宋" w:hAnsi="仿宋" w:eastAsia="仿宋" w:cs="仿宋"/>
                <w:bCs/>
                <w:color w:val="auto"/>
                <w:kern w:val="2"/>
                <w:sz w:val="24"/>
                <w:szCs w:val="24"/>
                <w:lang w:val="en-US" w:eastAsia="zh-CN" w:bidi="ar-SA"/>
              </w:rPr>
            </w:pPr>
            <w:r>
              <w:rPr>
                <w:rFonts w:hint="eastAsia" w:ascii="仿宋" w:hAnsi="仿宋" w:eastAsia="仿宋" w:cs="仿宋"/>
                <w:color w:val="auto"/>
                <w:kern w:val="0"/>
                <w:sz w:val="24"/>
                <w:szCs w:val="24"/>
                <w:lang w:val="en-US" w:eastAsia="zh-CN" w:bidi="ar-SA"/>
              </w:rPr>
              <w:t>采购人</w:t>
            </w:r>
          </w:p>
        </w:tc>
      </w:tr>
      <w:tr w14:paraId="2DA7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C552007">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15.2</w:t>
            </w:r>
          </w:p>
        </w:tc>
        <w:tc>
          <w:tcPr>
            <w:tcW w:w="1907" w:type="dxa"/>
            <w:shd w:val="clear" w:color="auto" w:fill="auto"/>
            <w:vAlign w:val="center"/>
          </w:tcPr>
          <w:p w14:paraId="47055E3E">
            <w:pPr>
              <w:keepNext w:val="0"/>
              <w:keepLines w:val="0"/>
              <w:pageBreakBefore w:val="0"/>
              <w:kinsoku/>
              <w:overflowPunct/>
              <w:topLinePunct w:val="0"/>
              <w:bidi w:val="0"/>
              <w:adjustRightInd/>
              <w:snapToGrid w:val="0"/>
              <w:spacing w:line="500" w:lineRule="exact"/>
              <w:jc w:val="center"/>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中标人变更</w:t>
            </w:r>
          </w:p>
        </w:tc>
        <w:tc>
          <w:tcPr>
            <w:tcW w:w="6589" w:type="dxa"/>
            <w:shd w:val="clear" w:color="auto" w:fill="auto"/>
            <w:vAlign w:val="center"/>
          </w:tcPr>
          <w:p w14:paraId="5455C5EF">
            <w:pPr>
              <w:keepNext w:val="0"/>
              <w:keepLines w:val="0"/>
              <w:pageBreakBefore w:val="0"/>
              <w:kinsoku/>
              <w:wordWrap/>
              <w:overflowPunct/>
              <w:topLinePunct w:val="0"/>
              <w:bidi w:val="0"/>
              <w:adjustRightInd/>
              <w:snapToGrid w:val="0"/>
              <w:spacing w:line="500" w:lineRule="exact"/>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根据采购法实施条例第49条和财库便函【2019】154号文，中标人拒绝与采购人签订合同（或弃标），采购人可根据采购项目的实际情况，综合考虑递补供应商的经济性和效率等因素，自主确定是否重新开展采购活动或确定下一候选人为中标或者成交供应商。</w:t>
            </w:r>
          </w:p>
          <w:p w14:paraId="2ACFF8E9">
            <w:pPr>
              <w:keepNext w:val="0"/>
              <w:keepLines w:val="0"/>
              <w:pageBreakBefore w:val="0"/>
              <w:kinsoku/>
              <w:wordWrap/>
              <w:overflowPunct/>
              <w:topLinePunct w:val="0"/>
              <w:bidi w:val="0"/>
              <w:adjustRightInd/>
              <w:snapToGrid w:val="0"/>
              <w:spacing w:line="500" w:lineRule="exact"/>
              <w:jc w:val="left"/>
              <w:textAlignment w:val="baseline"/>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2.出现变更中标人的其他情形时，按照政府采购法及相关法律法规进行。</w:t>
            </w:r>
          </w:p>
          <w:p w14:paraId="6B24726C">
            <w:pPr>
              <w:keepNext w:val="0"/>
              <w:keepLines w:val="0"/>
              <w:pageBreakBefore w:val="0"/>
              <w:kinsoku/>
              <w:wordWrap/>
              <w:overflowPunct/>
              <w:topLinePunct w:val="0"/>
              <w:bidi w:val="0"/>
              <w:adjustRightInd/>
              <w:snapToGrid w:val="0"/>
              <w:spacing w:line="500" w:lineRule="exact"/>
              <w:jc w:val="left"/>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lang w:val="en-US" w:eastAsia="zh-CN"/>
              </w:rPr>
              <w:t>3.合同签订前，若</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kern w:val="0"/>
                <w:sz w:val="24"/>
                <w:lang w:val="en-US" w:eastAsia="zh-CN"/>
              </w:rPr>
              <w:t>人经营状况发生变化，</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kern w:val="0"/>
                <w:sz w:val="24"/>
                <w:lang w:val="en-US" w:eastAsia="zh-CN"/>
              </w:rPr>
              <w:t>人须及时向采购人说明情况，采购人认为</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kern w:val="0"/>
                <w:sz w:val="24"/>
                <w:lang w:val="en-US" w:eastAsia="zh-CN"/>
              </w:rPr>
              <w:t>人不具备履约能力，可取消其</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kern w:val="0"/>
                <w:sz w:val="24"/>
                <w:lang w:val="en-US" w:eastAsia="zh-CN"/>
              </w:rPr>
              <w:t>资格</w:t>
            </w:r>
            <w:r>
              <w:rPr>
                <w:rFonts w:hint="eastAsia" w:ascii="仿宋" w:hAnsi="仿宋" w:eastAsia="仿宋" w:cs="仿宋"/>
                <w:bCs/>
                <w:color w:val="auto"/>
                <w:sz w:val="24"/>
                <w:szCs w:val="24"/>
              </w:rPr>
              <w:t>。</w:t>
            </w:r>
          </w:p>
        </w:tc>
      </w:tr>
      <w:tr w14:paraId="181A1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7646A4E">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16</w:t>
            </w:r>
          </w:p>
        </w:tc>
        <w:tc>
          <w:tcPr>
            <w:tcW w:w="1907" w:type="dxa"/>
            <w:tcBorders>
              <w:right w:val="nil"/>
            </w:tcBorders>
            <w:shd w:val="clear" w:color="auto" w:fill="auto"/>
            <w:vAlign w:val="center"/>
          </w:tcPr>
          <w:p w14:paraId="7088D20C">
            <w:pPr>
              <w:pStyle w:val="3"/>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履约验收</w:t>
            </w:r>
          </w:p>
        </w:tc>
        <w:tc>
          <w:tcPr>
            <w:tcW w:w="6589" w:type="dxa"/>
            <w:tcBorders>
              <w:left w:val="nil"/>
            </w:tcBorders>
            <w:vAlign w:val="center"/>
          </w:tcPr>
          <w:p w14:paraId="7801AE05">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p>
        </w:tc>
      </w:tr>
      <w:tr w14:paraId="24E95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7251F13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16.1</w:t>
            </w:r>
          </w:p>
        </w:tc>
        <w:tc>
          <w:tcPr>
            <w:tcW w:w="1907" w:type="dxa"/>
            <w:shd w:val="clear" w:color="auto" w:fill="auto"/>
            <w:vAlign w:val="center"/>
          </w:tcPr>
          <w:p w14:paraId="24B98309">
            <w:pPr>
              <w:pStyle w:val="3"/>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履约验收主体</w:t>
            </w:r>
          </w:p>
        </w:tc>
        <w:tc>
          <w:tcPr>
            <w:tcW w:w="6589" w:type="dxa"/>
            <w:shd w:val="clear" w:color="auto" w:fill="auto"/>
            <w:vAlign w:val="center"/>
          </w:tcPr>
          <w:p w14:paraId="425F2BF2">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采购人是履约验收的第一责任人，负有对履约验收工作的主体责任。</w:t>
            </w:r>
          </w:p>
        </w:tc>
      </w:tr>
      <w:tr w14:paraId="58764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9E7380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16.2</w:t>
            </w:r>
          </w:p>
        </w:tc>
        <w:tc>
          <w:tcPr>
            <w:tcW w:w="1907" w:type="dxa"/>
            <w:shd w:val="clear" w:color="auto" w:fill="auto"/>
            <w:vAlign w:val="center"/>
          </w:tcPr>
          <w:p w14:paraId="17A7BB89">
            <w:pPr>
              <w:pStyle w:val="3"/>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履约单位义务与责任</w:t>
            </w:r>
          </w:p>
        </w:tc>
        <w:tc>
          <w:tcPr>
            <w:tcW w:w="6589" w:type="dxa"/>
            <w:shd w:val="clear" w:color="auto" w:fill="auto"/>
            <w:vAlign w:val="center"/>
          </w:tcPr>
          <w:p w14:paraId="14283BEC">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1.诚信履约：履约单位应严守契约精神，将诚信履约作为经营底线。签订采购合同后，应按照履约期限，向采购人提供符合招标文件要求、投标文件内容、合同约定交付标准的</w:t>
            </w:r>
            <w:r>
              <w:rPr>
                <w:rFonts w:hint="eastAsia" w:ascii="仿宋_GB2312" w:hAnsi="仿宋_GB2312" w:eastAsia="仿宋_GB2312" w:cs="仿宋_GB2312"/>
                <w:lang w:val="en-US" w:eastAsia="zh-CN"/>
              </w:rPr>
              <w:t>货物</w:t>
            </w:r>
            <w:r>
              <w:rPr>
                <w:rFonts w:ascii="仿宋_GB2312" w:hAnsi="仿宋_GB2312" w:eastAsia="仿宋_GB2312" w:cs="仿宋_GB2312"/>
              </w:rPr>
              <w:t>，不得擅自降低标准、缩减范围或</w:t>
            </w:r>
            <w:r>
              <w:rPr>
                <w:rFonts w:hint="eastAsia" w:ascii="仿宋_GB2312" w:hAnsi="仿宋_GB2312" w:eastAsia="仿宋_GB2312" w:cs="仿宋_GB2312"/>
                <w:lang w:val="en-US" w:eastAsia="zh-CN"/>
              </w:rPr>
              <w:t>改变产品品牌/规格型号等</w:t>
            </w:r>
            <w:r>
              <w:rPr>
                <w:rFonts w:ascii="仿宋_GB2312" w:hAnsi="仿宋_GB2312" w:eastAsia="仿宋_GB2312" w:cs="仿宋_GB2312"/>
              </w:rPr>
              <w:t>。</w:t>
            </w:r>
          </w:p>
          <w:p w14:paraId="0CF415B8">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主动配合验收，承担违约责任：履约单位应积极配合采购人开展的履约验收工作，提供与项目验收相关的技术服务、质量、安全等资料。对不按合同履约、提供虚假材料、阻挠正常验收、拒不整改或整改不到位、履约过程违约的，采购人应依据采购合同及《民法典》等相关法律法规，依法追究其法律责任，必要时，可将违法线索报送监督部门予以查处。</w:t>
            </w:r>
          </w:p>
        </w:tc>
      </w:tr>
      <w:tr w14:paraId="00E90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09A5F0FE">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16.3</w:t>
            </w:r>
          </w:p>
        </w:tc>
        <w:tc>
          <w:tcPr>
            <w:tcW w:w="1907" w:type="dxa"/>
            <w:shd w:val="clear" w:color="auto" w:fill="auto"/>
            <w:vAlign w:val="center"/>
          </w:tcPr>
          <w:p w14:paraId="1069F5B5">
            <w:pPr>
              <w:pStyle w:val="3"/>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履约验收程序</w:t>
            </w:r>
          </w:p>
        </w:tc>
        <w:tc>
          <w:tcPr>
            <w:tcW w:w="6589" w:type="dxa"/>
            <w:shd w:val="clear" w:color="auto" w:fill="auto"/>
            <w:vAlign w:val="center"/>
          </w:tcPr>
          <w:p w14:paraId="7B1D863B">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货到初验收；履约终验收。</w:t>
            </w:r>
          </w:p>
        </w:tc>
      </w:tr>
      <w:tr w14:paraId="30D6F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04D81CE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16.4</w:t>
            </w:r>
          </w:p>
        </w:tc>
        <w:tc>
          <w:tcPr>
            <w:tcW w:w="1907" w:type="dxa"/>
            <w:shd w:val="clear" w:color="auto" w:fill="auto"/>
            <w:vAlign w:val="center"/>
          </w:tcPr>
          <w:p w14:paraId="7153028A">
            <w:pPr>
              <w:pStyle w:val="3"/>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履约验收内容</w:t>
            </w:r>
          </w:p>
        </w:tc>
        <w:tc>
          <w:tcPr>
            <w:tcW w:w="6589" w:type="dxa"/>
            <w:shd w:val="clear" w:color="auto" w:fill="auto"/>
            <w:vAlign w:val="center"/>
          </w:tcPr>
          <w:p w14:paraId="60E57DDA">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验收小组须严格落实法律法规、履约验收要求，按照招标文件、投标文件、合同约定的技术、服务以及履约期限、交付方式、售后服务条款等要求，客观、公正进行验收，出具验收意见、验收报告等。验收报告应载明验收依据、验收过程、各项验收内容的评价、发现的问题（如有）、处理建议及最终的验收结论（合格或不合格）等,由验收双方共同签署。</w:t>
            </w:r>
          </w:p>
        </w:tc>
      </w:tr>
      <w:tr w14:paraId="18B44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FEA52C6">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16.5</w:t>
            </w:r>
          </w:p>
        </w:tc>
        <w:tc>
          <w:tcPr>
            <w:tcW w:w="1907" w:type="dxa"/>
            <w:shd w:val="clear" w:color="auto" w:fill="auto"/>
            <w:vAlign w:val="center"/>
          </w:tcPr>
          <w:p w14:paraId="5ADDC485">
            <w:pPr>
              <w:pStyle w:val="3"/>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highlight w:val="none"/>
                <w:lang w:val="en-US" w:eastAsia="zh-CN"/>
              </w:rPr>
              <w:t>履约验收依据</w:t>
            </w:r>
          </w:p>
        </w:tc>
        <w:tc>
          <w:tcPr>
            <w:tcW w:w="6589" w:type="dxa"/>
            <w:shd w:val="clear" w:color="auto" w:fill="auto"/>
            <w:vAlign w:val="center"/>
          </w:tcPr>
          <w:p w14:paraId="43A57467">
            <w:pPr>
              <w:pStyle w:val="9"/>
              <w:numPr>
                <w:ilvl w:val="0"/>
                <w:numId w:val="0"/>
              </w:numPr>
              <w:spacing w:line="360" w:lineRule="auto"/>
              <w:ind w:leftChars="0"/>
              <w:rPr>
                <w:rFonts w:hint="eastAsia" w:ascii="仿宋" w:hAnsi="仿宋" w:eastAsia="仿宋" w:cs="仿宋"/>
                <w:bCs/>
                <w:color w:val="auto"/>
                <w:kern w:val="2"/>
                <w:sz w:val="24"/>
                <w:szCs w:val="24"/>
                <w:lang w:val="en-US" w:eastAsia="zh-CN" w:bidi="ar-SA"/>
              </w:rPr>
            </w:pPr>
            <w:r>
              <w:rPr>
                <w:rFonts w:hint="eastAsia" w:ascii="仿宋" w:hAnsi="仿宋" w:eastAsia="仿宋" w:cs="仿宋"/>
                <w:bCs/>
                <w:color w:val="auto"/>
                <w:kern w:val="2"/>
                <w:sz w:val="24"/>
                <w:szCs w:val="24"/>
                <w:lang w:val="en-US" w:eastAsia="zh-CN" w:bidi="ar-SA"/>
              </w:rPr>
              <w:t>验收人依据国家、行业现行相关标准及采购合同规定的标的、技术、数量、质量和安全标准等，对供应商履约情况进行验收，并出具验收报告。</w:t>
            </w:r>
          </w:p>
        </w:tc>
      </w:tr>
      <w:tr w14:paraId="1ED50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5F2EEEB">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16.6</w:t>
            </w:r>
          </w:p>
        </w:tc>
        <w:tc>
          <w:tcPr>
            <w:tcW w:w="1907" w:type="dxa"/>
            <w:shd w:val="clear" w:color="auto" w:fill="auto"/>
            <w:vAlign w:val="center"/>
          </w:tcPr>
          <w:p w14:paraId="2176863A">
            <w:pPr>
              <w:pStyle w:val="3"/>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履约验收标准</w:t>
            </w:r>
          </w:p>
        </w:tc>
        <w:tc>
          <w:tcPr>
            <w:tcW w:w="6589" w:type="dxa"/>
            <w:shd w:val="clear" w:color="auto" w:fill="auto"/>
            <w:vAlign w:val="center"/>
          </w:tcPr>
          <w:p w14:paraId="1D9E6328">
            <w:pPr>
              <w:pStyle w:val="9"/>
              <w:numPr>
                <w:ilvl w:val="0"/>
                <w:numId w:val="0"/>
              </w:numPr>
              <w:spacing w:line="360" w:lineRule="auto"/>
              <w:ind w:leftChars="0"/>
              <w:rPr>
                <w:rFonts w:hint="eastAsia" w:ascii="仿宋" w:hAnsi="仿宋" w:eastAsia="仿宋" w:cs="仿宋"/>
                <w:bCs/>
                <w:color w:val="auto"/>
                <w:kern w:val="2"/>
                <w:sz w:val="24"/>
                <w:szCs w:val="24"/>
                <w:lang w:val="en-US" w:eastAsia="zh-CN" w:bidi="ar-SA"/>
              </w:rPr>
            </w:pPr>
            <w:r>
              <w:rPr>
                <w:rFonts w:hint="eastAsia" w:ascii="仿宋" w:hAnsi="仿宋" w:eastAsia="仿宋" w:cs="仿宋"/>
                <w:bCs/>
                <w:color w:val="auto"/>
                <w:kern w:val="2"/>
                <w:sz w:val="24"/>
                <w:szCs w:val="24"/>
                <w:lang w:val="en-US" w:eastAsia="zh-CN" w:bidi="ar-SA"/>
              </w:rPr>
              <w:t>达到国家、行业相关现行标准，依据合同约定验收合格，符合本次采购要求。</w:t>
            </w:r>
          </w:p>
        </w:tc>
      </w:tr>
      <w:tr w14:paraId="47AE7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594EE8E5">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16.7</w:t>
            </w:r>
          </w:p>
        </w:tc>
        <w:tc>
          <w:tcPr>
            <w:tcW w:w="1907" w:type="dxa"/>
            <w:shd w:val="clear" w:color="auto" w:fill="auto"/>
            <w:vAlign w:val="center"/>
          </w:tcPr>
          <w:p w14:paraId="00EA7116">
            <w:pPr>
              <w:pStyle w:val="3"/>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履约验收问题</w:t>
            </w:r>
          </w:p>
          <w:p w14:paraId="56F28BEE">
            <w:pPr>
              <w:pStyle w:val="3"/>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处理</w:t>
            </w:r>
          </w:p>
        </w:tc>
        <w:tc>
          <w:tcPr>
            <w:tcW w:w="6589" w:type="dxa"/>
            <w:shd w:val="clear" w:color="auto" w:fill="auto"/>
            <w:vAlign w:val="center"/>
          </w:tcPr>
          <w:p w14:paraId="4068D814">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验收合格的项目,采购人应当根据采购合同的约定及时向中标人支付资金、退还履约保证金。验收不合格的项目,采购人应当依法及时处理。</w:t>
            </w:r>
          </w:p>
        </w:tc>
      </w:tr>
      <w:tr w14:paraId="77231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4C94F235">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16.8</w:t>
            </w:r>
          </w:p>
        </w:tc>
        <w:tc>
          <w:tcPr>
            <w:tcW w:w="1907" w:type="dxa"/>
            <w:shd w:val="clear" w:color="auto" w:fill="auto"/>
            <w:vAlign w:val="center"/>
          </w:tcPr>
          <w:p w14:paraId="063372DA">
            <w:pPr>
              <w:pStyle w:val="3"/>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2"/>
                <w:highlight w:val="none"/>
                <w:lang w:val="en-US" w:eastAsia="zh-CN" w:bidi="ar-SA"/>
              </w:rPr>
            </w:pPr>
            <w:r>
              <w:rPr>
                <w:rFonts w:hint="eastAsia" w:ascii="仿宋" w:hAnsi="仿宋" w:eastAsia="仿宋" w:cs="仿宋"/>
                <w:color w:val="auto"/>
                <w:kern w:val="0"/>
                <w:highlight w:val="none"/>
                <w:lang w:val="en-US" w:eastAsia="zh-CN"/>
              </w:rPr>
              <w:t>履约争议、违约</w:t>
            </w:r>
          </w:p>
        </w:tc>
        <w:tc>
          <w:tcPr>
            <w:tcW w:w="6589" w:type="dxa"/>
            <w:shd w:val="clear" w:color="auto" w:fill="auto"/>
            <w:vAlign w:val="center"/>
          </w:tcPr>
          <w:p w14:paraId="11C54C20">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bCs/>
                <w:color w:val="auto"/>
                <w:kern w:val="2"/>
                <w:sz w:val="24"/>
                <w:szCs w:val="24"/>
                <w:lang w:val="en-US" w:eastAsia="zh-CN" w:bidi="ar-SA"/>
              </w:rPr>
            </w:pPr>
            <w:r>
              <w:rPr>
                <w:rFonts w:hint="eastAsia" w:ascii="仿宋" w:hAnsi="仿宋" w:eastAsia="仿宋" w:cs="仿宋"/>
                <w:bCs/>
                <w:color w:val="auto"/>
                <w:sz w:val="24"/>
                <w:szCs w:val="24"/>
                <w:lang w:val="en-US" w:eastAsia="zh-CN"/>
              </w:rPr>
              <w:t>采购合同履行、违约责任和解决争议的方式等适用采购合同及民法典。履约单位在履约过程中有相关法律法规规定的违法违规情形的,采购人应当及时报告监督部门。</w:t>
            </w:r>
          </w:p>
        </w:tc>
      </w:tr>
      <w:tr w14:paraId="70EC5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11347C19">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17</w:t>
            </w:r>
          </w:p>
        </w:tc>
        <w:tc>
          <w:tcPr>
            <w:tcW w:w="1907" w:type="dxa"/>
            <w:tcBorders>
              <w:right w:val="nil"/>
            </w:tcBorders>
            <w:shd w:val="clear" w:color="auto" w:fill="auto"/>
            <w:vAlign w:val="center"/>
          </w:tcPr>
          <w:p w14:paraId="765B97CE">
            <w:pPr>
              <w:keepNext w:val="0"/>
              <w:keepLines w:val="0"/>
              <w:pageBreakBefore w:val="0"/>
              <w:kinsoku/>
              <w:wordWrap/>
              <w:overflowPunct/>
              <w:topLinePunct w:val="0"/>
              <w:bidi w:val="0"/>
              <w:spacing w:line="460" w:lineRule="exact"/>
              <w:jc w:val="center"/>
              <w:rPr>
                <w:rFonts w:hint="eastAsia" w:ascii="仿宋" w:hAnsi="仿宋" w:eastAsia="仿宋" w:cs="仿宋"/>
                <w:color w:val="auto"/>
                <w:kern w:val="0"/>
                <w:highlight w:val="none"/>
                <w:lang w:val="en-US" w:eastAsia="zh-CN"/>
              </w:rPr>
            </w:pPr>
            <w:r>
              <w:rPr>
                <w:rFonts w:hint="eastAsia" w:ascii="仿宋" w:hAnsi="仿宋" w:eastAsia="仿宋" w:cs="仿宋"/>
                <w:sz w:val="24"/>
                <w:szCs w:val="24"/>
                <w:lang w:val="en-US" w:eastAsia="zh-CN"/>
              </w:rPr>
              <w:t>串标释义（部分）</w:t>
            </w:r>
          </w:p>
        </w:tc>
        <w:tc>
          <w:tcPr>
            <w:tcW w:w="6589" w:type="dxa"/>
            <w:tcBorders>
              <w:left w:val="nil"/>
            </w:tcBorders>
            <w:shd w:val="clear" w:color="auto" w:fill="auto"/>
            <w:vAlign w:val="center"/>
          </w:tcPr>
          <w:p w14:paraId="31EE4CC2">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p>
        </w:tc>
      </w:tr>
      <w:tr w14:paraId="26BAE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2387439">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17.1</w:t>
            </w:r>
          </w:p>
        </w:tc>
        <w:tc>
          <w:tcPr>
            <w:tcW w:w="1907" w:type="dxa"/>
            <w:shd w:val="clear" w:color="auto" w:fill="auto"/>
            <w:vAlign w:val="center"/>
          </w:tcPr>
          <w:p w14:paraId="061D6CF1">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“文件异常一致”</w:t>
            </w:r>
            <w:r>
              <w:rPr>
                <w:rFonts w:hint="eastAsia" w:ascii="仿宋" w:hAnsi="仿宋" w:eastAsia="仿宋" w:cs="仿宋"/>
                <w:color w:val="auto"/>
                <w:sz w:val="24"/>
                <w:szCs w:val="24"/>
                <w:lang w:val="en-US" w:eastAsia="zh-CN"/>
              </w:rPr>
              <w:t>（雷同）</w:t>
            </w:r>
          </w:p>
        </w:tc>
        <w:tc>
          <w:tcPr>
            <w:tcW w:w="6589" w:type="dxa"/>
            <w:shd w:val="clear" w:color="auto" w:fill="auto"/>
            <w:vAlign w:val="center"/>
          </w:tcPr>
          <w:p w14:paraId="4BD75128">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极小概率或者完全不可能一致的内容在不同投标文件中同时出现（如投标文件错误的内容或打印错误的内容雷同；由供应商自行编制的格式或自行编写的方案异常一致；属于某一供应商特有的业绩、编号、标识等在其他投标文件中同时出现等情形）。</w:t>
            </w:r>
          </w:p>
        </w:tc>
      </w:tr>
      <w:tr w14:paraId="6DF97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6F642FD">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17.2</w:t>
            </w:r>
          </w:p>
        </w:tc>
        <w:tc>
          <w:tcPr>
            <w:tcW w:w="1907" w:type="dxa"/>
            <w:shd w:val="clear" w:color="auto" w:fill="auto"/>
            <w:vAlign w:val="center"/>
          </w:tcPr>
          <w:p w14:paraId="1457A039">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“文件相</w:t>
            </w:r>
          </w:p>
          <w:p w14:paraId="03589314">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互混装”</w:t>
            </w:r>
          </w:p>
        </w:tc>
        <w:tc>
          <w:tcPr>
            <w:tcW w:w="6589" w:type="dxa"/>
            <w:shd w:val="clear" w:color="auto" w:fill="auto"/>
            <w:vAlign w:val="center"/>
          </w:tcPr>
          <w:p w14:paraId="04248E8B">
            <w:pPr>
              <w:keepNext w:val="0"/>
              <w:keepLines w:val="0"/>
              <w:pageBreakBefore w:val="0"/>
              <w:widowControl/>
              <w:kinsoku/>
              <w:wordWrap/>
              <w:overflowPunct/>
              <w:topLinePunct w:val="0"/>
              <w:bidi w:val="0"/>
              <w:adjustRightInd/>
              <w:spacing w:beforeAutospacing="0" w:afterAutospacing="0" w:line="500" w:lineRule="exact"/>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指一家投标文件中混有本项目其他供应商（指提交了投标文件的单位）的投标资料即为混装（并非仅指双方互有混装的情形）。</w:t>
            </w:r>
          </w:p>
        </w:tc>
      </w:tr>
      <w:tr w14:paraId="5C737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5984B420">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17.3</w:t>
            </w:r>
          </w:p>
        </w:tc>
        <w:tc>
          <w:tcPr>
            <w:tcW w:w="1907" w:type="dxa"/>
            <w:shd w:val="clear" w:color="auto" w:fill="auto"/>
            <w:vAlign w:val="center"/>
          </w:tcPr>
          <w:p w14:paraId="419876D0">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“报价规律性”</w:t>
            </w:r>
          </w:p>
        </w:tc>
        <w:tc>
          <w:tcPr>
            <w:tcW w:w="6589" w:type="dxa"/>
            <w:shd w:val="clear" w:color="auto" w:fill="auto"/>
            <w:vAlign w:val="center"/>
          </w:tcPr>
          <w:p w14:paraId="4E55B306">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指投标报价（总价或分项）呈现等差或等比数列趋势变化、分项报价高度一致等情形。</w:t>
            </w:r>
          </w:p>
        </w:tc>
      </w:tr>
      <w:tr w14:paraId="250C3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3BE7263">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17.4</w:t>
            </w:r>
          </w:p>
        </w:tc>
        <w:tc>
          <w:tcPr>
            <w:tcW w:w="1907" w:type="dxa"/>
            <w:shd w:val="clear" w:color="auto" w:fill="auto"/>
            <w:vAlign w:val="center"/>
          </w:tcPr>
          <w:p w14:paraId="51B6E933">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串标认定</w:t>
            </w:r>
          </w:p>
        </w:tc>
        <w:tc>
          <w:tcPr>
            <w:tcW w:w="6589" w:type="dxa"/>
            <w:shd w:val="clear" w:color="auto" w:fill="auto"/>
            <w:vAlign w:val="center"/>
          </w:tcPr>
          <w:p w14:paraId="2B41D15B">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线上招标由系统进行串标警示。</w:t>
            </w:r>
          </w:p>
        </w:tc>
      </w:tr>
      <w:tr w14:paraId="28417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C231506">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w:t>
            </w:r>
          </w:p>
        </w:tc>
        <w:tc>
          <w:tcPr>
            <w:tcW w:w="1907" w:type="dxa"/>
            <w:tcBorders>
              <w:right w:val="nil"/>
            </w:tcBorders>
            <w:vAlign w:val="center"/>
          </w:tcPr>
          <w:p w14:paraId="43F85C94">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补充事项</w:t>
            </w:r>
          </w:p>
        </w:tc>
        <w:tc>
          <w:tcPr>
            <w:tcW w:w="6589" w:type="dxa"/>
            <w:tcBorders>
              <w:left w:val="nil"/>
            </w:tcBorders>
            <w:vAlign w:val="center"/>
          </w:tcPr>
          <w:p w14:paraId="5179E9D8">
            <w:pPr>
              <w:keepNext w:val="0"/>
              <w:keepLines w:val="0"/>
              <w:pageBreakBefore w:val="0"/>
              <w:numPr>
                <w:ilvl w:val="0"/>
                <w:numId w:val="0"/>
              </w:numPr>
              <w:shd w:val="clea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yellow"/>
                <w:lang w:val="en-US" w:eastAsia="zh-CN"/>
              </w:rPr>
            </w:pPr>
          </w:p>
        </w:tc>
      </w:tr>
      <w:tr w14:paraId="02980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570F128">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18.1</w:t>
            </w:r>
          </w:p>
        </w:tc>
        <w:tc>
          <w:tcPr>
            <w:tcW w:w="1907" w:type="dxa"/>
            <w:vAlign w:val="center"/>
          </w:tcPr>
          <w:p w14:paraId="39E973CC">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招标文件解释权</w:t>
            </w:r>
          </w:p>
        </w:tc>
        <w:tc>
          <w:tcPr>
            <w:tcW w:w="6589" w:type="dxa"/>
            <w:vAlign w:val="center"/>
          </w:tcPr>
          <w:p w14:paraId="3BFEE942">
            <w:pPr>
              <w:keepNext w:val="0"/>
              <w:keepLines w:val="0"/>
              <w:pageBreakBefore w:val="0"/>
              <w:kinsoku/>
              <w:wordWrap/>
              <w:overflowPunct/>
              <w:topLinePunct w:val="0"/>
              <w:autoSpaceDE/>
              <w:autoSpaceDN/>
              <w:bidi w:val="0"/>
              <w:adjustRightInd/>
              <w:spacing w:line="500" w:lineRule="exact"/>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招标文件的解释权归采购人及代理机构所有：1）对于当事各方对招标文件发生理解偏差或歧义时，供应商又未在合法时间内提出咨询/质疑，均以代理机构的释义为基本依据，在不影响评审结果或评审公正公平进行的情况下，由代理机构澄清确认后继续评审。2）供应商对招标文件的自主理解、推测、主观认为、随意臆造等造成的不利后果自负。</w:t>
            </w:r>
          </w:p>
        </w:tc>
      </w:tr>
      <w:tr w14:paraId="5C800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DDF3919">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18.2</w:t>
            </w:r>
          </w:p>
        </w:tc>
        <w:tc>
          <w:tcPr>
            <w:tcW w:w="1907" w:type="dxa"/>
            <w:shd w:val="clear" w:color="auto" w:fill="auto"/>
            <w:vAlign w:val="center"/>
          </w:tcPr>
          <w:p w14:paraId="5EF6A5A3">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权利和知识产权</w:t>
            </w:r>
          </w:p>
        </w:tc>
        <w:tc>
          <w:tcPr>
            <w:tcW w:w="6589" w:type="dxa"/>
            <w:shd w:val="clear" w:color="auto" w:fill="auto"/>
            <w:vAlign w:val="center"/>
          </w:tcPr>
          <w:p w14:paraId="7E8C349D">
            <w:pPr>
              <w:keepNext w:val="0"/>
              <w:keepLines w:val="0"/>
              <w:pageBreakBefore w:val="0"/>
              <w:numPr>
                <w:ilvl w:val="0"/>
                <w:numId w:val="0"/>
              </w:numPr>
              <w:kinsoku/>
              <w:wordWrap/>
              <w:overflowPunct/>
              <w:topLinePunct w:val="0"/>
              <w:autoSpaceDE/>
              <w:autoSpaceDN/>
              <w:bidi w:val="0"/>
              <w:adjustRightInd/>
              <w:snapToGrid w:val="0"/>
              <w:spacing w:line="500" w:lineRule="exact"/>
              <w:ind w:left="0" w:leftChars="0" w:firstLine="0" w:firstLineChars="0"/>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供应商应保证在本项目使用的任何产品和服务的任何一部分，不会产生因第三方提出的侵犯其专利权、商标权、著作权或其他知识产权而引起的法律和经济纠纷，由此引起的纠纷，由供应商承担所有相关责任；②本项目采购和履行中形成的知识成果、知识产权和其他权益均归采购人所有。</w:t>
            </w:r>
          </w:p>
        </w:tc>
      </w:tr>
      <w:tr w14:paraId="432FB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D4E9DC0">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w:t>
            </w:r>
            <w:r>
              <w:rPr>
                <w:rFonts w:hint="eastAsia" w:ascii="仿宋" w:hAnsi="仿宋" w:eastAsia="仿宋" w:cs="仿宋"/>
                <w:color w:val="auto"/>
                <w:kern w:val="2"/>
                <w:sz w:val="24"/>
                <w:szCs w:val="24"/>
                <w:lang w:val="en-US" w:eastAsia="zh-CN" w:bidi="ar-SA"/>
              </w:rPr>
              <w:t>.3</w:t>
            </w:r>
          </w:p>
        </w:tc>
        <w:tc>
          <w:tcPr>
            <w:tcW w:w="1907" w:type="dxa"/>
            <w:shd w:val="clear" w:color="auto" w:fill="auto"/>
            <w:vAlign w:val="center"/>
          </w:tcPr>
          <w:p w14:paraId="3DF645EE">
            <w:pPr>
              <w:keepNext w:val="0"/>
              <w:keepLines w:val="0"/>
              <w:pageBreakBefore w:val="0"/>
              <w:widowControl w:val="0"/>
              <w:kinsoku/>
              <w:wordWrap/>
              <w:overflowPunct/>
              <w:topLinePunct w:val="0"/>
              <w:autoSpaceDE/>
              <w:autoSpaceDN/>
              <w:bidi w:val="0"/>
              <w:adjustRightInd/>
              <w:snapToGrid/>
              <w:spacing w:beforeAutospacing="0" w:afterAutospacing="0" w:line="460" w:lineRule="exact"/>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无效资料</w:t>
            </w:r>
          </w:p>
        </w:tc>
        <w:tc>
          <w:tcPr>
            <w:tcW w:w="6589" w:type="dxa"/>
            <w:shd w:val="clear" w:color="auto" w:fill="auto"/>
            <w:vAlign w:val="center"/>
          </w:tcPr>
          <w:p w14:paraId="1E5F6E82">
            <w:pPr>
              <w:keepNext w:val="0"/>
              <w:keepLines w:val="0"/>
              <w:pageBreakBefore w:val="0"/>
              <w:widowControl/>
              <w:kinsoku/>
              <w:wordWrap/>
              <w:overflowPunct/>
              <w:topLinePunct w:val="0"/>
              <w:autoSpaceDE/>
              <w:autoSpaceDN/>
              <w:bidi w:val="0"/>
              <w:adjustRightInd/>
              <w:spacing w:beforeAutospacing="0" w:afterAutospacing="0" w:line="460" w:lineRule="exact"/>
              <w:jc w:val="both"/>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指真实存在（非虚假），但不符合本招标文件相关要求的过期或内容不相符的文件资料。</w:t>
            </w:r>
          </w:p>
        </w:tc>
      </w:tr>
      <w:tr w14:paraId="4216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11F3283">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18.4</w:t>
            </w:r>
          </w:p>
        </w:tc>
        <w:tc>
          <w:tcPr>
            <w:tcW w:w="1907" w:type="dxa"/>
            <w:shd w:val="clear" w:color="auto" w:fill="auto"/>
            <w:vAlign w:val="center"/>
          </w:tcPr>
          <w:p w14:paraId="4C293A09">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虚假材料</w:t>
            </w:r>
          </w:p>
        </w:tc>
        <w:tc>
          <w:tcPr>
            <w:tcW w:w="6589" w:type="dxa"/>
            <w:shd w:val="clear" w:color="auto" w:fill="auto"/>
            <w:vAlign w:val="center"/>
          </w:tcPr>
          <w:p w14:paraId="6A64FBD0">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1."虚假材料"：指无中生有、伪造、篡改或变造、涂改的各种证件、证书、资料佐证、与客观事实不相符的委托书、授权书或承诺函等。</w:t>
            </w:r>
          </w:p>
          <w:p w14:paraId="58E98332">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2.对政策理解错误或概念不清而导致的错误、笔误、计算错误以及供应商提供的已逾期的证书、未年审的证书等不能认定为虚假材料。"虚假"是指材料的真实性而非有效性，无效材料不能等同于虚假材料。</w:t>
            </w:r>
          </w:p>
          <w:p w14:paraId="68DE1F6B">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3.对提供虚假材料谋取中标（成交）的认定，应要同时满足主观和客观两个方面的构成要件，要结合有关的证据材料和供应商篡改、伪造或变造、捏造事实以及该行为的目的性、危害后果等方面，由监管部门进行综合考量和判断。</w:t>
            </w:r>
          </w:p>
        </w:tc>
      </w:tr>
      <w:tr w14:paraId="07594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70AB20C">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18.5</w:t>
            </w:r>
          </w:p>
        </w:tc>
        <w:tc>
          <w:tcPr>
            <w:tcW w:w="1907" w:type="dxa"/>
            <w:shd w:val="clear" w:color="auto" w:fill="auto"/>
            <w:vAlign w:val="center"/>
          </w:tcPr>
          <w:p w14:paraId="0D1A2B38">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投标印章</w:t>
            </w:r>
          </w:p>
        </w:tc>
        <w:tc>
          <w:tcPr>
            <w:tcW w:w="6589" w:type="dxa"/>
            <w:shd w:val="clear" w:color="auto" w:fill="auto"/>
            <w:vAlign w:val="center"/>
          </w:tcPr>
          <w:p w14:paraId="10226FB8">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投标印章均指单位电子签章。</w:t>
            </w:r>
          </w:p>
        </w:tc>
      </w:tr>
      <w:tr w14:paraId="030EF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145FA2A8">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18.6</w:t>
            </w:r>
          </w:p>
        </w:tc>
        <w:tc>
          <w:tcPr>
            <w:tcW w:w="1907" w:type="dxa"/>
            <w:shd w:val="clear" w:color="auto" w:fill="auto"/>
            <w:vAlign w:val="center"/>
          </w:tcPr>
          <w:p w14:paraId="5BDDD7FC">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费用、风险</w:t>
            </w:r>
          </w:p>
        </w:tc>
        <w:tc>
          <w:tcPr>
            <w:tcW w:w="6589" w:type="dxa"/>
            <w:shd w:val="clear" w:color="auto" w:fill="auto"/>
            <w:vAlign w:val="center"/>
          </w:tcPr>
          <w:p w14:paraId="6AE17E1F">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无论结果如何，供应商应自行承担参与本项目发生的所有费用和应担风险。</w:t>
            </w:r>
          </w:p>
        </w:tc>
      </w:tr>
      <w:tr w14:paraId="53D3F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13B8073">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18.7</w:t>
            </w:r>
          </w:p>
        </w:tc>
        <w:tc>
          <w:tcPr>
            <w:tcW w:w="1907" w:type="dxa"/>
            <w:shd w:val="clear" w:color="auto" w:fill="auto"/>
            <w:vAlign w:val="center"/>
          </w:tcPr>
          <w:p w14:paraId="16E42F6C">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正当理由</w:t>
            </w:r>
          </w:p>
        </w:tc>
        <w:tc>
          <w:tcPr>
            <w:tcW w:w="6589" w:type="dxa"/>
            <w:shd w:val="clear" w:color="auto" w:fill="auto"/>
            <w:vAlign w:val="center"/>
          </w:tcPr>
          <w:p w14:paraId="049FB20E">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是指不可抗力</w:t>
            </w:r>
            <w:r>
              <w:rPr>
                <w:rFonts w:hint="eastAsia" w:ascii="仿宋" w:hAnsi="仿宋" w:eastAsia="仿宋" w:cs="仿宋"/>
                <w:color w:val="auto"/>
                <w:sz w:val="24"/>
                <w:szCs w:val="24"/>
                <w:lang w:val="en-US" w:eastAsia="zh-CN"/>
              </w:rPr>
              <w:t>（指不能预见、不能避免、不能克服的客观情况）：</w:t>
            </w:r>
            <w:r>
              <w:rPr>
                <w:rFonts w:hint="eastAsia" w:ascii="仿宋" w:hAnsi="仿宋" w:eastAsia="仿宋" w:cs="仿宋"/>
                <w:color w:val="auto"/>
                <w:sz w:val="24"/>
                <w:szCs w:val="24"/>
                <w:highlight w:val="none"/>
                <w:lang w:val="en-US" w:eastAsia="zh-CN"/>
              </w:rPr>
              <w:t>一是自然灾害，例如地震、台风、洪水等；二是某些政府行为，例如政府颁布新政策、法律和采取行政措施；三是社会异常事件，例如罢工、战争等。</w:t>
            </w:r>
          </w:p>
        </w:tc>
      </w:tr>
      <w:tr w14:paraId="7677A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F7725C8">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18.8</w:t>
            </w:r>
          </w:p>
        </w:tc>
        <w:tc>
          <w:tcPr>
            <w:tcW w:w="1907" w:type="dxa"/>
            <w:shd w:val="clear" w:color="auto" w:fill="auto"/>
            <w:vAlign w:val="center"/>
          </w:tcPr>
          <w:p w14:paraId="08BD3897">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商业秘密</w:t>
            </w:r>
          </w:p>
        </w:tc>
        <w:tc>
          <w:tcPr>
            <w:tcW w:w="6589" w:type="dxa"/>
            <w:shd w:val="clear" w:color="auto" w:fill="auto"/>
            <w:vAlign w:val="center"/>
          </w:tcPr>
          <w:p w14:paraId="7D7D160E">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是指不为公众所知悉、具有商业价值并经权利人采取相应保密措施的技术信息和经营信息等商业信息。主要指技术秘密、商业情报及经济信息、价格等与技术和经营活动有关的相关信息，如生产工艺、生产原料、客户信息、相关数据、管理、财务、购销渠道以及招投标资料等当事人不愿公开的商业秘密。投标文件是</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根据招标文件的要求编制的，具有独特、个性的特征，并具有实用性，能为</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带来经济利益，因此其属于</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的商业秘密，不</w:t>
            </w:r>
            <w:r>
              <w:rPr>
                <w:rFonts w:hint="eastAsia" w:ascii="仿宋" w:hAnsi="仿宋" w:eastAsia="仿宋" w:cs="仿宋"/>
                <w:color w:val="auto"/>
                <w:sz w:val="24"/>
                <w:szCs w:val="24"/>
                <w:lang w:val="en-US" w:eastAsia="zh-CN"/>
              </w:rPr>
              <w:t>可</w:t>
            </w:r>
            <w:r>
              <w:rPr>
                <w:rFonts w:hint="eastAsia" w:ascii="仿宋" w:hAnsi="仿宋" w:eastAsia="仿宋" w:cs="仿宋"/>
                <w:color w:val="auto"/>
                <w:sz w:val="24"/>
                <w:szCs w:val="24"/>
                <w:highlight w:val="none"/>
                <w:lang w:val="en-US" w:eastAsia="zh-CN"/>
              </w:rPr>
              <w:t>公开。</w:t>
            </w:r>
          </w:p>
        </w:tc>
      </w:tr>
      <w:tr w14:paraId="5543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D106DCE">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18.9</w:t>
            </w:r>
          </w:p>
        </w:tc>
        <w:tc>
          <w:tcPr>
            <w:tcW w:w="1907" w:type="dxa"/>
            <w:shd w:val="clear" w:color="auto" w:fill="auto"/>
            <w:vAlign w:val="center"/>
          </w:tcPr>
          <w:p w14:paraId="75BBAF7C">
            <w:pPr>
              <w:keepNext w:val="0"/>
              <w:keepLines w:val="0"/>
              <w:pageBreakBefore w:val="0"/>
              <w:kinsoku/>
              <w:wordWrap/>
              <w:overflowPunct/>
              <w:topLinePunct w:val="0"/>
              <w:autoSpaceDE/>
              <w:autoSpaceDN/>
              <w:bidi w:val="0"/>
              <w:adjustRightInd/>
              <w:spacing w:beforeAutospacing="0" w:afterAutospacing="0"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保密</w:t>
            </w:r>
          </w:p>
        </w:tc>
        <w:tc>
          <w:tcPr>
            <w:tcW w:w="6589" w:type="dxa"/>
            <w:shd w:val="clear" w:color="auto" w:fill="auto"/>
            <w:vAlign w:val="center"/>
          </w:tcPr>
          <w:p w14:paraId="0473537B">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采购活动的当事各方，不得以任何形式向任何单位和个人提供与本项目有关的</w:t>
            </w:r>
            <w:r>
              <w:rPr>
                <w:rFonts w:hint="eastAsia" w:ascii="仿宋" w:hAnsi="仿宋" w:eastAsia="仿宋" w:cs="仿宋"/>
                <w:strike w:val="0"/>
                <w:dstrike w:val="0"/>
                <w:color w:val="auto"/>
                <w:sz w:val="24"/>
                <w:szCs w:val="24"/>
                <w:highlight w:val="none"/>
                <w:lang w:val="en-US" w:eastAsia="zh-CN"/>
              </w:rPr>
              <w:t>招标</w:t>
            </w:r>
            <w:r>
              <w:rPr>
                <w:rFonts w:hint="eastAsia" w:ascii="仿宋" w:hAnsi="仿宋" w:eastAsia="仿宋" w:cs="仿宋"/>
                <w:color w:val="auto"/>
                <w:sz w:val="24"/>
                <w:szCs w:val="24"/>
                <w:highlight w:val="none"/>
                <w:lang w:val="en-US" w:eastAsia="zh-CN"/>
              </w:rPr>
              <w:t>资料，均应对招投标文件中的商业和技术等内容进行保密，违者承担法律责任。</w:t>
            </w:r>
          </w:p>
        </w:tc>
      </w:tr>
      <w:tr w14:paraId="778B2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7E0970D">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18.10</w:t>
            </w:r>
          </w:p>
        </w:tc>
        <w:tc>
          <w:tcPr>
            <w:tcW w:w="1907" w:type="dxa"/>
            <w:vAlign w:val="center"/>
          </w:tcPr>
          <w:p w14:paraId="55F9DB85">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其他</w:t>
            </w:r>
          </w:p>
        </w:tc>
        <w:tc>
          <w:tcPr>
            <w:tcW w:w="6589" w:type="dxa"/>
            <w:vAlign w:val="center"/>
          </w:tcPr>
          <w:p w14:paraId="558D076A">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1.本文所称的“以上”、“以下”、“内”、“以内”、“届满”，包括本数；“不足”、“不满”、“超过”、“以外”，不包括本数。</w:t>
            </w:r>
          </w:p>
          <w:p w14:paraId="256EB1F5">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2.文中“自....之日起”，不包含当日，以下一日开始计算。</w:t>
            </w:r>
          </w:p>
          <w:p w14:paraId="0DA0E824">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3.文中“日”等同“日历日”或“天”。月日换算可以30天/月为基准，年以365天为基准。</w:t>
            </w:r>
          </w:p>
        </w:tc>
      </w:tr>
    </w:tbl>
    <w:p w14:paraId="4BF04EE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133514"/>
    <w:rsid w:val="01133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99"/>
    <w:pPr>
      <w:ind w:firstLine="200" w:firstLineChars="200"/>
    </w:pPr>
    <w:rPr>
      <w:szCs w:val="21"/>
    </w:rPr>
  </w:style>
  <w:style w:type="paragraph" w:styleId="3">
    <w:name w:val="toa heading"/>
    <w:basedOn w:val="1"/>
    <w:next w:val="1"/>
    <w:semiHidden/>
    <w:qFormat/>
    <w:uiPriority w:val="99"/>
    <w:pPr>
      <w:spacing w:before="120"/>
    </w:pPr>
    <w:rPr>
      <w:rFonts w:ascii="Cambria" w:hAnsi="Cambria"/>
      <w:sz w:val="24"/>
    </w:rPr>
  </w:style>
  <w:style w:type="paragraph" w:styleId="4">
    <w:name w:val="annotation text"/>
    <w:basedOn w:val="1"/>
    <w:qFormat/>
    <w:uiPriority w:val="0"/>
    <w:pPr>
      <w:jc w:val="left"/>
    </w:pPr>
  </w:style>
  <w:style w:type="paragraph" w:styleId="5">
    <w:name w:val="Plain Text"/>
    <w:basedOn w:val="1"/>
    <w:next w:val="1"/>
    <w:qFormat/>
    <w:uiPriority w:val="0"/>
    <w:rPr>
      <w:rFonts w:ascii="宋体" w:hAnsi="Courier New" w:cs="Courier New"/>
      <w:sz w:val="21"/>
      <w:szCs w:val="21"/>
    </w:rPr>
  </w:style>
  <w:style w:type="paragraph" w:styleId="6">
    <w:name w:val="toc 4"/>
    <w:basedOn w:val="1"/>
    <w:next w:val="1"/>
    <w:qFormat/>
    <w:uiPriority w:val="0"/>
    <w:pPr>
      <w:tabs>
        <w:tab w:val="left" w:pos="1890"/>
        <w:tab w:val="right" w:leader="dot" w:pos="8296"/>
      </w:tabs>
      <w:ind w:left="630" w:leftChars="300"/>
    </w:pPr>
    <w:rPr>
      <w:rFonts w:ascii="Calibri" w:hAnsi="Calibri"/>
      <w:szCs w:val="22"/>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p15"/>
    <w:basedOn w:val="1"/>
    <w:qFormat/>
    <w:uiPriority w:val="99"/>
    <w:pPr>
      <w:widowControl/>
    </w:pPr>
    <w:rPr>
      <w:kern w:val="0"/>
      <w:sz w:val="21"/>
      <w:szCs w:val="21"/>
    </w:rPr>
  </w:style>
  <w:style w:type="paragraph" w:customStyle="1" w:styleId="11">
    <w:name w:val="Table Text"/>
    <w:basedOn w:val="1"/>
    <w:autoRedefine/>
    <w:semiHidden/>
    <w:qFormat/>
    <w:uiPriority w:val="0"/>
    <w:rPr>
      <w:rFonts w:ascii="仿宋" w:hAnsi="仿宋" w:eastAsia="仿宋" w:cs="仿宋"/>
      <w:sz w:val="20"/>
      <w:szCs w:val="20"/>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2026-07-05T09:10:00Z</dcterms:created>
  <dc:creator>浪人</dc:creator>
  <cp:lastModifiedBy>浪人</cp:lastModifiedBy>
  <dcterms:modified xsi:type="dcterms:W3CDTF">2026-07-05T09:10:56Z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3356C849D2814EA1BB78FD089DC29617_11</vt:lpwstr>
  </property>
  <property fmtid="{D5CDD505-2E9C-101B-9397-08002B2CF9AE}" pid="4" name="KSOTemplateDocerSaveRecord">
    <vt:lpwstr>eyJoZGlkIjoiOTQzYTM3ZGNlMDJjMDk5MDVkNThlY2FkNmQ4ZTRhYTIiLCJ1c2VySWQiOiIzODEwNzE1NTgifQ==</vt:lpwstr>
  </property>
</Properties>
</file>